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pPr>
    </w:p>
    <w:p>
      <w:pPr>
        <w:pStyle w:val="46"/>
        <w:jc w:val="center"/>
        <w:rPr>
          <w:rFonts w:hint="eastAsia" w:asciiTheme="minorEastAsia" w:hAnsiTheme="minorEastAsia" w:eastAsiaTheme="minorEastAsia"/>
          <w:b/>
          <w:sz w:val="144"/>
          <w:szCs w:val="144"/>
          <w:lang w:eastAsia="zh-CN"/>
        </w:rPr>
      </w:pPr>
      <w:r>
        <w:rPr>
          <w:rFonts w:hint="eastAsia" w:asciiTheme="minorEastAsia" w:hAnsiTheme="minorEastAsia" w:eastAsiaTheme="minorEastAsia"/>
          <w:b/>
          <w:sz w:val="56"/>
          <w:szCs w:val="56"/>
          <w:lang w:eastAsia="zh-CN"/>
        </w:rPr>
        <w:t>唐河县妇幼保健院购置四维彩超、麻醉机等医疗设备项目</w:t>
      </w:r>
    </w:p>
    <w:p>
      <w:pPr>
        <w:pStyle w:val="45"/>
      </w:pPr>
    </w:p>
    <w:p>
      <w:pPr>
        <w:pStyle w:val="45"/>
      </w:pPr>
    </w:p>
    <w:p>
      <w:pPr>
        <w:pStyle w:val="45"/>
      </w:pPr>
    </w:p>
    <w:p>
      <w:pPr>
        <w:pStyle w:val="45"/>
      </w:pPr>
    </w:p>
    <w:p>
      <w:pPr>
        <w:pStyle w:val="45"/>
      </w:pPr>
    </w:p>
    <w:p>
      <w:pPr>
        <w:pStyle w:val="45"/>
      </w:pPr>
    </w:p>
    <w:p>
      <w:pPr>
        <w:pStyle w:val="45"/>
      </w:pPr>
    </w:p>
    <w:p>
      <w:pPr>
        <w:pStyle w:val="15"/>
        <w:spacing w:before="9"/>
        <w:jc w:val="center"/>
        <w:rPr>
          <w:b/>
          <w:sz w:val="96"/>
          <w:szCs w:val="32"/>
        </w:rPr>
      </w:pPr>
      <w:r>
        <w:rPr>
          <w:rFonts w:hint="eastAsia"/>
          <w:b/>
          <w:sz w:val="96"/>
          <w:szCs w:val="32"/>
        </w:rPr>
        <w:t>招标文件</w:t>
      </w:r>
    </w:p>
    <w:p>
      <w:pPr>
        <w:pStyle w:val="15"/>
        <w:spacing w:before="9"/>
        <w:jc w:val="center"/>
        <w:rPr>
          <w:rFonts w:ascii="Arial" w:hAnsi="Arial" w:eastAsia="Arial" w:cs="Arial"/>
          <w:color w:val="auto"/>
          <w:spacing w:val="-1"/>
          <w:sz w:val="32"/>
        </w:rPr>
      </w:pPr>
    </w:p>
    <w:p>
      <w:pPr>
        <w:pStyle w:val="25"/>
        <w:rPr>
          <w:rFonts w:ascii="Arial" w:hAnsi="Arial" w:eastAsia="Arial" w:cs="Arial"/>
          <w:color w:val="auto"/>
          <w:spacing w:val="-1"/>
          <w:sz w:val="32"/>
          <w:szCs w:val="21"/>
        </w:rPr>
      </w:pPr>
    </w:p>
    <w:p>
      <w:pPr>
        <w:jc w:val="center"/>
        <w:rPr>
          <w:color w:val="auto"/>
          <w:spacing w:val="-1"/>
          <w:sz w:val="32"/>
        </w:rPr>
      </w:pPr>
      <w:r>
        <w:rPr>
          <w:color w:val="auto"/>
          <w:spacing w:val="-1"/>
          <w:sz w:val="32"/>
        </w:rPr>
        <w:t>采购项目编号：</w:t>
      </w:r>
      <w:r>
        <w:rPr>
          <w:rFonts w:hint="eastAsia" w:ascii="微软雅黑" w:hAnsi="微软雅黑" w:eastAsia="微软雅黑" w:cs="微软雅黑"/>
          <w:lang w:bidi="ar"/>
        </w:rPr>
        <w:t>THGGZY-WCGK-2023-</w:t>
      </w:r>
      <w:r>
        <w:rPr>
          <w:rFonts w:hint="eastAsia" w:ascii="微软雅黑" w:hAnsi="微软雅黑" w:eastAsia="微软雅黑" w:cs="微软雅黑"/>
          <w:lang w:val="en-US" w:eastAsia="zh-CN" w:bidi="ar"/>
        </w:rPr>
        <w:t>08</w:t>
      </w:r>
    </w:p>
    <w:p>
      <w:pPr>
        <w:pStyle w:val="15"/>
        <w:rPr>
          <w:sz w:val="20"/>
        </w:rPr>
      </w:pPr>
    </w:p>
    <w:p>
      <w:pPr>
        <w:pStyle w:val="15"/>
        <w:rPr>
          <w:sz w:val="20"/>
        </w:rPr>
      </w:pPr>
    </w:p>
    <w:p>
      <w:pPr>
        <w:pStyle w:val="15"/>
        <w:rPr>
          <w:sz w:val="20"/>
        </w:rPr>
      </w:pPr>
    </w:p>
    <w:p>
      <w:pPr>
        <w:pStyle w:val="15"/>
        <w:rPr>
          <w:sz w:val="20"/>
        </w:rPr>
      </w:pPr>
    </w:p>
    <w:p>
      <w:pPr>
        <w:pStyle w:val="15"/>
        <w:spacing w:before="11"/>
      </w:pPr>
    </w:p>
    <w:p>
      <w:pPr>
        <w:pStyle w:val="15"/>
        <w:rPr>
          <w:sz w:val="32"/>
        </w:rPr>
      </w:pPr>
    </w:p>
    <w:p>
      <w:pPr>
        <w:pStyle w:val="15"/>
        <w:rPr>
          <w:sz w:val="32"/>
        </w:rPr>
      </w:pPr>
    </w:p>
    <w:p>
      <w:pPr>
        <w:pStyle w:val="15"/>
        <w:rPr>
          <w:sz w:val="32"/>
        </w:rPr>
      </w:pPr>
    </w:p>
    <w:p>
      <w:pPr>
        <w:pStyle w:val="15"/>
        <w:rPr>
          <w:sz w:val="32"/>
        </w:rPr>
      </w:pPr>
    </w:p>
    <w:p>
      <w:pPr>
        <w:pStyle w:val="15"/>
        <w:rPr>
          <w:sz w:val="32"/>
        </w:rPr>
      </w:pPr>
    </w:p>
    <w:p>
      <w:pPr>
        <w:rPr>
          <w:sz w:val="32"/>
        </w:rPr>
      </w:pPr>
    </w:p>
    <w:p>
      <w:pPr>
        <w:pStyle w:val="15"/>
        <w:rPr>
          <w:sz w:val="32"/>
        </w:rPr>
      </w:pPr>
    </w:p>
    <w:p>
      <w:pPr>
        <w:pStyle w:val="15"/>
        <w:rPr>
          <w:sz w:val="32"/>
        </w:rPr>
      </w:pPr>
    </w:p>
    <w:p>
      <w:pPr>
        <w:tabs>
          <w:tab w:val="left" w:pos="3655"/>
          <w:tab w:val="left" w:pos="5462"/>
          <w:tab w:val="left" w:pos="9881"/>
        </w:tabs>
        <w:spacing w:before="207" w:line="235" w:lineRule="auto"/>
        <w:ind w:right="322"/>
        <w:jc w:val="center"/>
        <w:rPr>
          <w:rFonts w:hint="eastAsia" w:eastAsia="宋体"/>
          <w:b/>
          <w:spacing w:val="-2"/>
          <w:sz w:val="32"/>
          <w:szCs w:val="32"/>
          <w:u w:val="single"/>
          <w:lang w:eastAsia="zh-CN"/>
        </w:rPr>
      </w:pPr>
      <w:r>
        <w:rPr>
          <w:b/>
          <w:sz w:val="32"/>
          <w:szCs w:val="32"/>
        </w:rPr>
        <w:t>采</w:t>
      </w:r>
      <w:r>
        <w:rPr>
          <w:rFonts w:hint="eastAsia" w:eastAsiaTheme="minorEastAsia"/>
          <w:b/>
          <w:sz w:val="32"/>
          <w:szCs w:val="32"/>
        </w:rPr>
        <w:t xml:space="preserve">      </w:t>
      </w:r>
      <w:r>
        <w:rPr>
          <w:b/>
          <w:sz w:val="32"/>
          <w:szCs w:val="32"/>
        </w:rPr>
        <w:t>购</w:t>
      </w:r>
      <w:r>
        <w:rPr>
          <w:rFonts w:hint="eastAsia" w:eastAsiaTheme="minorEastAsia"/>
          <w:b/>
          <w:sz w:val="32"/>
          <w:szCs w:val="32"/>
        </w:rPr>
        <w:t xml:space="preserve">     </w:t>
      </w:r>
      <w:r>
        <w:rPr>
          <w:b/>
          <w:sz w:val="32"/>
          <w:szCs w:val="32"/>
        </w:rPr>
        <w:t>人：</w:t>
      </w:r>
      <w:r>
        <w:rPr>
          <w:rFonts w:hint="eastAsia" w:eastAsia="宋体"/>
          <w:b/>
          <w:sz w:val="32"/>
          <w:szCs w:val="32"/>
          <w:u w:val="single"/>
          <w:lang w:eastAsia="zh-CN"/>
        </w:rPr>
        <w:t>唐河县妇幼保健院</w:t>
      </w:r>
    </w:p>
    <w:p>
      <w:pPr>
        <w:tabs>
          <w:tab w:val="left" w:pos="3655"/>
          <w:tab w:val="left" w:pos="5462"/>
          <w:tab w:val="left" w:pos="9881"/>
        </w:tabs>
        <w:spacing w:before="207" w:line="235" w:lineRule="auto"/>
        <w:ind w:right="322"/>
        <w:jc w:val="center"/>
        <w:rPr>
          <w:b/>
          <w:spacing w:val="-2"/>
          <w:sz w:val="32"/>
          <w:szCs w:val="32"/>
          <w:u w:val="single"/>
        </w:rPr>
      </w:pPr>
      <w:r>
        <w:rPr>
          <w:b/>
          <w:sz w:val="32"/>
          <w:szCs w:val="32"/>
        </w:rPr>
        <w:t>采购代理机构：</w:t>
      </w:r>
      <w:r>
        <w:rPr>
          <w:rFonts w:hint="eastAsia"/>
          <w:b/>
          <w:sz w:val="32"/>
          <w:szCs w:val="32"/>
          <w:u w:val="single"/>
        </w:rPr>
        <w:t>唐河县唐兴工程造价咨询有限公司</w:t>
      </w:r>
    </w:p>
    <w:p>
      <w:pPr>
        <w:spacing w:before="227" w:line="220" w:lineRule="auto"/>
        <w:jc w:val="center"/>
        <w:rPr>
          <w:rFonts w:ascii="宋体" w:hAnsi="宋体" w:eastAsia="宋体" w:cs="宋体"/>
          <w:sz w:val="32"/>
          <w:szCs w:val="32"/>
        </w:rPr>
      </w:pPr>
      <w:r>
        <w:rPr>
          <w:b/>
          <w:sz w:val="32"/>
          <w:szCs w:val="32"/>
        </w:rPr>
        <w:t>日</w:t>
      </w:r>
      <w:r>
        <w:rPr>
          <w:rFonts w:hint="eastAsia" w:eastAsiaTheme="minorEastAsia"/>
          <w:b/>
          <w:sz w:val="32"/>
          <w:szCs w:val="32"/>
        </w:rPr>
        <w:t xml:space="preserve">             </w:t>
      </w:r>
      <w:r>
        <w:rPr>
          <w:b/>
          <w:sz w:val="32"/>
          <w:szCs w:val="32"/>
        </w:rPr>
        <w:t>期：</w:t>
      </w:r>
      <w:r>
        <w:rPr>
          <w:b/>
          <w:w w:val="95"/>
          <w:sz w:val="32"/>
          <w:szCs w:val="32"/>
          <w:u w:val="single"/>
        </w:rPr>
        <w:t>二零二</w:t>
      </w:r>
      <w:r>
        <w:rPr>
          <w:rFonts w:hint="eastAsia" w:eastAsia="宋体"/>
          <w:b/>
          <w:w w:val="95"/>
          <w:sz w:val="32"/>
          <w:szCs w:val="32"/>
          <w:u w:val="single"/>
        </w:rPr>
        <w:t>三</w:t>
      </w:r>
      <w:r>
        <w:rPr>
          <w:b/>
          <w:w w:val="95"/>
          <w:sz w:val="32"/>
          <w:szCs w:val="32"/>
          <w:u w:val="single"/>
        </w:rPr>
        <w:t>年</w:t>
      </w:r>
      <w:r>
        <w:rPr>
          <w:rFonts w:hint="eastAsia" w:eastAsia="宋体"/>
          <w:b/>
          <w:w w:val="95"/>
          <w:sz w:val="32"/>
          <w:szCs w:val="32"/>
          <w:u w:val="single"/>
          <w:lang w:val="en-US" w:eastAsia="zh-CN"/>
        </w:rPr>
        <w:t>十一</w:t>
      </w:r>
      <w:r>
        <w:rPr>
          <w:b/>
          <w:w w:val="95"/>
          <w:sz w:val="32"/>
          <w:szCs w:val="32"/>
          <w:u w:val="single"/>
        </w:rPr>
        <w:t>月</w:t>
      </w:r>
    </w:p>
    <w:p>
      <w:pPr>
        <w:sectPr>
          <w:footerReference r:id="rId3" w:type="default"/>
          <w:pgSz w:w="11907" w:h="16839"/>
          <w:pgMar w:top="1431" w:right="1323" w:bottom="1175" w:left="1334" w:header="0" w:footer="1015" w:gutter="0"/>
          <w:cols w:space="720" w:num="1"/>
        </w:sectPr>
      </w:pPr>
    </w:p>
    <w:p>
      <w:pPr>
        <w:jc w:val="center"/>
        <w:rPr>
          <w:rFonts w:eastAsia="宋体"/>
          <w:b/>
          <w:bCs/>
          <w:sz w:val="32"/>
          <w:szCs w:val="32"/>
        </w:rPr>
      </w:pPr>
      <w:r>
        <w:rPr>
          <w:rFonts w:hint="eastAsia" w:eastAsia="宋体"/>
          <w:b/>
          <w:bCs/>
          <w:sz w:val="32"/>
          <w:szCs w:val="32"/>
        </w:rPr>
        <w:t>目  录</w:t>
      </w:r>
    </w:p>
    <w:p>
      <w:pPr>
        <w:pStyle w:val="21"/>
        <w:tabs>
          <w:tab w:val="right" w:leader="dot" w:pos="9807"/>
        </w:tabs>
        <w:spacing w:line="360" w:lineRule="auto"/>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TOC \o "1-3" \h \u </w:instrText>
      </w:r>
      <w:r>
        <w:rPr>
          <w:rFonts w:hint="eastAsia" w:ascii="华文宋体" w:hAnsi="华文宋体" w:eastAsia="宋体" w:cs="华文宋体"/>
          <w:sz w:val="28"/>
          <w:szCs w:val="28"/>
        </w:rPr>
        <w:fldChar w:fldCharType="separate"/>
      </w:r>
      <w:r>
        <w:fldChar w:fldCharType="begin"/>
      </w:r>
      <w:r>
        <w:instrText xml:space="preserve"> HYPERLINK \l "_Toc10667" </w:instrText>
      </w:r>
      <w:r>
        <w:fldChar w:fldCharType="separate"/>
      </w:r>
      <w:r>
        <w:rPr>
          <w:rFonts w:ascii="宋体" w:hAnsi="宋体" w:eastAsia="宋体" w:cs="宋体"/>
          <w:bCs/>
          <w:spacing w:val="9"/>
          <w:sz w:val="28"/>
          <w:szCs w:val="31"/>
        </w:rPr>
        <w:t>第一部分 招标公告</w:t>
      </w:r>
      <w:r>
        <w:rPr>
          <w:rFonts w:eastAsia="宋体"/>
          <w:sz w:val="28"/>
        </w:rPr>
        <w:tab/>
      </w:r>
      <w:r>
        <w:rPr>
          <w:rFonts w:eastAsia="宋体"/>
          <w:sz w:val="28"/>
        </w:rPr>
        <w:fldChar w:fldCharType="begin"/>
      </w:r>
      <w:r>
        <w:rPr>
          <w:rFonts w:eastAsia="宋体"/>
          <w:sz w:val="28"/>
        </w:rPr>
        <w:instrText xml:space="preserve"> PAGEREF _Toc10667 \h </w:instrText>
      </w:r>
      <w:r>
        <w:rPr>
          <w:rFonts w:eastAsia="宋体"/>
          <w:sz w:val="28"/>
        </w:rPr>
        <w:fldChar w:fldCharType="separate"/>
      </w:r>
      <w:r>
        <w:rPr>
          <w:rFonts w:eastAsia="宋体"/>
          <w:sz w:val="28"/>
        </w:rPr>
        <w:t>1</w:t>
      </w:r>
      <w:r>
        <w:rPr>
          <w:rFonts w:eastAsia="宋体"/>
          <w:sz w:val="28"/>
        </w:rPr>
        <w:fldChar w:fldCharType="end"/>
      </w:r>
      <w:r>
        <w:rPr>
          <w:rFonts w:eastAsia="宋体"/>
          <w:sz w:val="28"/>
        </w:rPr>
        <w:fldChar w:fldCharType="end"/>
      </w:r>
    </w:p>
    <w:p>
      <w:pPr>
        <w:pStyle w:val="21"/>
        <w:tabs>
          <w:tab w:val="right" w:leader="dot" w:pos="9807"/>
        </w:tabs>
        <w:spacing w:line="360" w:lineRule="auto"/>
        <w:rPr>
          <w:rFonts w:eastAsia="宋体"/>
          <w:sz w:val="28"/>
        </w:rPr>
      </w:pPr>
      <w:r>
        <w:fldChar w:fldCharType="begin"/>
      </w:r>
      <w:r>
        <w:instrText xml:space="preserve"> HYPERLINK \l "_Toc5634" </w:instrText>
      </w:r>
      <w:r>
        <w:fldChar w:fldCharType="separate"/>
      </w:r>
      <w:r>
        <w:rPr>
          <w:rFonts w:ascii="宋体" w:hAnsi="宋体" w:eastAsia="宋体" w:cs="宋体"/>
          <w:bCs/>
          <w:spacing w:val="9"/>
          <w:sz w:val="28"/>
          <w:szCs w:val="31"/>
        </w:rPr>
        <w:t>第二部分</w:t>
      </w:r>
      <w:r>
        <w:rPr>
          <w:rFonts w:hint="eastAsia" w:ascii="宋体" w:hAnsi="宋体" w:eastAsia="宋体" w:cs="宋体"/>
          <w:bCs/>
          <w:spacing w:val="9"/>
          <w:sz w:val="28"/>
          <w:szCs w:val="31"/>
        </w:rPr>
        <w:t xml:space="preserve"> </w:t>
      </w:r>
      <w:r>
        <w:rPr>
          <w:rFonts w:ascii="宋体" w:hAnsi="宋体" w:eastAsia="宋体" w:cs="宋体"/>
          <w:bCs/>
          <w:spacing w:val="9"/>
          <w:sz w:val="28"/>
          <w:szCs w:val="31"/>
        </w:rPr>
        <w:t>投标人须</w:t>
      </w:r>
      <w:r>
        <w:rPr>
          <w:rFonts w:ascii="宋体" w:hAnsi="宋体" w:eastAsia="宋体" w:cs="宋体"/>
          <w:bCs/>
          <w:spacing w:val="8"/>
          <w:sz w:val="28"/>
          <w:szCs w:val="31"/>
        </w:rPr>
        <w:t>知</w:t>
      </w:r>
      <w:r>
        <w:rPr>
          <w:rFonts w:eastAsia="宋体"/>
          <w:sz w:val="28"/>
        </w:rPr>
        <w:tab/>
      </w:r>
      <w:r>
        <w:rPr>
          <w:rFonts w:eastAsia="宋体"/>
          <w:sz w:val="28"/>
        </w:rPr>
        <w:fldChar w:fldCharType="begin"/>
      </w:r>
      <w:r>
        <w:rPr>
          <w:rFonts w:eastAsia="宋体"/>
          <w:sz w:val="28"/>
        </w:rPr>
        <w:instrText xml:space="preserve"> PAGEREF _Toc5634 \h </w:instrText>
      </w:r>
      <w:r>
        <w:rPr>
          <w:rFonts w:eastAsia="宋体"/>
          <w:sz w:val="28"/>
        </w:rPr>
        <w:fldChar w:fldCharType="separate"/>
      </w:r>
      <w:r>
        <w:rPr>
          <w:rFonts w:eastAsia="宋体"/>
          <w:sz w:val="28"/>
        </w:rPr>
        <w:t>5</w:t>
      </w:r>
      <w:r>
        <w:rPr>
          <w:rFonts w:eastAsia="宋体"/>
          <w:sz w:val="28"/>
        </w:rPr>
        <w:fldChar w:fldCharType="end"/>
      </w:r>
      <w:r>
        <w:rPr>
          <w:rFonts w:eastAsia="宋体"/>
          <w:sz w:val="28"/>
        </w:rPr>
        <w:fldChar w:fldCharType="end"/>
      </w:r>
    </w:p>
    <w:p>
      <w:pPr>
        <w:pStyle w:val="21"/>
        <w:tabs>
          <w:tab w:val="right" w:leader="dot" w:pos="9807"/>
        </w:tabs>
        <w:spacing w:line="360" w:lineRule="auto"/>
        <w:rPr>
          <w:rFonts w:eastAsia="宋体"/>
          <w:sz w:val="28"/>
        </w:rPr>
      </w:pPr>
      <w:r>
        <w:fldChar w:fldCharType="begin"/>
      </w:r>
      <w:r>
        <w:instrText xml:space="preserve"> HYPERLINK \l "_Toc3831" </w:instrText>
      </w:r>
      <w:r>
        <w:fldChar w:fldCharType="separate"/>
      </w:r>
      <w:r>
        <w:rPr>
          <w:rFonts w:hint="eastAsia" w:eastAsia="宋体" w:asciiTheme="minorEastAsia" w:hAnsiTheme="minorEastAsia" w:cstheme="minorEastAsia"/>
          <w:bCs/>
          <w:spacing w:val="18"/>
          <w:sz w:val="28"/>
          <w:szCs w:val="31"/>
        </w:rPr>
        <w:t>第三部分 项目采购内容</w:t>
      </w:r>
      <w:r>
        <w:rPr>
          <w:rFonts w:eastAsia="宋体"/>
          <w:sz w:val="28"/>
        </w:rPr>
        <w:tab/>
      </w:r>
      <w:r>
        <w:rPr>
          <w:rFonts w:hint="eastAsia" w:eastAsia="宋体"/>
          <w:sz w:val="28"/>
        </w:rPr>
        <w:t>8</w:t>
      </w:r>
      <w:r>
        <w:rPr>
          <w:rFonts w:hint="eastAsia" w:eastAsia="宋体"/>
          <w:sz w:val="28"/>
        </w:rPr>
        <w:fldChar w:fldCharType="end"/>
      </w:r>
    </w:p>
    <w:p>
      <w:pPr>
        <w:pStyle w:val="21"/>
        <w:tabs>
          <w:tab w:val="right" w:leader="dot" w:pos="9807"/>
        </w:tabs>
        <w:spacing w:line="360" w:lineRule="auto"/>
        <w:rPr>
          <w:rFonts w:eastAsia="宋体"/>
          <w:sz w:val="28"/>
        </w:rPr>
      </w:pPr>
      <w:r>
        <w:fldChar w:fldCharType="begin"/>
      </w:r>
      <w:r>
        <w:instrText xml:space="preserve"> HYPERLINK \l "_Toc10329" </w:instrText>
      </w:r>
      <w:r>
        <w:fldChar w:fldCharType="separate"/>
      </w:r>
      <w:r>
        <w:rPr>
          <w:rFonts w:hint="eastAsia" w:eastAsia="宋体" w:asciiTheme="minorEastAsia" w:hAnsiTheme="minorEastAsia" w:cstheme="minorEastAsia"/>
          <w:bCs/>
          <w:spacing w:val="18"/>
          <w:sz w:val="28"/>
          <w:szCs w:val="31"/>
        </w:rPr>
        <w:t>第</w:t>
      </w:r>
      <w:r>
        <w:rPr>
          <w:rFonts w:hint="eastAsia" w:eastAsia="宋体" w:asciiTheme="minorEastAsia" w:hAnsiTheme="minorEastAsia" w:cstheme="minorEastAsia"/>
          <w:bCs/>
          <w:spacing w:val="9"/>
          <w:sz w:val="28"/>
          <w:szCs w:val="31"/>
        </w:rPr>
        <w:t>四部分 投标人须知正文部分</w:t>
      </w:r>
      <w:r>
        <w:rPr>
          <w:rFonts w:eastAsia="宋体"/>
          <w:sz w:val="28"/>
        </w:rPr>
        <w:tab/>
      </w:r>
      <w:r>
        <w:rPr>
          <w:rFonts w:eastAsia="宋体"/>
          <w:sz w:val="28"/>
        </w:rPr>
        <w:fldChar w:fldCharType="begin"/>
      </w:r>
      <w:r>
        <w:rPr>
          <w:rFonts w:eastAsia="宋体"/>
          <w:sz w:val="28"/>
        </w:rPr>
        <w:instrText xml:space="preserve"> PAGEREF _Toc10329 \h </w:instrText>
      </w:r>
      <w:r>
        <w:rPr>
          <w:rFonts w:eastAsia="宋体"/>
          <w:sz w:val="28"/>
        </w:rPr>
        <w:fldChar w:fldCharType="separate"/>
      </w:r>
      <w:r>
        <w:rPr>
          <w:rFonts w:eastAsia="宋体"/>
          <w:sz w:val="28"/>
        </w:rPr>
        <w:t>13</w:t>
      </w:r>
      <w:r>
        <w:rPr>
          <w:rFonts w:eastAsia="宋体"/>
          <w:sz w:val="28"/>
        </w:rPr>
        <w:fldChar w:fldCharType="end"/>
      </w:r>
      <w:r>
        <w:rPr>
          <w:rFonts w:eastAsia="宋体"/>
          <w:sz w:val="28"/>
        </w:rPr>
        <w:fldChar w:fldCharType="end"/>
      </w:r>
    </w:p>
    <w:p>
      <w:pPr>
        <w:pStyle w:val="21"/>
        <w:tabs>
          <w:tab w:val="right" w:leader="dot" w:pos="9807"/>
        </w:tabs>
        <w:spacing w:line="360" w:lineRule="auto"/>
        <w:rPr>
          <w:rFonts w:eastAsia="宋体"/>
          <w:sz w:val="28"/>
        </w:rPr>
      </w:pPr>
      <w:r>
        <w:fldChar w:fldCharType="begin"/>
      </w:r>
      <w:r>
        <w:instrText xml:space="preserve"> HYPERLINK \l "_Toc21724" </w:instrText>
      </w:r>
      <w:r>
        <w:fldChar w:fldCharType="separate"/>
      </w:r>
      <w:r>
        <w:rPr>
          <w:rFonts w:ascii="宋体" w:hAnsi="宋体" w:eastAsia="宋体" w:cs="宋体"/>
          <w:bCs/>
          <w:spacing w:val="15"/>
          <w:sz w:val="28"/>
          <w:szCs w:val="31"/>
        </w:rPr>
        <w:t>第</w:t>
      </w:r>
      <w:r>
        <w:rPr>
          <w:rFonts w:hint="eastAsia" w:ascii="宋体" w:hAnsi="宋体" w:eastAsia="宋体" w:cs="宋体"/>
          <w:bCs/>
          <w:spacing w:val="8"/>
          <w:sz w:val="28"/>
          <w:szCs w:val="31"/>
        </w:rPr>
        <w:t>五</w:t>
      </w:r>
      <w:r>
        <w:rPr>
          <w:rFonts w:ascii="宋体" w:hAnsi="宋体" w:eastAsia="宋体" w:cs="宋体"/>
          <w:bCs/>
          <w:spacing w:val="8"/>
          <w:sz w:val="28"/>
          <w:szCs w:val="31"/>
        </w:rPr>
        <w:t>部分</w:t>
      </w:r>
      <w:r>
        <w:rPr>
          <w:rFonts w:hint="eastAsia" w:ascii="宋体" w:hAnsi="宋体" w:eastAsia="宋体" w:cs="宋体"/>
          <w:bCs/>
          <w:spacing w:val="8"/>
          <w:sz w:val="28"/>
          <w:szCs w:val="31"/>
        </w:rPr>
        <w:t xml:space="preserve"> </w:t>
      </w:r>
      <w:r>
        <w:rPr>
          <w:rFonts w:ascii="宋体" w:hAnsi="宋体" w:eastAsia="宋体" w:cs="宋体"/>
          <w:bCs/>
          <w:spacing w:val="8"/>
          <w:sz w:val="28"/>
          <w:szCs w:val="31"/>
        </w:rPr>
        <w:t>合同格式</w:t>
      </w:r>
      <w:r>
        <w:rPr>
          <w:rFonts w:eastAsia="宋体"/>
          <w:sz w:val="28"/>
        </w:rPr>
        <w:tab/>
      </w:r>
      <w:r>
        <w:rPr>
          <w:rFonts w:eastAsia="宋体"/>
          <w:sz w:val="28"/>
        </w:rPr>
        <w:fldChar w:fldCharType="begin"/>
      </w:r>
      <w:r>
        <w:rPr>
          <w:rFonts w:eastAsia="宋体"/>
          <w:sz w:val="28"/>
        </w:rPr>
        <w:instrText xml:space="preserve"> PAGEREF _Toc21724 \h </w:instrText>
      </w:r>
      <w:r>
        <w:rPr>
          <w:rFonts w:eastAsia="宋体"/>
          <w:sz w:val="28"/>
        </w:rPr>
        <w:fldChar w:fldCharType="separate"/>
      </w:r>
      <w:r>
        <w:rPr>
          <w:rFonts w:eastAsia="宋体"/>
          <w:sz w:val="28"/>
        </w:rPr>
        <w:t>30</w:t>
      </w:r>
      <w:r>
        <w:rPr>
          <w:rFonts w:eastAsia="宋体"/>
          <w:sz w:val="28"/>
        </w:rPr>
        <w:fldChar w:fldCharType="end"/>
      </w:r>
      <w:r>
        <w:rPr>
          <w:rFonts w:eastAsia="宋体"/>
          <w:sz w:val="28"/>
        </w:rPr>
        <w:fldChar w:fldCharType="end"/>
      </w:r>
    </w:p>
    <w:p>
      <w:pPr>
        <w:pStyle w:val="21"/>
        <w:tabs>
          <w:tab w:val="right" w:leader="dot" w:pos="9807"/>
        </w:tabs>
        <w:spacing w:line="360" w:lineRule="auto"/>
        <w:rPr>
          <w:rFonts w:eastAsia="宋体"/>
          <w:sz w:val="28"/>
        </w:rPr>
      </w:pPr>
      <w:r>
        <w:fldChar w:fldCharType="begin"/>
      </w:r>
      <w:r>
        <w:instrText xml:space="preserve"> HYPERLINK \l "_Toc5387" </w:instrText>
      </w:r>
      <w:r>
        <w:fldChar w:fldCharType="separate"/>
      </w:r>
      <w:r>
        <w:rPr>
          <w:rFonts w:ascii="宋体" w:hAnsi="宋体" w:eastAsia="宋体" w:cs="宋体"/>
          <w:bCs/>
          <w:spacing w:val="10"/>
          <w:sz w:val="28"/>
          <w:szCs w:val="31"/>
        </w:rPr>
        <w:t>第</w:t>
      </w:r>
      <w:r>
        <w:rPr>
          <w:rFonts w:hint="eastAsia" w:ascii="宋体" w:hAnsi="宋体" w:eastAsia="宋体" w:cs="宋体"/>
          <w:bCs/>
          <w:spacing w:val="9"/>
          <w:sz w:val="28"/>
          <w:szCs w:val="31"/>
        </w:rPr>
        <w:t>六</w:t>
      </w:r>
      <w:r>
        <w:rPr>
          <w:rFonts w:ascii="宋体" w:hAnsi="宋体" w:eastAsia="宋体" w:cs="宋体"/>
          <w:bCs/>
          <w:spacing w:val="9"/>
          <w:sz w:val="28"/>
          <w:szCs w:val="31"/>
        </w:rPr>
        <w:t>部分</w:t>
      </w:r>
      <w:r>
        <w:rPr>
          <w:rFonts w:hint="eastAsia" w:ascii="宋体" w:hAnsi="宋体" w:eastAsia="宋体" w:cs="宋体"/>
          <w:bCs/>
          <w:spacing w:val="9"/>
          <w:sz w:val="28"/>
          <w:szCs w:val="31"/>
        </w:rPr>
        <w:t xml:space="preserve"> </w:t>
      </w:r>
      <w:r>
        <w:rPr>
          <w:rFonts w:ascii="宋体" w:hAnsi="宋体" w:eastAsia="宋体" w:cs="宋体"/>
          <w:bCs/>
          <w:spacing w:val="9"/>
          <w:sz w:val="28"/>
          <w:szCs w:val="31"/>
        </w:rPr>
        <w:t>投标文件格式</w:t>
      </w:r>
      <w:r>
        <w:rPr>
          <w:rFonts w:eastAsia="宋体"/>
          <w:sz w:val="28"/>
        </w:rPr>
        <w:tab/>
      </w:r>
      <w:r>
        <w:rPr>
          <w:rFonts w:eastAsia="宋体"/>
          <w:sz w:val="28"/>
        </w:rPr>
        <w:fldChar w:fldCharType="begin"/>
      </w:r>
      <w:r>
        <w:rPr>
          <w:rFonts w:eastAsia="宋体"/>
          <w:sz w:val="28"/>
        </w:rPr>
        <w:instrText xml:space="preserve"> PAGEREF _Toc5387 \h </w:instrText>
      </w:r>
      <w:r>
        <w:rPr>
          <w:rFonts w:eastAsia="宋体"/>
          <w:sz w:val="28"/>
        </w:rPr>
        <w:fldChar w:fldCharType="separate"/>
      </w:r>
      <w:r>
        <w:rPr>
          <w:rFonts w:eastAsia="宋体"/>
          <w:sz w:val="28"/>
        </w:rPr>
        <w:t>32</w:t>
      </w:r>
      <w:r>
        <w:rPr>
          <w:rFonts w:eastAsia="宋体"/>
          <w:sz w:val="28"/>
        </w:rPr>
        <w:fldChar w:fldCharType="end"/>
      </w:r>
      <w:r>
        <w:rPr>
          <w:rFonts w:eastAsia="宋体"/>
          <w:sz w:val="28"/>
        </w:rPr>
        <w:fldChar w:fldCharType="end"/>
      </w:r>
    </w:p>
    <w:p>
      <w:pPr>
        <w:pStyle w:val="45"/>
        <w:spacing w:line="360" w:lineRule="auto"/>
        <w:rPr>
          <w:rFonts w:eastAsia="宋体"/>
          <w:b/>
          <w:bCs/>
          <w:sz w:val="32"/>
          <w:szCs w:val="32"/>
        </w:rPr>
        <w:sectPr>
          <w:headerReference r:id="rId4" w:type="default"/>
          <w:footerReference r:id="rId5" w:type="default"/>
          <w:pgSz w:w="11907" w:h="16839"/>
          <w:pgMar w:top="1476" w:right="1049" w:bottom="1226" w:left="1051" w:header="1155" w:footer="958" w:gutter="0"/>
          <w:cols w:space="720" w:num="1"/>
        </w:sectPr>
      </w:pPr>
      <w:r>
        <w:rPr>
          <w:rFonts w:hint="eastAsia" w:ascii="华文宋体" w:hAnsi="华文宋体" w:eastAsia="宋体" w:cs="华文宋体"/>
          <w:sz w:val="28"/>
          <w:szCs w:val="28"/>
        </w:rPr>
        <w:fldChar w:fldCharType="end"/>
      </w:r>
      <w:bookmarkStart w:id="0" w:name="_Toc10667"/>
    </w:p>
    <w:p>
      <w:pPr>
        <w:pStyle w:val="45"/>
        <w:spacing w:line="360" w:lineRule="auto"/>
        <w:jc w:val="center"/>
        <w:outlineLvl w:val="0"/>
        <w:rPr>
          <w:rFonts w:ascii="宋体" w:hAnsi="宋体" w:eastAsia="宋体" w:cs="宋体"/>
          <w:b/>
          <w:bCs/>
          <w:spacing w:val="9"/>
          <w:sz w:val="31"/>
          <w:szCs w:val="31"/>
        </w:rPr>
      </w:pPr>
      <w:r>
        <w:rPr>
          <w:rFonts w:ascii="宋体" w:hAnsi="宋体" w:eastAsia="宋体" w:cs="宋体"/>
          <w:b/>
          <w:bCs/>
          <w:spacing w:val="9"/>
          <w:sz w:val="31"/>
          <w:szCs w:val="31"/>
        </w:rPr>
        <w:t>第一部分 招标公告</w:t>
      </w:r>
      <w:bookmarkEnd w:id="0"/>
    </w:p>
    <w:p>
      <w:pPr>
        <w:pStyle w:val="26"/>
        <w:spacing w:before="0" w:beforeAutospacing="0" w:after="0" w:afterAutospacing="0" w:line="360" w:lineRule="auto"/>
        <w:ind w:firstLine="639" w:firstLineChars="200"/>
        <w:jc w:val="center"/>
        <w:rPr>
          <w:rFonts w:ascii="黑体" w:hAnsi="黑体" w:eastAsia="宋体" w:cs="黑体"/>
          <w:b/>
          <w:bCs/>
          <w:spacing w:val="-1"/>
          <w:sz w:val="32"/>
          <w:szCs w:val="36"/>
        </w:rPr>
      </w:pPr>
      <w:r>
        <w:rPr>
          <w:rFonts w:hint="eastAsia" w:ascii="黑体" w:hAnsi="黑体" w:eastAsia="宋体" w:cs="黑体"/>
          <w:b/>
          <w:bCs/>
          <w:spacing w:val="-1"/>
          <w:sz w:val="32"/>
          <w:szCs w:val="36"/>
          <w:lang w:eastAsia="zh-CN"/>
        </w:rPr>
        <w:t>唐河县妇幼保健院购置四维彩超、麻醉机等医疗设备项目</w:t>
      </w:r>
      <w:r>
        <w:rPr>
          <w:rFonts w:hint="eastAsia" w:ascii="黑体" w:hAnsi="黑体" w:eastAsia="宋体" w:cs="黑体"/>
          <w:b/>
          <w:bCs/>
          <w:spacing w:val="-1"/>
          <w:sz w:val="32"/>
          <w:szCs w:val="36"/>
        </w:rPr>
        <w:t>招标</w:t>
      </w:r>
      <w:r>
        <w:rPr>
          <w:rFonts w:ascii="黑体" w:hAnsi="黑体" w:eastAsia="宋体" w:cs="黑体"/>
          <w:b/>
          <w:bCs/>
          <w:spacing w:val="-1"/>
          <w:sz w:val="32"/>
          <w:szCs w:val="36"/>
        </w:rPr>
        <w:t>公告</w:t>
      </w:r>
    </w:p>
    <w:tbl>
      <w:tblPr>
        <w:tblStyle w:val="29"/>
        <w:tblW w:w="4611" w:type="pct"/>
        <w:tblCellSpacing w:w="15" w:type="dxa"/>
        <w:tblInd w:w="445" w:type="dxa"/>
        <w:tblLayout w:type="fixed"/>
        <w:tblCellMar>
          <w:top w:w="0" w:type="dxa"/>
          <w:left w:w="0" w:type="dxa"/>
          <w:bottom w:w="0" w:type="dxa"/>
          <w:right w:w="0" w:type="dxa"/>
        </w:tblCellMar>
      </w:tblPr>
      <w:tblGrid>
        <w:gridCol w:w="9317"/>
      </w:tblGrid>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pStyle w:val="26"/>
              <w:spacing w:before="0" w:beforeAutospacing="0" w:after="0" w:afterAutospacing="0" w:line="600" w:lineRule="atLeast"/>
              <w:ind w:firstLine="420"/>
              <w:rPr>
                <w:rFonts w:ascii="微软雅黑" w:hAnsi="微软雅黑" w:eastAsia="微软雅黑" w:cs="微软雅黑"/>
                <w:b/>
                <w:bCs/>
                <w:sz w:val="21"/>
              </w:rPr>
            </w:pPr>
            <w:r>
              <w:rPr>
                <w:rFonts w:hint="eastAsia" w:ascii="微软雅黑" w:hAnsi="微软雅黑" w:eastAsia="微软雅黑" w:cs="微软雅黑"/>
                <w:b/>
                <w:bCs/>
                <w:sz w:val="21"/>
              </w:rPr>
              <w:t>项目概况</w:t>
            </w:r>
          </w:p>
          <w:p>
            <w:pPr>
              <w:pStyle w:val="26"/>
              <w:spacing w:before="0" w:beforeAutospacing="0" w:after="0" w:afterAutospacing="0" w:line="600" w:lineRule="atLeast"/>
              <w:ind w:firstLine="420"/>
              <w:rPr>
                <w:rFonts w:ascii="微软雅黑" w:hAnsi="微软雅黑" w:eastAsia="微软雅黑" w:cs="微软雅黑"/>
                <w:sz w:val="21"/>
              </w:rPr>
            </w:pPr>
            <w:r>
              <w:rPr>
                <w:rFonts w:hint="eastAsia" w:ascii="微软雅黑" w:hAnsi="微软雅黑" w:eastAsia="微软雅黑" w:cs="微软雅黑"/>
                <w:b/>
                <w:bCs/>
                <w:sz w:val="21"/>
                <w:u w:val="single"/>
                <w:lang w:eastAsia="zh-CN"/>
              </w:rPr>
              <w:t>唐河县妇幼保健院购置四维彩超、麻醉机等医疗设备项目</w:t>
            </w:r>
            <w:r>
              <w:rPr>
                <w:rFonts w:hint="eastAsia" w:ascii="微软雅黑" w:hAnsi="微软雅黑" w:eastAsia="微软雅黑" w:cs="微软雅黑"/>
                <w:sz w:val="21"/>
              </w:rPr>
              <w:t>招标项目的潜在投标人应在</w:t>
            </w:r>
            <w:r>
              <w:rPr>
                <w:rFonts w:hint="eastAsia" w:ascii="微软雅黑" w:hAnsi="微软雅黑" w:eastAsia="微软雅黑" w:cs="微软雅黑"/>
                <w:b/>
                <w:bCs/>
                <w:sz w:val="21"/>
                <w:u w:val="single"/>
              </w:rPr>
              <w:t>唐河县公共资源交易中心网站（http://www.thggzy.cn）</w:t>
            </w:r>
            <w:r>
              <w:rPr>
                <w:rFonts w:hint="eastAsia" w:ascii="微软雅黑" w:hAnsi="微软雅黑" w:eastAsia="微软雅黑" w:cs="微软雅黑"/>
                <w:sz w:val="21"/>
              </w:rPr>
              <w:t>获取招标文件，并于</w:t>
            </w:r>
            <w:r>
              <w:rPr>
                <w:rFonts w:hint="eastAsia" w:ascii="微软雅黑" w:hAnsi="微软雅黑" w:eastAsia="微软雅黑" w:cs="微软雅黑"/>
                <w:b/>
                <w:bCs/>
                <w:sz w:val="21"/>
                <w:u w:val="single"/>
              </w:rPr>
              <w:t>2023年</w:t>
            </w:r>
            <w:r>
              <w:rPr>
                <w:rFonts w:hint="eastAsia" w:ascii="微软雅黑" w:hAnsi="微软雅黑" w:eastAsia="微软雅黑" w:cs="微软雅黑"/>
                <w:b/>
                <w:bCs/>
                <w:sz w:val="21"/>
                <w:u w:val="single"/>
                <w:lang w:val="en-US" w:eastAsia="zh-CN"/>
              </w:rPr>
              <w:t>12</w:t>
            </w:r>
            <w:r>
              <w:rPr>
                <w:rFonts w:hint="eastAsia" w:ascii="微软雅黑" w:hAnsi="微软雅黑" w:eastAsia="微软雅黑" w:cs="微软雅黑"/>
                <w:b/>
                <w:bCs/>
                <w:sz w:val="21"/>
                <w:u w:val="single"/>
              </w:rPr>
              <w:t>月</w:t>
            </w:r>
            <w:r>
              <w:rPr>
                <w:rFonts w:hint="eastAsia" w:ascii="微软雅黑" w:hAnsi="微软雅黑" w:eastAsia="微软雅黑" w:cs="微软雅黑"/>
                <w:b/>
                <w:bCs/>
                <w:sz w:val="21"/>
                <w:u w:val="single"/>
                <w:lang w:val="en-US" w:eastAsia="zh-CN"/>
              </w:rPr>
              <w:t>14</w:t>
            </w:r>
            <w:r>
              <w:rPr>
                <w:rFonts w:hint="eastAsia" w:ascii="微软雅黑" w:hAnsi="微软雅黑" w:eastAsia="微软雅黑" w:cs="微软雅黑"/>
                <w:b/>
                <w:bCs/>
                <w:sz w:val="21"/>
                <w:u w:val="single"/>
              </w:rPr>
              <w:t>日</w:t>
            </w:r>
            <w:r>
              <w:rPr>
                <w:rFonts w:hint="eastAsia" w:ascii="微软雅黑" w:hAnsi="微软雅黑" w:eastAsia="微软雅黑" w:cs="微软雅黑"/>
                <w:b/>
                <w:bCs/>
                <w:sz w:val="21"/>
                <w:u w:val="single"/>
                <w:lang w:val="en-US" w:eastAsia="zh-CN"/>
              </w:rPr>
              <w:t>09</w:t>
            </w:r>
            <w:r>
              <w:rPr>
                <w:rFonts w:hint="eastAsia" w:ascii="微软雅黑" w:hAnsi="微软雅黑" w:eastAsia="微软雅黑" w:cs="微软雅黑"/>
                <w:b/>
                <w:bCs/>
                <w:sz w:val="21"/>
                <w:u w:val="single"/>
              </w:rPr>
              <w:t>时</w:t>
            </w:r>
            <w:r>
              <w:rPr>
                <w:rFonts w:hint="eastAsia" w:ascii="微软雅黑" w:hAnsi="微软雅黑" w:eastAsia="微软雅黑" w:cs="微软雅黑"/>
                <w:b/>
                <w:bCs/>
                <w:sz w:val="21"/>
                <w:u w:val="single"/>
                <w:lang w:val="en-US" w:eastAsia="zh-CN"/>
              </w:rPr>
              <w:t>30分</w:t>
            </w:r>
            <w:r>
              <w:rPr>
                <w:rFonts w:hint="eastAsia" w:ascii="微软雅黑" w:hAnsi="微软雅黑" w:eastAsia="微软雅黑" w:cs="微软雅黑"/>
                <w:sz w:val="21"/>
              </w:rPr>
              <w:t>（北京时间）前递交投标文件。</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一、项目基本情况</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hint="default" w:ascii="微软雅黑" w:hAnsi="微软雅黑" w:eastAsia="微软雅黑" w:cs="微软雅黑"/>
                <w:lang w:val="en-US" w:eastAsia="zh-CN"/>
              </w:rPr>
            </w:pPr>
            <w:r>
              <w:rPr>
                <w:rFonts w:hint="eastAsia" w:ascii="微软雅黑" w:hAnsi="微软雅黑" w:eastAsia="微软雅黑" w:cs="微软雅黑"/>
                <w:lang w:bidi="ar"/>
              </w:rPr>
              <w:t>1、项目编号：THGGZY-WCGK-2023-</w:t>
            </w:r>
            <w:r>
              <w:rPr>
                <w:rFonts w:hint="eastAsia" w:ascii="微软雅黑" w:hAnsi="微软雅黑" w:eastAsia="微软雅黑" w:cs="微软雅黑"/>
                <w:lang w:val="en-US" w:eastAsia="zh-CN" w:bidi="ar"/>
              </w:rPr>
              <w:t>08</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hint="eastAsia" w:ascii="微软雅黑" w:hAnsi="微软雅黑" w:eastAsia="微软雅黑" w:cs="微软雅黑"/>
                <w:lang w:eastAsia="zh-CN"/>
              </w:rPr>
            </w:pPr>
            <w:r>
              <w:rPr>
                <w:rFonts w:hint="eastAsia" w:ascii="微软雅黑" w:hAnsi="微软雅黑" w:eastAsia="微软雅黑" w:cs="微软雅黑"/>
                <w:lang w:bidi="ar"/>
              </w:rPr>
              <w:t>2、项目名称：</w:t>
            </w:r>
            <w:r>
              <w:rPr>
                <w:rFonts w:hint="eastAsia" w:ascii="微软雅黑" w:hAnsi="微软雅黑" w:eastAsia="微软雅黑" w:cs="微软雅黑"/>
                <w:lang w:eastAsia="zh-CN" w:bidi="ar"/>
              </w:rPr>
              <w:t>唐河县妇幼保健院购置四维彩超、麻醉机等医疗设备项目</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3、采购方式：公开招标</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4、预算金额：</w:t>
            </w:r>
            <w:r>
              <w:rPr>
                <w:rFonts w:hint="eastAsia" w:ascii="微软雅黑" w:hAnsi="微软雅黑" w:eastAsia="微软雅黑" w:cs="微软雅黑"/>
                <w:lang w:val="en-US" w:eastAsia="zh-CN" w:bidi="ar"/>
              </w:rPr>
              <w:t>1445000</w:t>
            </w:r>
            <w:r>
              <w:rPr>
                <w:rFonts w:hint="eastAsia" w:ascii="微软雅黑" w:hAnsi="微软雅黑" w:eastAsia="微软雅黑" w:cs="微软雅黑"/>
                <w:lang w:bidi="ar"/>
              </w:rPr>
              <w:t>元</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最高限价：</w:t>
            </w:r>
            <w:r>
              <w:rPr>
                <w:rFonts w:hint="eastAsia" w:ascii="微软雅黑" w:hAnsi="微软雅黑" w:eastAsia="微软雅黑" w:cs="微软雅黑"/>
                <w:lang w:val="en-US" w:eastAsia="zh-CN" w:bidi="ar"/>
              </w:rPr>
              <w:t>1445000</w:t>
            </w:r>
            <w:r>
              <w:rPr>
                <w:rFonts w:hint="eastAsia" w:ascii="微软雅黑" w:hAnsi="微软雅黑" w:eastAsia="微软雅黑" w:cs="微软雅黑"/>
                <w:lang w:bidi="ar"/>
              </w:rPr>
              <w:t>元</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420" w:type="dxa"/>
            </w:tcMar>
            <w:vAlign w:val="center"/>
          </w:tcPr>
          <w:tbl>
            <w:tblPr>
              <w:tblStyle w:val="29"/>
              <w:tblW w:w="8936" w:type="dxa"/>
              <w:tblCellSpacing w:w="0" w:type="dxa"/>
              <w:tblInd w:w="-3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9"/>
              <w:gridCol w:w="1625"/>
              <w:gridCol w:w="4138"/>
              <w:gridCol w:w="1225"/>
              <w:gridCol w:w="11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0" w:hRule="atLeast"/>
                <w:tblCellSpacing w:w="0" w:type="dxa"/>
              </w:trPr>
              <w:tc>
                <w:tcPr>
                  <w:tcW w:w="419"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序号</w:t>
                  </w:r>
                </w:p>
              </w:tc>
              <w:tc>
                <w:tcPr>
                  <w:tcW w:w="909"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包号</w:t>
                  </w:r>
                </w:p>
              </w:tc>
              <w:tc>
                <w:tcPr>
                  <w:tcW w:w="2315"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包名称</w:t>
                  </w:r>
                </w:p>
              </w:tc>
              <w:tc>
                <w:tcPr>
                  <w:tcW w:w="685"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包预算（元）</w:t>
                  </w:r>
                </w:p>
              </w:tc>
              <w:tc>
                <w:tcPr>
                  <w:tcW w:w="670"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9" w:type="pct"/>
                  <w:shd w:val="clear" w:color="auto" w:fill="auto"/>
                  <w:tcMar>
                    <w:top w:w="120" w:type="dxa"/>
                  </w:tcMar>
                  <w:vAlign w:val="center"/>
                </w:tcPr>
                <w:p>
                  <w:pPr>
                    <w:wordWrap w:val="0"/>
                    <w:spacing w:line="420" w:lineRule="atLeast"/>
                    <w:jc w:val="center"/>
                    <w:rPr>
                      <w:rFonts w:ascii="微软雅黑" w:hAnsi="微软雅黑" w:eastAsia="微软雅黑" w:cs="微软雅黑"/>
                    </w:rPr>
                  </w:pPr>
                  <w:r>
                    <w:rPr>
                      <w:rFonts w:hint="eastAsia" w:ascii="微软雅黑" w:hAnsi="微软雅黑" w:eastAsia="微软雅黑" w:cs="微软雅黑"/>
                      <w:lang w:bidi="ar"/>
                    </w:rPr>
                    <w:t>1</w:t>
                  </w:r>
                </w:p>
              </w:tc>
              <w:tc>
                <w:tcPr>
                  <w:tcW w:w="909" w:type="pct"/>
                  <w:shd w:val="clear" w:color="auto" w:fill="auto"/>
                  <w:tcMar>
                    <w:top w:w="120" w:type="dxa"/>
                  </w:tcMar>
                  <w:vAlign w:val="center"/>
                </w:tcPr>
                <w:p>
                  <w:pPr>
                    <w:wordWrap w:val="0"/>
                    <w:spacing w:line="420" w:lineRule="atLeast"/>
                    <w:jc w:val="center"/>
                    <w:rPr>
                      <w:rFonts w:hint="default" w:ascii="微软雅黑" w:hAnsi="微软雅黑" w:eastAsia="宋体" w:cs="微软雅黑"/>
                      <w:lang w:val="en-US" w:eastAsia="zh-CN"/>
                    </w:rPr>
                  </w:pPr>
                  <w:r>
                    <w:rPr>
                      <w:rFonts w:hint="eastAsia" w:ascii="微软雅黑" w:hAnsi="微软雅黑" w:eastAsia="微软雅黑" w:cs="微软雅黑"/>
                      <w:lang w:eastAsia="zh-CN" w:bidi="ar"/>
                    </w:rPr>
                    <w:t>THGGZY-WCGK-2023-</w:t>
                  </w:r>
                </w:p>
              </w:tc>
              <w:tc>
                <w:tcPr>
                  <w:tcW w:w="231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val="en-US" w:eastAsia="zh-CN"/>
                    </w:rPr>
                    <w:t>唐河县妇幼保健院购置四维彩超、麻醉机等医疗设备项目一标段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bidi="ar"/>
                    </w:rPr>
                    <w:t>1250000</w:t>
                  </w:r>
                </w:p>
              </w:tc>
              <w:tc>
                <w:tcPr>
                  <w:tcW w:w="670"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rPr>
                  </w:pPr>
                  <w:r>
                    <w:rPr>
                      <w:rFonts w:hint="eastAsia" w:ascii="微软雅黑" w:hAnsi="微软雅黑" w:eastAsia="微软雅黑" w:cs="微软雅黑"/>
                      <w:lang w:val="en-US" w:eastAsia="zh-CN" w:bidi="ar"/>
                    </w:rPr>
                    <w:t>1250000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9"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2</w:t>
                  </w:r>
                </w:p>
              </w:tc>
              <w:tc>
                <w:tcPr>
                  <w:tcW w:w="909"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eastAsia="zh-CN" w:bidi="ar"/>
                    </w:rPr>
                  </w:pPr>
                  <w:r>
                    <w:rPr>
                      <w:rFonts w:hint="eastAsia" w:ascii="微软雅黑" w:hAnsi="微软雅黑" w:eastAsia="微软雅黑" w:cs="微软雅黑"/>
                      <w:lang w:eastAsia="zh-CN" w:bidi="ar"/>
                    </w:rPr>
                    <w:t>THGGZY-WCGK-2023-</w:t>
                  </w:r>
                </w:p>
              </w:tc>
              <w:tc>
                <w:tcPr>
                  <w:tcW w:w="231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唐河县妇幼保健院购置四维彩超、麻醉机等医疗设备项目二标段</w:t>
                  </w:r>
                </w:p>
              </w:tc>
              <w:tc>
                <w:tcPr>
                  <w:tcW w:w="685" w:type="pct"/>
                  <w:shd w:val="clear" w:color="auto" w:fill="auto"/>
                  <w:tcMar>
                    <w:top w:w="120" w:type="dxa"/>
                  </w:tcMar>
                  <w:vAlign w:val="center"/>
                </w:tcPr>
                <w:p>
                  <w:pPr>
                    <w:wordWrap w:val="0"/>
                    <w:spacing w:line="420" w:lineRule="atLeast"/>
                    <w:jc w:val="center"/>
                    <w:rPr>
                      <w:rFonts w:hint="default" w:ascii="微软雅黑" w:hAnsi="微软雅黑" w:eastAsia="微软雅黑" w:cs="微软雅黑"/>
                      <w:lang w:val="en-US" w:eastAsia="zh-CN" w:bidi="ar"/>
                    </w:rPr>
                  </w:pPr>
                  <w:r>
                    <w:rPr>
                      <w:rFonts w:hint="eastAsia" w:ascii="微软雅黑" w:hAnsi="微软雅黑" w:eastAsia="微软雅黑" w:cs="微软雅黑"/>
                      <w:lang w:val="en-US" w:eastAsia="zh-CN" w:bidi="ar"/>
                    </w:rPr>
                    <w:t>195000</w:t>
                  </w:r>
                </w:p>
              </w:tc>
              <w:tc>
                <w:tcPr>
                  <w:tcW w:w="670" w:type="pct"/>
                  <w:shd w:val="clear" w:color="auto" w:fill="auto"/>
                  <w:tcMar>
                    <w:top w:w="120" w:type="dxa"/>
                  </w:tcMar>
                  <w:vAlign w:val="center"/>
                </w:tcPr>
                <w:p>
                  <w:pPr>
                    <w:wordWrap w:val="0"/>
                    <w:spacing w:line="420" w:lineRule="atLeast"/>
                    <w:jc w:val="center"/>
                    <w:rPr>
                      <w:rFonts w:hint="eastAsia" w:ascii="微软雅黑" w:hAnsi="微软雅黑" w:eastAsia="微软雅黑" w:cs="微软雅黑"/>
                      <w:lang w:val="en-US" w:eastAsia="zh-CN" w:bidi="ar"/>
                    </w:rPr>
                  </w:pPr>
                  <w:r>
                    <w:rPr>
                      <w:rFonts w:hint="eastAsia" w:ascii="微软雅黑" w:hAnsi="微软雅黑" w:eastAsia="微软雅黑" w:cs="微软雅黑"/>
                      <w:lang w:val="en-US" w:eastAsia="zh-CN" w:bidi="ar"/>
                    </w:rPr>
                    <w:t>195000</w:t>
                  </w:r>
                </w:p>
              </w:tc>
            </w:tr>
          </w:tbl>
          <w:p>
            <w:pPr>
              <w:wordWrap w:val="0"/>
              <w:spacing w:line="420" w:lineRule="atLeast"/>
              <w:jc w:val="center"/>
              <w:rPr>
                <w:rFonts w:ascii="微软雅黑" w:hAnsi="微软雅黑" w:eastAsia="微软雅黑" w:cs="微软雅黑"/>
              </w:rPr>
            </w:pP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5、采购需求（包括但不限于标的的名称、数量、简要技术需求或服务要求等）</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840" w:type="dxa"/>
            </w:tcMar>
            <w:vAlign w:val="center"/>
          </w:tcPr>
          <w:p>
            <w:pPr>
              <w:numPr>
                <w:ilvl w:val="0"/>
                <w:numId w:val="2"/>
              </w:numPr>
              <w:spacing w:line="420" w:lineRule="atLeast"/>
              <w:ind w:left="-619" w:leftChars="-295"/>
              <w:rPr>
                <w:rFonts w:hint="eastAsia"/>
                <w:lang w:val="en-US" w:eastAsia="zh-CN"/>
              </w:rPr>
            </w:pPr>
            <w:r>
              <w:rPr>
                <w:rFonts w:hint="eastAsia" w:ascii="微软雅黑" w:hAnsi="微软雅黑" w:eastAsia="微软雅黑" w:cs="微软雅黑"/>
                <w:lang w:bidi="ar"/>
              </w:rPr>
              <w:t>项目实施地点：唐河县；</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（2）采购内容：</w:t>
            </w:r>
            <w:r>
              <w:rPr>
                <w:rFonts w:hint="eastAsia" w:ascii="微软雅黑" w:hAnsi="微软雅黑" w:eastAsia="微软雅黑" w:cs="微软雅黑"/>
                <w:lang w:val="en-US" w:eastAsia="zh-CN"/>
              </w:rPr>
              <w:t>唐河县妇幼保健院购置四维彩超、麻醉机医疗设备各一台</w:t>
            </w:r>
            <w:r>
              <w:rPr>
                <w:rFonts w:hint="eastAsia" w:ascii="微软雅黑" w:hAnsi="微软雅黑" w:eastAsia="微软雅黑" w:cs="微软雅黑"/>
                <w:lang w:bidi="ar"/>
              </w:rPr>
              <w:t>。（详情见</w:t>
            </w:r>
            <w:r>
              <w:rPr>
                <w:rFonts w:hint="eastAsia" w:ascii="微软雅黑" w:hAnsi="微软雅黑" w:eastAsia="微软雅黑" w:cs="微软雅黑"/>
                <w:lang w:val="en-US" w:eastAsia="zh-CN" w:bidi="ar"/>
              </w:rPr>
              <w:t>服务</w:t>
            </w:r>
            <w:r>
              <w:rPr>
                <w:rFonts w:hint="eastAsia" w:ascii="微软雅黑" w:hAnsi="微软雅黑" w:eastAsia="微软雅黑" w:cs="微软雅黑"/>
                <w:lang w:bidi="ar"/>
              </w:rPr>
              <w:t>采购清单）；</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（3）标段划分：本项目划分为</w:t>
            </w:r>
            <w:r>
              <w:rPr>
                <w:rFonts w:hint="eastAsia" w:ascii="微软雅黑" w:hAnsi="微软雅黑" w:eastAsia="微软雅黑" w:cs="微软雅黑"/>
                <w:lang w:val="en-US" w:eastAsia="zh-CN" w:bidi="ar"/>
              </w:rPr>
              <w:t>2</w:t>
            </w:r>
            <w:r>
              <w:rPr>
                <w:rFonts w:hint="eastAsia" w:ascii="微软雅黑" w:hAnsi="微软雅黑" w:eastAsia="微软雅黑" w:cs="微软雅黑"/>
                <w:lang w:bidi="ar"/>
              </w:rPr>
              <w:t>个标段，具体如下：</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一标</w:t>
            </w:r>
            <w:r>
              <w:rPr>
                <w:rFonts w:hint="eastAsia" w:ascii="微软雅黑" w:hAnsi="微软雅黑" w:eastAsia="微软雅黑" w:cs="微软雅黑"/>
                <w:lang w:val="en-US" w:eastAsia="zh-CN" w:bidi="ar"/>
              </w:rPr>
              <w:t>段：</w:t>
            </w:r>
            <w:r>
              <w:rPr>
                <w:rFonts w:hint="eastAsia" w:ascii="微软雅黑" w:hAnsi="微软雅黑" w:eastAsia="微软雅黑" w:cs="微软雅黑"/>
                <w:lang w:val="en-US" w:eastAsia="zh-CN"/>
              </w:rPr>
              <w:t>唐河县妇幼保健院购置四维彩超、麻醉机等医疗设备项目一标段</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二标段：唐河县妇幼保健院购置四维彩超、麻醉机等医疗设备项目二标段</w:t>
            </w:r>
          </w:p>
          <w:p>
            <w:pPr>
              <w:numPr>
                <w:ilvl w:val="0"/>
                <w:numId w:val="2"/>
              </w:numPr>
              <w:spacing w:line="420" w:lineRule="atLeast"/>
              <w:ind w:left="-619" w:leftChars="-295"/>
            </w:pPr>
            <w:r>
              <w:rPr>
                <w:rFonts w:hint="eastAsia" w:ascii="微软雅黑" w:hAnsi="微软雅黑" w:eastAsia="微软雅黑" w:cs="微软雅黑"/>
                <w:lang w:val="en-US" w:eastAsia="zh-CN" w:bidi="ar"/>
              </w:rPr>
              <w:t>采购期限：60个日历天</w:t>
            </w:r>
            <w:r>
              <w:rPr>
                <w:rFonts w:hint="eastAsia" w:ascii="微软雅黑" w:hAnsi="微软雅黑" w:eastAsia="微软雅黑" w:cs="微软雅黑"/>
                <w:lang w:val="zh-CN" w:eastAsia="zh-CN" w:bidi="ar"/>
              </w:rPr>
              <w:br w:type="textWrapping"/>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）质量要求：合格符合国家规范标准。</w:t>
            </w:r>
          </w:p>
          <w:p>
            <w:pPr>
              <w:numPr>
                <w:ilvl w:val="0"/>
                <w:numId w:val="0"/>
              </w:numPr>
              <w:spacing w:line="420" w:lineRule="atLeast"/>
              <w:ind w:left="-619" w:leftChars="-295" w:firstLine="0" w:firstLineChars="0"/>
              <w:rPr>
                <w:rFonts w:hint="default" w:eastAsia="宋体"/>
                <w:lang w:val="en-US" w:eastAsia="zh-CN"/>
              </w:rPr>
            </w:pP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6</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质保期：1年，终身维护。</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hint="default" w:ascii="微软雅黑" w:hAnsi="微软雅黑" w:eastAsia="微软雅黑" w:cs="微软雅黑"/>
                <w:lang w:val="en-US" w:eastAsia="zh-CN"/>
              </w:rPr>
            </w:pPr>
            <w:r>
              <w:rPr>
                <w:rFonts w:hint="eastAsia" w:ascii="微软雅黑" w:hAnsi="微软雅黑" w:eastAsia="微软雅黑" w:cs="微软雅黑"/>
                <w:highlight w:val="none"/>
                <w:lang w:bidi="ar"/>
              </w:rPr>
              <w:t>6、</w:t>
            </w:r>
            <w:r>
              <w:rPr>
                <w:rFonts w:hint="eastAsia" w:ascii="微软雅黑" w:hAnsi="微软雅黑" w:eastAsia="微软雅黑" w:cs="微软雅黑"/>
                <w:highlight w:val="none"/>
                <w:lang w:val="en-US" w:eastAsia="zh-CN" w:bidi="ar"/>
              </w:rPr>
              <w:t>合同履行</w:t>
            </w:r>
            <w:r>
              <w:rPr>
                <w:rFonts w:hint="eastAsia" w:ascii="微软雅黑" w:hAnsi="微软雅黑" w:eastAsia="微软雅黑" w:cs="微软雅黑"/>
                <w:highlight w:val="none"/>
                <w:lang w:bidi="ar"/>
              </w:rPr>
              <w:t>期限：</w:t>
            </w:r>
            <w:r>
              <w:rPr>
                <w:rFonts w:hint="eastAsia" w:ascii="微软雅黑" w:hAnsi="微软雅黑" w:eastAsia="微软雅黑" w:cs="微软雅黑"/>
                <w:lang w:val="en-US" w:eastAsia="zh-CN" w:bidi="ar"/>
              </w:rPr>
              <w:t>60个日历天</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7、本项目是否接受联合体投标：否</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8、是否接受进口产品：否</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二、申请人资格要求：</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1、满足《中华人民共和国政府采购法》第二十二条规定；</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2、落实政府采购政策满足的资格要求：</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840" w:type="dxa"/>
            </w:tcMar>
            <w:vAlign w:val="center"/>
          </w:tcPr>
          <w:p>
            <w:pPr>
              <w:spacing w:line="420" w:lineRule="atLeast"/>
              <w:ind w:left="-619" w:leftChars="-295" w:firstLine="619" w:firstLineChars="295"/>
              <w:rPr>
                <w:rFonts w:ascii="微软雅黑" w:hAnsi="微软雅黑" w:eastAsia="微软雅黑" w:cs="微软雅黑"/>
              </w:rPr>
            </w:pPr>
            <w:r>
              <w:rPr>
                <w:rFonts w:hint="eastAsia" w:ascii="微软雅黑" w:hAnsi="微软雅黑" w:eastAsia="微软雅黑" w:cs="微软雅黑"/>
                <w:lang w:bidi="ar"/>
              </w:rPr>
              <w:t>本项目执行节能产品、环境标志产品、扶持中小企业、监狱企业和残疾人福利性单位发展等相关政府采购政策。</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3、本项目的特定资格要求</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840" w:type="dxa"/>
            </w:tcMar>
            <w:vAlign w:val="center"/>
          </w:tcPr>
          <w:p>
            <w:pPr>
              <w:spacing w:line="420" w:lineRule="atLeast"/>
              <w:ind w:left="-619" w:leftChars="-295"/>
              <w:rPr>
                <w:rFonts w:hint="default" w:ascii="微软雅黑" w:hAnsi="微软雅黑" w:eastAsia="微软雅黑" w:cs="微软雅黑"/>
                <w:lang w:val="en-US" w:eastAsia="zh-CN" w:bidi="ar"/>
              </w:rPr>
            </w:pPr>
            <w:r>
              <w:rPr>
                <w:rFonts w:hint="eastAsia" w:ascii="微软雅黑" w:hAnsi="微软雅黑" w:eastAsia="微软雅黑" w:cs="微软雅黑"/>
                <w:lang w:val="en-US" w:eastAsia="zh-CN" w:bidi="ar"/>
              </w:rPr>
              <w:t>一、二标段：</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（1）供应商须是中华人民共和国境内注册，具有独立法人资格，具有有效的营业执照,需具有医疗专用设备修理资格；</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（2）投标人具有有效的医疗器械经营许可证或者二类备案许可证；</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（3）供应商参加政府采购活动前三年内，在经营活动中没有重大违法记录的书面声明（供应商自行承诺，格式自拟，加盖公章）。</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（4）有依法缴纳税收和社会保障资金的良好记录(提供2023年任意3个月的完税证明和社会保障资金证明)</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（5）具有良好的商业信誉和健全的财务会计制度，提供2022年的财务审计报告或财务报表（企业注册不足一年的以注册时间为准，则提供成立月份以来的企业财务报表）。</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（6）供应商具备履行合同所必需的设备和专业技术能力（供应商自行承诺，格式自拟，加盖公章）。</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（7）供应商须作出“无行贿行为承诺”，并对真实性负责，若承诺不实，造成的后果由供应商自行负责（供应商自行承诺，格式自拟，加盖公章）。</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8）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提供查询结果网页截图，查询时间：不得早于公告发布之日】。</w:t>
            </w:r>
          </w:p>
          <w:p>
            <w:pPr>
              <w:spacing w:line="420" w:lineRule="atLeast"/>
              <w:ind w:left="-619" w:leftChars="-295"/>
              <w:rPr>
                <w:rFonts w:hint="eastAsia" w:ascii="微软雅黑" w:hAnsi="微软雅黑" w:eastAsia="微软雅黑" w:cs="微软雅黑"/>
                <w:lang w:bidi="ar"/>
              </w:rPr>
            </w:pPr>
            <w:r>
              <w:rPr>
                <w:rFonts w:hint="eastAsia" w:ascii="微软雅黑" w:hAnsi="微软雅黑" w:eastAsia="微软雅黑" w:cs="微软雅黑"/>
                <w:lang w:bidi="ar"/>
              </w:rPr>
              <w:t>（9）本次招标不接受联合体投标，不允许分包和转包。</w:t>
            </w:r>
          </w:p>
          <w:p>
            <w:pPr>
              <w:spacing w:line="420" w:lineRule="atLeast"/>
              <w:ind w:left="-619" w:leftChars="-295"/>
              <w:rPr>
                <w:rFonts w:ascii="微软雅黑" w:hAnsi="微软雅黑" w:eastAsia="微软雅黑" w:cs="微软雅黑"/>
              </w:rPr>
            </w:pPr>
            <w:r>
              <w:rPr>
                <w:rFonts w:hint="eastAsia" w:ascii="微软雅黑" w:hAnsi="微软雅黑" w:eastAsia="微软雅黑" w:cs="微软雅黑"/>
                <w:lang w:bidi="ar"/>
              </w:rPr>
              <w:t>（10）满足法律、行政法规及本项目磋商文件规定的其他条件。</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三、获取招标文件</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1.时间：2023年</w:t>
            </w:r>
            <w:r>
              <w:rPr>
                <w:rFonts w:hint="eastAsia" w:ascii="微软雅黑" w:hAnsi="微软雅黑" w:eastAsia="微软雅黑" w:cs="微软雅黑"/>
                <w:lang w:val="en-US" w:eastAsia="zh-CN" w:bidi="ar"/>
              </w:rPr>
              <w:t>11</w:t>
            </w:r>
            <w:r>
              <w:rPr>
                <w:rFonts w:hint="eastAsia" w:ascii="微软雅黑" w:hAnsi="微软雅黑" w:eastAsia="微软雅黑" w:cs="微软雅黑"/>
                <w:lang w:bidi="ar"/>
              </w:rPr>
              <w:t>月</w:t>
            </w:r>
            <w:r>
              <w:rPr>
                <w:rFonts w:hint="eastAsia" w:ascii="微软雅黑" w:hAnsi="微软雅黑" w:eastAsia="微软雅黑" w:cs="微软雅黑"/>
                <w:lang w:val="en-US" w:eastAsia="zh-CN" w:bidi="ar"/>
              </w:rPr>
              <w:t>22</w:t>
            </w:r>
            <w:r>
              <w:rPr>
                <w:rFonts w:hint="eastAsia" w:ascii="微软雅黑" w:hAnsi="微软雅黑" w:eastAsia="微软雅黑" w:cs="微软雅黑"/>
                <w:lang w:bidi="ar"/>
              </w:rPr>
              <w:t>日 至 2023年</w:t>
            </w:r>
            <w:r>
              <w:rPr>
                <w:rFonts w:hint="eastAsia" w:ascii="微软雅黑" w:hAnsi="微软雅黑" w:eastAsia="微软雅黑" w:cs="微软雅黑"/>
                <w:lang w:val="en-US" w:eastAsia="zh-CN" w:bidi="ar"/>
              </w:rPr>
              <w:t>11</w:t>
            </w:r>
            <w:r>
              <w:rPr>
                <w:rFonts w:hint="eastAsia" w:ascii="微软雅黑" w:hAnsi="微软雅黑" w:eastAsia="微软雅黑" w:cs="微软雅黑"/>
                <w:lang w:bidi="ar"/>
              </w:rPr>
              <w:t>月</w:t>
            </w:r>
            <w:r>
              <w:rPr>
                <w:rFonts w:hint="eastAsia" w:ascii="微软雅黑" w:hAnsi="微软雅黑" w:eastAsia="微软雅黑" w:cs="微软雅黑"/>
                <w:lang w:val="en-US" w:eastAsia="zh-CN" w:bidi="ar"/>
              </w:rPr>
              <w:t>29</w:t>
            </w:r>
            <w:r>
              <w:rPr>
                <w:rFonts w:hint="eastAsia" w:ascii="微软雅黑" w:hAnsi="微软雅黑" w:eastAsia="微软雅黑" w:cs="微软雅黑"/>
                <w:lang w:bidi="ar"/>
              </w:rPr>
              <w:t>日，每天上午0</w:t>
            </w:r>
            <w:r>
              <w:rPr>
                <w:rFonts w:hint="eastAsia" w:ascii="微软雅黑" w:hAnsi="微软雅黑" w:eastAsia="微软雅黑" w:cs="微软雅黑"/>
                <w:lang w:val="en-US" w:eastAsia="zh-CN" w:bidi="ar"/>
              </w:rPr>
              <w:t>9</w:t>
            </w:r>
            <w:r>
              <w:rPr>
                <w:rFonts w:hint="eastAsia" w:ascii="微软雅黑" w:hAnsi="微软雅黑" w:eastAsia="微软雅黑" w:cs="微软雅黑"/>
                <w:lang w:bidi="ar"/>
              </w:rPr>
              <w:t>:00至12:00，下午12:00至</w:t>
            </w:r>
            <w:r>
              <w:rPr>
                <w:rFonts w:hint="eastAsia" w:ascii="微软雅黑" w:hAnsi="微软雅黑" w:eastAsia="微软雅黑" w:cs="微软雅黑"/>
                <w:lang w:val="en-US" w:eastAsia="zh-CN" w:bidi="ar"/>
              </w:rPr>
              <w:t>17</w:t>
            </w:r>
            <w:r>
              <w:rPr>
                <w:rFonts w:hint="eastAsia" w:ascii="微软雅黑" w:hAnsi="微软雅黑" w:eastAsia="微软雅黑" w:cs="微软雅黑"/>
                <w:lang w:bidi="ar"/>
              </w:rPr>
              <w:t>:</w:t>
            </w:r>
            <w:r>
              <w:rPr>
                <w:rFonts w:hint="eastAsia" w:ascii="微软雅黑" w:hAnsi="微软雅黑" w:eastAsia="微软雅黑" w:cs="微软雅黑"/>
                <w:lang w:val="en-US" w:eastAsia="zh-CN" w:bidi="ar"/>
              </w:rPr>
              <w:t>30</w:t>
            </w:r>
            <w:r>
              <w:rPr>
                <w:rFonts w:hint="eastAsia" w:ascii="微软雅黑" w:hAnsi="微软雅黑" w:eastAsia="微软雅黑" w:cs="微软雅黑"/>
                <w:lang w:bidi="ar"/>
              </w:rPr>
              <w:t>（北京时间，法定节假日除外。）</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2.地点：唐河县公共资源交易中心网站（http://www.thggzy.cn）</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3.方式：网上下载。潜在供应商在南阳市公共资源交易中心办理CA数字证书，在南阳市交易平台诚信库进行登记注册，验证通过后可直接运用CA证书登录唐河县公共资源交易中心网站（www.thggzy.cn）交易主体登陆进行网上下载采购文件。唐河县公共资源交易平台与南阳市公共资源交易平台诚信库系统互认共享、CA数字证书互认共享。</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4.售价：0元</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四、投标截止时间及地点</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1.时间：2023年</w:t>
            </w:r>
            <w:r>
              <w:rPr>
                <w:rFonts w:hint="eastAsia" w:ascii="微软雅黑" w:hAnsi="微软雅黑" w:eastAsia="微软雅黑" w:cs="微软雅黑"/>
                <w:lang w:val="en-US" w:eastAsia="zh-CN" w:bidi="ar"/>
              </w:rPr>
              <w:t>12</w:t>
            </w:r>
            <w:r>
              <w:rPr>
                <w:rFonts w:hint="eastAsia" w:ascii="微软雅黑" w:hAnsi="微软雅黑" w:eastAsia="微软雅黑" w:cs="微软雅黑"/>
                <w:lang w:bidi="ar"/>
              </w:rPr>
              <w:t>月</w:t>
            </w:r>
            <w:r>
              <w:rPr>
                <w:rFonts w:hint="eastAsia" w:ascii="微软雅黑" w:hAnsi="微软雅黑" w:eastAsia="微软雅黑" w:cs="微软雅黑"/>
                <w:lang w:val="en-US" w:eastAsia="zh-CN" w:bidi="ar"/>
              </w:rPr>
              <w:t>14</w:t>
            </w:r>
            <w:r>
              <w:rPr>
                <w:rFonts w:hint="eastAsia" w:ascii="微软雅黑" w:hAnsi="微软雅黑" w:eastAsia="微软雅黑" w:cs="微软雅黑"/>
                <w:lang w:bidi="ar"/>
              </w:rPr>
              <w:t>日</w:t>
            </w:r>
            <w:r>
              <w:rPr>
                <w:rFonts w:hint="eastAsia" w:ascii="微软雅黑" w:hAnsi="微软雅黑" w:eastAsia="微软雅黑" w:cs="微软雅黑"/>
                <w:lang w:val="en-US" w:eastAsia="zh-CN" w:bidi="ar"/>
              </w:rPr>
              <w:t>09</w:t>
            </w:r>
            <w:r>
              <w:rPr>
                <w:rFonts w:hint="eastAsia" w:ascii="微软雅黑" w:hAnsi="微软雅黑" w:eastAsia="微软雅黑" w:cs="微软雅黑"/>
                <w:lang w:bidi="ar"/>
              </w:rPr>
              <w:t>时</w:t>
            </w:r>
            <w:r>
              <w:rPr>
                <w:rFonts w:hint="eastAsia" w:ascii="微软雅黑" w:hAnsi="微软雅黑" w:eastAsia="微软雅黑" w:cs="微软雅黑"/>
                <w:lang w:val="en-US" w:eastAsia="zh-CN" w:bidi="ar"/>
              </w:rPr>
              <w:t>30</w:t>
            </w:r>
            <w:r>
              <w:rPr>
                <w:rFonts w:hint="eastAsia" w:ascii="微软雅黑" w:hAnsi="微软雅黑" w:eastAsia="微软雅黑" w:cs="微软雅黑"/>
                <w:lang w:bidi="ar"/>
              </w:rPr>
              <w:t>分（北京时间）</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2.地</w:t>
            </w:r>
            <w:r>
              <w:rPr>
                <w:rFonts w:hint="eastAsia" w:ascii="微软雅黑" w:hAnsi="微软雅黑" w:eastAsia="微软雅黑" w:cs="微软雅黑"/>
                <w:lang w:val="en-US" w:eastAsia="zh-CN" w:bidi="ar"/>
              </w:rPr>
              <w:t>点：唐河县公共资源交易中心网站（http://www.thggzy.cn）</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五、开标时间及地点</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1.时间：2023年</w:t>
            </w:r>
            <w:r>
              <w:rPr>
                <w:rFonts w:hint="eastAsia" w:ascii="微软雅黑" w:hAnsi="微软雅黑" w:eastAsia="微软雅黑" w:cs="微软雅黑"/>
                <w:lang w:val="en-US" w:eastAsia="zh-CN" w:bidi="ar"/>
              </w:rPr>
              <w:t>12</w:t>
            </w:r>
            <w:r>
              <w:rPr>
                <w:rFonts w:hint="eastAsia" w:ascii="微软雅黑" w:hAnsi="微软雅黑" w:eastAsia="微软雅黑" w:cs="微软雅黑"/>
                <w:lang w:bidi="ar"/>
              </w:rPr>
              <w:t>月</w:t>
            </w:r>
            <w:r>
              <w:rPr>
                <w:rFonts w:hint="eastAsia" w:ascii="微软雅黑" w:hAnsi="微软雅黑" w:eastAsia="微软雅黑" w:cs="微软雅黑"/>
                <w:lang w:val="en-US" w:eastAsia="zh-CN" w:bidi="ar"/>
              </w:rPr>
              <w:t>14</w:t>
            </w:r>
            <w:r>
              <w:rPr>
                <w:rFonts w:hint="eastAsia" w:ascii="微软雅黑" w:hAnsi="微软雅黑" w:eastAsia="微软雅黑" w:cs="微软雅黑"/>
                <w:lang w:bidi="ar"/>
              </w:rPr>
              <w:t>日</w:t>
            </w:r>
            <w:r>
              <w:rPr>
                <w:rFonts w:hint="eastAsia" w:ascii="微软雅黑" w:hAnsi="微软雅黑" w:eastAsia="微软雅黑" w:cs="微软雅黑"/>
                <w:lang w:val="en-US" w:eastAsia="zh-CN" w:bidi="ar"/>
              </w:rPr>
              <w:t>09</w:t>
            </w:r>
            <w:r>
              <w:rPr>
                <w:rFonts w:hint="eastAsia" w:ascii="微软雅黑" w:hAnsi="微软雅黑" w:eastAsia="微软雅黑" w:cs="微软雅黑"/>
                <w:lang w:bidi="ar"/>
              </w:rPr>
              <w:t>时</w:t>
            </w:r>
            <w:r>
              <w:rPr>
                <w:rFonts w:hint="eastAsia" w:ascii="微软雅黑" w:hAnsi="微软雅黑" w:eastAsia="微软雅黑" w:cs="微软雅黑"/>
                <w:lang w:val="en-US" w:eastAsia="zh-CN" w:bidi="ar"/>
              </w:rPr>
              <w:t>30</w:t>
            </w:r>
            <w:r>
              <w:rPr>
                <w:rFonts w:hint="eastAsia" w:ascii="微软雅黑" w:hAnsi="微软雅黑" w:eastAsia="微软雅黑" w:cs="微软雅黑"/>
                <w:lang w:bidi="ar"/>
              </w:rPr>
              <w:t>分（北京时间）</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2.地点：唐河县公共资源交易中心第</w:t>
            </w:r>
            <w:r>
              <w:rPr>
                <w:rFonts w:hint="eastAsia" w:ascii="微软雅黑" w:hAnsi="微软雅黑" w:eastAsia="微软雅黑" w:cs="微软雅黑"/>
                <w:lang w:val="en-US" w:eastAsia="zh-CN" w:bidi="ar"/>
              </w:rPr>
              <w:t>一</w:t>
            </w:r>
            <w:r>
              <w:rPr>
                <w:rFonts w:hint="eastAsia" w:ascii="微软雅黑" w:hAnsi="微软雅黑" w:eastAsia="微软雅黑" w:cs="微软雅黑"/>
                <w:lang w:bidi="ar"/>
              </w:rPr>
              <w:t>开标室（本项目采用网上不见面方式开标，投标企业无需到达开标现场）</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六、发布公告的媒介及招标公告期限</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本次招标公告在《中国招标投标公共服务平台》、《中国政府采购网》和《唐河县公共资源交易中心》上发布， 招标公告期限为五个工作日 。</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七、其他补充事宜</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840" w:type="dxa"/>
            </w:tcMar>
            <w:vAlign w:val="center"/>
          </w:tcPr>
          <w:p>
            <w:pPr>
              <w:spacing w:line="420" w:lineRule="atLeast"/>
              <w:ind w:left="-619" w:leftChars="-295"/>
              <w:rPr>
                <w:rFonts w:ascii="微软雅黑" w:hAnsi="微软雅黑" w:eastAsia="微软雅黑" w:cs="微软雅黑"/>
              </w:rPr>
            </w:pPr>
            <w:r>
              <w:rPr>
                <w:rFonts w:hint="eastAsia" w:ascii="微软雅黑" w:hAnsi="微软雅黑" w:eastAsia="微软雅黑" w:cs="微软雅黑"/>
                <w:lang w:bidi="ar"/>
              </w:rPr>
              <w:t>该项目需要使用不见面开标，投标人无需前往现场来参与投标。各投标人根据手册要求，提前做好相关准备工作。附件：操作手册地址(下载中心或办事指南中自行下载)、不见面开标大厅地址：唐河县公共资源交易中心网站首页“不见面开标大厅”模块。</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（1）该项目自行上传投标文件，无需寄送和递交非加密投标文件光盘等。</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（2）因投标人无需现场参与开标，所有准备工作需自行准备到位。开标过程中如遇到紧急事项，可在不见面开标大厅中进行提出异议或文字交流。</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（3）不见面开标过程中，如投标人准备不到位，造成无法及时解密、网络问题等情况造成开标无法继续的，视为该投标人自动放弃投标（30分钟内），将被退回投标文件。</w:t>
            </w:r>
            <w:r>
              <w:rPr>
                <w:rFonts w:hint="eastAsia" w:ascii="微软雅黑" w:hAnsi="微软雅黑" w:eastAsia="微软雅黑" w:cs="微软雅黑"/>
                <w:lang w:bidi="ar"/>
              </w:rPr>
              <w:br w:type="textWrapping"/>
            </w:r>
            <w:r>
              <w:rPr>
                <w:rFonts w:hint="eastAsia" w:ascii="微软雅黑" w:hAnsi="微软雅黑" w:eastAsia="微软雅黑" w:cs="微软雅黑"/>
                <w:lang w:bidi="ar"/>
              </w:rPr>
              <w:t>（4）电子投标文件应在招标文件规定的投标截止时间前到达交易系统。逾期到达交易系统的电子投标文件视为放弃本次投标。</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八、凡对本次招标提出询问，请按照以下方式联系</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21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1. 采购人信息</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hint="eastAsia" w:ascii="微软雅黑" w:hAnsi="微软雅黑" w:eastAsia="微软雅黑" w:cs="微软雅黑"/>
                <w:lang w:eastAsia="zh-CN"/>
              </w:rPr>
            </w:pPr>
            <w:r>
              <w:rPr>
                <w:rFonts w:hint="eastAsia" w:ascii="微软雅黑" w:hAnsi="微软雅黑" w:eastAsia="微软雅黑" w:cs="微软雅黑"/>
                <w:lang w:bidi="ar"/>
              </w:rPr>
              <w:t>名称：</w:t>
            </w:r>
            <w:r>
              <w:rPr>
                <w:rFonts w:hint="eastAsia" w:ascii="微软雅黑" w:hAnsi="微软雅黑" w:eastAsia="微软雅黑" w:cs="微软雅黑"/>
                <w:lang w:eastAsia="zh-CN" w:bidi="ar"/>
              </w:rPr>
              <w:t>唐河县妇幼保健院</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地址：</w:t>
            </w:r>
            <w:r>
              <w:rPr>
                <w:rFonts w:hint="eastAsia" w:ascii="微软雅黑" w:hAnsi="微软雅黑" w:eastAsia="微软雅黑" w:cs="微软雅黑"/>
                <w:lang w:val="en-US" w:eastAsia="zh-CN" w:bidi="ar"/>
              </w:rPr>
              <w:t>唐河县新民街</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联系</w:t>
            </w:r>
            <w:r>
              <w:rPr>
                <w:rFonts w:hint="eastAsia" w:ascii="微软雅黑" w:hAnsi="微软雅黑" w:eastAsia="微软雅黑" w:cs="微软雅黑"/>
                <w:lang w:val="en-US" w:eastAsia="zh-CN" w:bidi="ar"/>
              </w:rPr>
              <w:t>人：何先生</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联系方</w:t>
            </w:r>
            <w:r>
              <w:rPr>
                <w:rFonts w:hint="eastAsia" w:ascii="微软雅黑" w:hAnsi="微软雅黑" w:eastAsia="微软雅黑" w:cs="微软雅黑"/>
                <w:lang w:val="en-US" w:eastAsia="zh-CN" w:bidi="ar"/>
              </w:rPr>
              <w:t>式：13937780881</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21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2.采购代理机构信息（如有）</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名称：唐河县唐兴工程造价咨询有限公司</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ascii="微软雅黑" w:hAnsi="微软雅黑" w:eastAsia="微软雅黑" w:cs="微软雅黑"/>
              </w:rPr>
            </w:pPr>
            <w:r>
              <w:rPr>
                <w:rFonts w:hint="eastAsia" w:ascii="微软雅黑" w:hAnsi="微软雅黑" w:eastAsia="微软雅黑" w:cs="微软雅黑"/>
                <w:lang w:bidi="ar"/>
              </w:rPr>
              <w:t>地址：河南省南阳市唐河县滨河街道凤山路财政局院内</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hint="eastAsia" w:ascii="微软雅黑" w:hAnsi="微软雅黑" w:eastAsia="微软雅黑" w:cs="微软雅黑"/>
                <w:lang w:val="en-US" w:eastAsia="zh-CN" w:bidi="ar"/>
              </w:rPr>
            </w:pPr>
            <w:r>
              <w:rPr>
                <w:rFonts w:hint="eastAsia" w:ascii="微软雅黑" w:hAnsi="微软雅黑" w:eastAsia="微软雅黑" w:cs="微软雅黑"/>
                <w:lang w:bidi="ar"/>
              </w:rPr>
              <w:t>联系人：</w:t>
            </w:r>
            <w:r>
              <w:rPr>
                <w:rFonts w:hint="eastAsia" w:ascii="微软雅黑" w:hAnsi="微软雅黑" w:eastAsia="微软雅黑" w:cs="微软雅黑"/>
                <w:lang w:val="en-US" w:eastAsia="zh-CN" w:bidi="ar"/>
              </w:rPr>
              <w:t>杨女士</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rPr>
                <w:rFonts w:hint="eastAsia" w:ascii="微软雅黑" w:hAnsi="微软雅黑" w:eastAsia="微软雅黑" w:cs="微软雅黑"/>
                <w:lang w:bidi="ar"/>
              </w:rPr>
            </w:pPr>
            <w:r>
              <w:rPr>
                <w:rFonts w:hint="eastAsia" w:ascii="微软雅黑" w:hAnsi="微软雅黑" w:eastAsia="微软雅黑" w:cs="微软雅黑"/>
                <w:lang w:bidi="ar"/>
              </w:rPr>
              <w:t>联系方式：</w:t>
            </w:r>
            <w:r>
              <w:rPr>
                <w:rFonts w:hint="eastAsia" w:ascii="微软雅黑" w:hAnsi="微软雅黑" w:eastAsia="微软雅黑" w:cs="微软雅黑"/>
                <w:lang w:val="en-US" w:eastAsia="zh-CN" w:bidi="ar"/>
              </w:rPr>
              <w:t>15539992929</w:t>
            </w:r>
          </w:p>
        </w:tc>
      </w:tr>
      <w:tr>
        <w:tblPrEx>
          <w:tblCellMar>
            <w:top w:w="0" w:type="dxa"/>
            <w:left w:w="0" w:type="dxa"/>
            <w:bottom w:w="0" w:type="dxa"/>
            <w:right w:w="0" w:type="dxa"/>
          </w:tblCellMar>
        </w:tblPrEx>
        <w:trPr>
          <w:tblCellSpacing w:w="15" w:type="dxa"/>
        </w:trPr>
        <w:tc>
          <w:tcPr>
            <w:tcW w:w="4967" w:type="pct"/>
            <w:shd w:val="clear" w:color="auto" w:fill="auto"/>
            <w:tcMar>
              <w:top w:w="120" w:type="dxa"/>
              <w:left w:w="210" w:type="dxa"/>
            </w:tcMar>
            <w:vAlign w:val="center"/>
          </w:tcPr>
          <w:p>
            <w:pPr>
              <w:spacing w:line="420" w:lineRule="atLeast"/>
              <w:rPr>
                <w:rFonts w:ascii="微软雅黑" w:hAnsi="微软雅黑" w:eastAsia="微软雅黑" w:cs="微软雅黑"/>
              </w:rPr>
            </w:pPr>
            <w:r>
              <w:rPr>
                <w:rFonts w:hint="eastAsia" w:ascii="微软雅黑" w:hAnsi="微软雅黑" w:eastAsia="微软雅黑" w:cs="微软雅黑"/>
                <w:lang w:bidi="ar"/>
              </w:rPr>
              <w:t>3.项目联系方式</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firstLineChars="0"/>
              <w:rPr>
                <w:rFonts w:ascii="微软雅黑" w:hAnsi="微软雅黑" w:eastAsia="微软雅黑" w:cs="微软雅黑"/>
              </w:rPr>
            </w:pPr>
            <w:r>
              <w:rPr>
                <w:rFonts w:hint="eastAsia" w:ascii="微软雅黑" w:hAnsi="微软雅黑" w:eastAsia="微软雅黑" w:cs="微软雅黑"/>
                <w:lang w:bidi="ar"/>
              </w:rPr>
              <w:t>联系人：</w:t>
            </w:r>
            <w:r>
              <w:rPr>
                <w:rFonts w:hint="eastAsia" w:ascii="微软雅黑" w:hAnsi="微软雅黑" w:eastAsia="微软雅黑" w:cs="微软雅黑"/>
                <w:lang w:val="en-US" w:eastAsia="zh-CN" w:bidi="ar"/>
              </w:rPr>
              <w:t>杨女士</w:t>
            </w:r>
          </w:p>
        </w:tc>
      </w:tr>
      <w:tr>
        <w:tblPrEx>
          <w:tblCellMar>
            <w:top w:w="0" w:type="dxa"/>
            <w:left w:w="0" w:type="dxa"/>
            <w:bottom w:w="0" w:type="dxa"/>
            <w:right w:w="0" w:type="dxa"/>
          </w:tblCellMar>
        </w:tblPrEx>
        <w:trPr>
          <w:tblCellSpacing w:w="15" w:type="dxa"/>
        </w:trPr>
        <w:tc>
          <w:tcPr>
            <w:tcW w:w="4967" w:type="pct"/>
            <w:shd w:val="clear" w:color="auto" w:fill="auto"/>
            <w:tcMar>
              <w:top w:w="120" w:type="dxa"/>
            </w:tcMar>
            <w:vAlign w:val="center"/>
          </w:tcPr>
          <w:p>
            <w:pPr>
              <w:spacing w:line="420" w:lineRule="atLeast"/>
              <w:ind w:firstLine="420" w:firstLineChars="0"/>
              <w:rPr>
                <w:rFonts w:ascii="微软雅黑" w:hAnsi="微软雅黑" w:eastAsia="微软雅黑" w:cs="微软雅黑"/>
              </w:rPr>
            </w:pPr>
            <w:r>
              <w:rPr>
                <w:rFonts w:hint="eastAsia" w:ascii="微软雅黑" w:hAnsi="微软雅黑" w:eastAsia="微软雅黑" w:cs="微软雅黑"/>
                <w:lang w:bidi="ar"/>
              </w:rPr>
              <w:t>联系方式：</w:t>
            </w:r>
            <w:r>
              <w:rPr>
                <w:rFonts w:hint="eastAsia" w:ascii="微软雅黑" w:hAnsi="微软雅黑" w:eastAsia="微软雅黑" w:cs="微软雅黑"/>
                <w:lang w:val="en-US" w:eastAsia="zh-CN" w:bidi="ar"/>
              </w:rPr>
              <w:t>15539992929</w:t>
            </w:r>
          </w:p>
        </w:tc>
      </w:tr>
    </w:tbl>
    <w:p>
      <w:pPr>
        <w:rPr>
          <w:rFonts w:ascii="微软雅黑" w:hAnsi="微软雅黑" w:eastAsia="宋体" w:cs="微软雅黑"/>
          <w:sz w:val="24"/>
          <w:lang w:bidi="ar"/>
        </w:rPr>
      </w:pPr>
      <w:r>
        <w:rPr>
          <w:rFonts w:hint="eastAsia" w:ascii="微软雅黑" w:hAnsi="微软雅黑" w:eastAsia="宋体" w:cs="微软雅黑"/>
          <w:sz w:val="24"/>
          <w:lang w:bidi="ar"/>
        </w:rPr>
        <w:br w:type="page"/>
      </w:r>
    </w:p>
    <w:p>
      <w:pPr>
        <w:spacing w:before="218" w:line="225" w:lineRule="auto"/>
        <w:jc w:val="center"/>
        <w:outlineLvl w:val="0"/>
        <w:rPr>
          <w:rFonts w:ascii="宋体" w:hAnsi="宋体" w:eastAsia="宋体" w:cs="宋体"/>
          <w:b/>
          <w:bCs/>
          <w:sz w:val="31"/>
          <w:szCs w:val="31"/>
        </w:rPr>
      </w:pPr>
      <w:bookmarkStart w:id="1" w:name="_Toc5634"/>
      <w:r>
        <w:rPr>
          <w:rFonts w:ascii="宋体" w:hAnsi="宋体" w:eastAsia="宋体" w:cs="宋体"/>
          <w:b/>
          <w:bCs/>
          <w:spacing w:val="9"/>
          <w:sz w:val="31"/>
          <w:szCs w:val="31"/>
        </w:rPr>
        <w:t>第二部分</w:t>
      </w:r>
      <w:r>
        <w:rPr>
          <w:rFonts w:hint="eastAsia" w:ascii="宋体" w:hAnsi="宋体" w:eastAsia="宋体" w:cs="宋体"/>
          <w:b/>
          <w:bCs/>
          <w:spacing w:val="9"/>
          <w:sz w:val="31"/>
          <w:szCs w:val="31"/>
        </w:rPr>
        <w:t xml:space="preserve"> </w:t>
      </w:r>
      <w:r>
        <w:rPr>
          <w:rFonts w:ascii="宋体" w:hAnsi="宋体" w:eastAsia="宋体" w:cs="宋体"/>
          <w:b/>
          <w:bCs/>
          <w:spacing w:val="9"/>
          <w:sz w:val="31"/>
          <w:szCs w:val="31"/>
        </w:rPr>
        <w:t>投标人须</w:t>
      </w:r>
      <w:r>
        <w:rPr>
          <w:rFonts w:ascii="宋体" w:hAnsi="宋体" w:eastAsia="宋体" w:cs="宋体"/>
          <w:b/>
          <w:bCs/>
          <w:spacing w:val="8"/>
          <w:sz w:val="31"/>
          <w:szCs w:val="31"/>
        </w:rPr>
        <w:t>知</w:t>
      </w:r>
      <w:bookmarkEnd w:id="1"/>
    </w:p>
    <w:p>
      <w:pPr>
        <w:spacing w:line="256" w:lineRule="auto"/>
      </w:pPr>
    </w:p>
    <w:p>
      <w:pPr>
        <w:spacing w:before="69" w:line="220" w:lineRule="auto"/>
        <w:ind w:left="157"/>
        <w:jc w:val="center"/>
        <w:rPr>
          <w:rFonts w:ascii="宋体" w:hAnsi="宋体" w:eastAsia="宋体" w:cs="宋体"/>
          <w:b/>
          <w:bCs/>
        </w:rPr>
      </w:pPr>
      <w:r>
        <w:rPr>
          <w:rFonts w:ascii="宋体" w:hAnsi="宋体" w:eastAsia="宋体" w:cs="宋体"/>
          <w:b/>
          <w:bCs/>
          <w:spacing w:val="-1"/>
        </w:rPr>
        <w:t>投标</w:t>
      </w:r>
      <w:r>
        <w:rPr>
          <w:rFonts w:ascii="宋体" w:hAnsi="宋体" w:eastAsia="宋体" w:cs="宋体"/>
          <w:b/>
          <w:bCs/>
        </w:rPr>
        <w:t>人须知前附表</w:t>
      </w:r>
    </w:p>
    <w:p>
      <w:pPr>
        <w:spacing w:line="128" w:lineRule="exact"/>
      </w:pPr>
    </w:p>
    <w:tbl>
      <w:tblPr>
        <w:tblStyle w:val="47"/>
        <w:tblW w:w="10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270"/>
        <w:gridCol w:w="6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23" w:type="dxa"/>
            <w:vAlign w:val="center"/>
          </w:tcPr>
          <w:p>
            <w:pPr>
              <w:spacing w:line="360" w:lineRule="exact"/>
              <w:jc w:val="center"/>
              <w:rPr>
                <w:rFonts w:ascii="宋体" w:hAnsi="宋体" w:eastAsia="宋体" w:cs="宋体"/>
                <w:b/>
                <w:bCs/>
              </w:rPr>
            </w:pPr>
            <w:r>
              <w:rPr>
                <w:rFonts w:ascii="宋体" w:hAnsi="宋体" w:eastAsia="宋体" w:cs="宋体"/>
                <w:b/>
                <w:bCs/>
                <w:spacing w:val="-2"/>
              </w:rPr>
              <w:t>序</w:t>
            </w:r>
            <w:r>
              <w:rPr>
                <w:rFonts w:ascii="宋体" w:hAnsi="宋体" w:eastAsia="宋体" w:cs="宋体"/>
                <w:b/>
                <w:bCs/>
                <w:spacing w:val="-1"/>
              </w:rPr>
              <w:t>号</w:t>
            </w:r>
          </w:p>
        </w:tc>
        <w:tc>
          <w:tcPr>
            <w:tcW w:w="2270" w:type="dxa"/>
            <w:vAlign w:val="center"/>
          </w:tcPr>
          <w:p>
            <w:pPr>
              <w:spacing w:line="360" w:lineRule="exact"/>
              <w:jc w:val="center"/>
              <w:rPr>
                <w:rFonts w:ascii="宋体" w:hAnsi="宋体" w:eastAsia="宋体" w:cs="宋体"/>
                <w:b/>
                <w:bCs/>
              </w:rPr>
            </w:pPr>
            <w:r>
              <w:rPr>
                <w:rFonts w:ascii="宋体" w:hAnsi="宋体" w:eastAsia="宋体" w:cs="宋体"/>
                <w:b/>
                <w:bCs/>
                <w:spacing w:val="-2"/>
              </w:rPr>
              <w:t>条款名</w:t>
            </w:r>
            <w:r>
              <w:rPr>
                <w:rFonts w:ascii="宋体" w:hAnsi="宋体" w:eastAsia="宋体" w:cs="宋体"/>
                <w:b/>
                <w:bCs/>
                <w:spacing w:val="-1"/>
              </w:rPr>
              <w:t>称</w:t>
            </w:r>
          </w:p>
        </w:tc>
        <w:tc>
          <w:tcPr>
            <w:tcW w:w="6943" w:type="dxa"/>
            <w:vAlign w:val="center"/>
          </w:tcPr>
          <w:p>
            <w:pPr>
              <w:spacing w:line="360" w:lineRule="exact"/>
              <w:jc w:val="center"/>
              <w:rPr>
                <w:rFonts w:ascii="宋体" w:hAnsi="宋体" w:eastAsia="宋体" w:cs="宋体"/>
                <w:b/>
                <w:bCs/>
              </w:rPr>
            </w:pPr>
            <w:r>
              <w:rPr>
                <w:rFonts w:ascii="宋体" w:hAnsi="宋体" w:eastAsia="宋体" w:cs="宋体"/>
                <w:b/>
                <w:bCs/>
                <w:spacing w:val="-2"/>
              </w:rPr>
              <w:t>编列内</w:t>
            </w:r>
            <w:r>
              <w:rPr>
                <w:rFonts w:ascii="宋体" w:hAnsi="宋体" w:eastAsia="宋体" w:cs="宋体"/>
                <w:b/>
                <w:bCs/>
                <w:spacing w:val="-1"/>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pPr>
              <w:spacing w:line="360" w:lineRule="exact"/>
              <w:jc w:val="center"/>
              <w:rPr>
                <w:rFonts w:ascii="宋体" w:hAnsi="宋体" w:eastAsia="宋体" w:cs="宋体"/>
              </w:rPr>
            </w:pPr>
            <w:r>
              <w:rPr>
                <w:rFonts w:ascii="宋体" w:hAnsi="宋体" w:eastAsia="宋体" w:cs="宋体"/>
              </w:rPr>
              <w:t>1</w:t>
            </w:r>
          </w:p>
        </w:tc>
        <w:tc>
          <w:tcPr>
            <w:tcW w:w="2270" w:type="dxa"/>
            <w:vAlign w:val="center"/>
          </w:tcPr>
          <w:p>
            <w:pPr>
              <w:pStyle w:val="48"/>
              <w:widowControl w:val="0"/>
              <w:kinsoku/>
              <w:adjustRightInd/>
              <w:snapToGrid/>
              <w:spacing w:line="360" w:lineRule="exact"/>
              <w:jc w:val="center"/>
              <w:textAlignment w:val="auto"/>
            </w:pPr>
            <w:r>
              <w:rPr>
                <w:rFonts w:hint="eastAsia"/>
              </w:rPr>
              <w:t>项目名称</w:t>
            </w:r>
          </w:p>
        </w:tc>
        <w:tc>
          <w:tcPr>
            <w:tcW w:w="6943" w:type="dxa"/>
          </w:tcPr>
          <w:p>
            <w:pPr>
              <w:pStyle w:val="48"/>
              <w:widowControl w:val="0"/>
              <w:kinsoku/>
              <w:adjustRightInd/>
              <w:snapToGrid/>
              <w:spacing w:line="360" w:lineRule="exact"/>
              <w:textAlignment w:val="auto"/>
              <w:rPr>
                <w:rFonts w:hint="eastAsia" w:eastAsia="宋体"/>
                <w:lang w:eastAsia="zh-CN"/>
              </w:rPr>
            </w:pPr>
            <w:r>
              <w:rPr>
                <w:rFonts w:hint="eastAsia"/>
                <w:lang w:eastAsia="zh-CN"/>
              </w:rPr>
              <w:t>唐河县妇幼保健院购置四维彩超、麻醉机等医疗设备项目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ascii="宋体" w:hAnsi="宋体" w:eastAsia="宋体" w:cs="宋体"/>
              </w:rPr>
              <w:t>2</w:t>
            </w:r>
          </w:p>
        </w:tc>
        <w:tc>
          <w:tcPr>
            <w:tcW w:w="2270" w:type="dxa"/>
            <w:vAlign w:val="center"/>
          </w:tcPr>
          <w:p>
            <w:pPr>
              <w:pStyle w:val="48"/>
              <w:widowControl w:val="0"/>
              <w:kinsoku/>
              <w:adjustRightInd/>
              <w:snapToGrid/>
              <w:spacing w:line="360" w:lineRule="exact"/>
              <w:jc w:val="center"/>
              <w:textAlignment w:val="auto"/>
            </w:pPr>
            <w:r>
              <w:rPr>
                <w:rFonts w:hint="eastAsia"/>
              </w:rPr>
              <w:t>采购人(招标人)</w:t>
            </w:r>
          </w:p>
        </w:tc>
        <w:tc>
          <w:tcPr>
            <w:tcW w:w="6943" w:type="dxa"/>
          </w:tcPr>
          <w:p>
            <w:pPr>
              <w:pStyle w:val="48"/>
              <w:widowControl w:val="0"/>
              <w:kinsoku/>
              <w:adjustRightInd/>
              <w:snapToGrid/>
              <w:spacing w:line="360" w:lineRule="exact"/>
              <w:textAlignment w:val="auto"/>
              <w:rPr>
                <w:rFonts w:hint="eastAsia" w:eastAsia="宋体"/>
                <w:lang w:eastAsia="zh-CN"/>
              </w:rPr>
            </w:pPr>
            <w:r>
              <w:rPr>
                <w:rFonts w:hint="eastAsia"/>
              </w:rPr>
              <w:t>名称：</w:t>
            </w:r>
            <w:r>
              <w:rPr>
                <w:rFonts w:hint="eastAsia"/>
                <w:lang w:eastAsia="zh-CN"/>
              </w:rPr>
              <w:t>唐河县妇幼保健院</w:t>
            </w:r>
          </w:p>
          <w:p>
            <w:pPr>
              <w:pStyle w:val="48"/>
              <w:widowControl w:val="0"/>
              <w:kinsoku/>
              <w:adjustRightInd/>
              <w:snapToGrid/>
              <w:spacing w:line="360" w:lineRule="exact"/>
              <w:textAlignment w:val="auto"/>
              <w:rPr>
                <w:rFonts w:hint="default" w:ascii="宋体" w:hAnsi="宋体" w:eastAsia="宋体" w:cs="宋体"/>
                <w:lang w:val="en-US" w:eastAsia="zh-CN"/>
              </w:rPr>
            </w:pPr>
            <w:r>
              <w:rPr>
                <w:rFonts w:hint="eastAsia"/>
              </w:rPr>
              <w:t>地址：</w:t>
            </w:r>
            <w:r>
              <w:rPr>
                <w:rFonts w:hint="eastAsia" w:ascii="宋体" w:hAnsi="宋体" w:eastAsia="宋体" w:cs="宋体"/>
                <w:lang w:val="en-US" w:eastAsia="zh-CN"/>
              </w:rPr>
              <w:t>唐河县新民街</w:t>
            </w:r>
          </w:p>
          <w:p>
            <w:pPr>
              <w:pStyle w:val="48"/>
              <w:widowControl w:val="0"/>
              <w:kinsoku/>
              <w:adjustRightInd/>
              <w:snapToGrid/>
              <w:spacing w:line="360" w:lineRule="exact"/>
              <w:textAlignment w:val="auto"/>
              <w:rPr>
                <w:rFonts w:hint="eastAsia" w:ascii="宋体" w:hAnsi="宋体" w:eastAsia="宋体" w:cs="宋体"/>
                <w:lang w:eastAsia="zh-CN"/>
              </w:rPr>
            </w:pPr>
            <w:r>
              <w:rPr>
                <w:rFonts w:hint="eastAsia" w:ascii="宋体" w:hAnsi="宋体" w:eastAsia="宋体" w:cs="宋体"/>
                <w:lang w:eastAsia="zh-CN"/>
              </w:rPr>
              <w:t>联系人：</w:t>
            </w:r>
            <w:r>
              <w:rPr>
                <w:rFonts w:hint="eastAsia" w:ascii="宋体" w:hAnsi="宋体" w:eastAsia="宋体" w:cs="宋体"/>
                <w:lang w:val="en-US" w:eastAsia="zh-CN"/>
              </w:rPr>
              <w:t>何先生</w:t>
            </w:r>
          </w:p>
          <w:p>
            <w:pPr>
              <w:pStyle w:val="48"/>
              <w:widowControl w:val="0"/>
              <w:kinsoku/>
              <w:adjustRightInd/>
              <w:snapToGrid/>
              <w:spacing w:line="360" w:lineRule="exact"/>
              <w:textAlignment w:val="auto"/>
            </w:pPr>
            <w:r>
              <w:rPr>
                <w:rFonts w:hint="eastAsia" w:ascii="宋体" w:hAnsi="宋体" w:eastAsia="宋体" w:cs="宋体"/>
                <w:lang w:eastAsia="zh-CN"/>
              </w:rPr>
              <w:t>联系</w:t>
            </w:r>
            <w:r>
              <w:rPr>
                <w:rFonts w:hint="eastAsia" w:ascii="宋体" w:hAnsi="宋体" w:eastAsia="宋体" w:cs="宋体"/>
                <w:lang w:val="en-US" w:eastAsia="zh-CN"/>
              </w:rPr>
              <w:t>方式：13937780881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23" w:type="dxa"/>
            <w:vAlign w:val="center"/>
          </w:tcPr>
          <w:p>
            <w:pPr>
              <w:spacing w:line="360" w:lineRule="exact"/>
              <w:jc w:val="center"/>
              <w:rPr>
                <w:rFonts w:ascii="宋体" w:hAnsi="宋体" w:eastAsia="宋体" w:cs="宋体"/>
              </w:rPr>
            </w:pPr>
            <w:r>
              <w:rPr>
                <w:rFonts w:ascii="宋体" w:hAnsi="宋体" w:eastAsia="宋体" w:cs="宋体"/>
              </w:rPr>
              <w:t>3</w:t>
            </w:r>
          </w:p>
        </w:tc>
        <w:tc>
          <w:tcPr>
            <w:tcW w:w="2270" w:type="dxa"/>
            <w:vAlign w:val="center"/>
          </w:tcPr>
          <w:p>
            <w:pPr>
              <w:spacing w:line="360" w:lineRule="exact"/>
              <w:jc w:val="center"/>
              <w:rPr>
                <w:rFonts w:ascii="宋体" w:hAnsi="宋体" w:eastAsia="宋体" w:cs="宋体"/>
                <w:spacing w:val="-1"/>
              </w:rPr>
            </w:pPr>
            <w:r>
              <w:rPr>
                <w:rFonts w:hint="eastAsia" w:ascii="宋体" w:hAnsi="宋体" w:eastAsia="宋体" w:cs="宋体"/>
                <w:spacing w:val="-1"/>
              </w:rPr>
              <w:t>采购代理机构</w:t>
            </w:r>
          </w:p>
        </w:tc>
        <w:tc>
          <w:tcPr>
            <w:tcW w:w="6943" w:type="dxa"/>
          </w:tcPr>
          <w:p>
            <w:pPr>
              <w:pStyle w:val="48"/>
              <w:widowControl w:val="0"/>
              <w:kinsoku/>
              <w:adjustRightInd/>
              <w:snapToGrid/>
              <w:spacing w:line="360" w:lineRule="exact"/>
              <w:textAlignment w:val="auto"/>
            </w:pPr>
            <w:r>
              <w:rPr>
                <w:rFonts w:hint="eastAsia"/>
              </w:rPr>
              <w:t>名称：唐河县唐兴工程造价咨询有限公司</w:t>
            </w:r>
          </w:p>
          <w:p>
            <w:pPr>
              <w:pStyle w:val="48"/>
              <w:widowControl w:val="0"/>
              <w:kinsoku/>
              <w:adjustRightInd/>
              <w:snapToGrid/>
              <w:spacing w:line="360" w:lineRule="exact"/>
              <w:textAlignment w:val="auto"/>
              <w:rPr>
                <w:rFonts w:hint="eastAsia" w:ascii="宋体" w:hAnsi="宋体" w:eastAsia="宋体" w:cs="宋体"/>
                <w:lang w:eastAsia="zh-CN"/>
              </w:rPr>
            </w:pPr>
            <w:r>
              <w:rPr>
                <w:rFonts w:hint="eastAsia"/>
              </w:rPr>
              <w:t>地址：河</w:t>
            </w:r>
            <w:r>
              <w:rPr>
                <w:rFonts w:hint="eastAsia" w:ascii="宋体" w:hAnsi="宋体" w:eastAsia="宋体" w:cs="宋体"/>
                <w:lang w:eastAsia="zh-CN"/>
              </w:rPr>
              <w:t>南省南阳市唐河县滨河街道凤山路财政局院内</w:t>
            </w:r>
          </w:p>
          <w:p>
            <w:pPr>
              <w:pStyle w:val="48"/>
              <w:widowControl w:val="0"/>
              <w:kinsoku/>
              <w:adjustRightInd/>
              <w:snapToGrid/>
              <w:spacing w:line="360" w:lineRule="exact"/>
              <w:textAlignment w:val="auto"/>
              <w:rPr>
                <w:rFonts w:hint="eastAsia" w:ascii="宋体" w:hAnsi="宋体" w:eastAsia="宋体" w:cs="宋体"/>
                <w:lang w:eastAsia="zh-CN"/>
              </w:rPr>
            </w:pPr>
            <w:r>
              <w:rPr>
                <w:rFonts w:hint="eastAsia" w:ascii="宋体" w:hAnsi="宋体" w:eastAsia="宋体" w:cs="宋体"/>
                <w:lang w:eastAsia="zh-CN"/>
              </w:rPr>
              <w:t>联系人：</w:t>
            </w:r>
            <w:r>
              <w:rPr>
                <w:rFonts w:hint="eastAsia" w:ascii="宋体" w:hAnsi="宋体" w:eastAsia="宋体" w:cs="宋体"/>
                <w:lang w:val="en-US" w:eastAsia="zh-CN"/>
              </w:rPr>
              <w:t>杨女士</w:t>
            </w:r>
          </w:p>
          <w:p>
            <w:pPr>
              <w:pStyle w:val="48"/>
              <w:widowControl w:val="0"/>
              <w:kinsoku/>
              <w:adjustRightInd/>
              <w:snapToGrid/>
              <w:spacing w:line="360" w:lineRule="exact"/>
              <w:textAlignment w:val="auto"/>
            </w:pPr>
            <w:r>
              <w:rPr>
                <w:rFonts w:hint="eastAsia" w:ascii="宋体" w:hAnsi="宋体" w:eastAsia="宋体" w:cs="宋体"/>
                <w:lang w:eastAsia="zh-CN"/>
              </w:rPr>
              <w:t>联系方式：</w:t>
            </w:r>
            <w:r>
              <w:rPr>
                <w:rFonts w:hint="eastAsia" w:ascii="宋体" w:hAnsi="宋体" w:eastAsia="宋体" w:cs="宋体"/>
                <w:lang w:val="en-US" w:eastAsia="zh-CN"/>
              </w:rPr>
              <w:t>15539992929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4</w:t>
            </w:r>
          </w:p>
        </w:tc>
        <w:tc>
          <w:tcPr>
            <w:tcW w:w="2270" w:type="dxa"/>
            <w:vAlign w:val="center"/>
          </w:tcPr>
          <w:p>
            <w:pPr>
              <w:spacing w:line="360" w:lineRule="exact"/>
              <w:jc w:val="center"/>
              <w:rPr>
                <w:rFonts w:ascii="宋体" w:hAnsi="宋体" w:eastAsia="宋体" w:cs="宋体"/>
                <w:spacing w:val="-1"/>
              </w:rPr>
            </w:pPr>
            <w:r>
              <w:rPr>
                <w:rFonts w:hint="eastAsia" w:ascii="宋体" w:hAnsi="宋体" w:eastAsia="宋体" w:cs="宋体"/>
                <w:spacing w:val="-1"/>
              </w:rPr>
              <w:t>供货地点</w:t>
            </w:r>
          </w:p>
        </w:tc>
        <w:tc>
          <w:tcPr>
            <w:tcW w:w="6943" w:type="dxa"/>
            <w:vAlign w:val="center"/>
          </w:tcPr>
          <w:p>
            <w:pPr>
              <w:pStyle w:val="48"/>
              <w:widowControl w:val="0"/>
              <w:kinsoku/>
              <w:adjustRightInd/>
              <w:snapToGrid/>
              <w:spacing w:line="360" w:lineRule="exact"/>
              <w:textAlignment w:val="auto"/>
            </w:pPr>
            <w:r>
              <w:rPr>
                <w:rFonts w:hint="eastAsia"/>
              </w:rPr>
              <w:t>采购人指定地点(唐河县境内)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5</w:t>
            </w:r>
          </w:p>
        </w:tc>
        <w:tc>
          <w:tcPr>
            <w:tcW w:w="2270" w:type="dxa"/>
            <w:vAlign w:val="center"/>
          </w:tcPr>
          <w:p>
            <w:pPr>
              <w:spacing w:line="360" w:lineRule="exact"/>
              <w:jc w:val="center"/>
              <w:rPr>
                <w:rFonts w:ascii="宋体" w:hAnsi="宋体" w:eastAsia="宋体" w:cs="宋体"/>
                <w:spacing w:val="-1"/>
              </w:rPr>
            </w:pPr>
            <w:r>
              <w:rPr>
                <w:rFonts w:hint="eastAsia" w:ascii="宋体" w:hAnsi="宋体" w:eastAsia="宋体" w:cs="宋体"/>
                <w:spacing w:val="-1"/>
              </w:rPr>
              <w:t>投标人的资格条件</w:t>
            </w:r>
          </w:p>
        </w:tc>
        <w:tc>
          <w:tcPr>
            <w:tcW w:w="6943" w:type="dxa"/>
          </w:tcPr>
          <w:p>
            <w:pPr>
              <w:pStyle w:val="48"/>
              <w:widowControl w:val="0"/>
              <w:kinsoku/>
              <w:adjustRightInd/>
              <w:snapToGrid/>
              <w:spacing w:line="360" w:lineRule="exact"/>
              <w:textAlignment w:val="auto"/>
            </w:pPr>
            <w:r>
              <w:rPr>
                <w:rFonts w:hint="eastAsia"/>
              </w:rPr>
              <w:t xml:space="preserve">详见招标公告 </w:t>
            </w:r>
            <w:r>
              <w:rPr>
                <w:rFonts w:hint="eastAsia"/>
                <w:b/>
                <w:bCs/>
              </w:rPr>
              <w:t>二、申请人资格要求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6</w:t>
            </w:r>
          </w:p>
        </w:tc>
        <w:tc>
          <w:tcPr>
            <w:tcW w:w="2270" w:type="dxa"/>
            <w:vAlign w:val="center"/>
          </w:tcPr>
          <w:p>
            <w:pPr>
              <w:spacing w:line="360" w:lineRule="exact"/>
              <w:jc w:val="center"/>
              <w:rPr>
                <w:rFonts w:ascii="宋体" w:hAnsi="宋体" w:eastAsia="宋体" w:cs="宋体"/>
              </w:rPr>
            </w:pPr>
            <w:r>
              <w:rPr>
                <w:rFonts w:hint="eastAsia" w:ascii="宋体" w:hAnsi="宋体" w:eastAsia="宋体" w:cs="宋体"/>
              </w:rPr>
              <w:t>采购内容</w:t>
            </w:r>
          </w:p>
        </w:tc>
        <w:tc>
          <w:tcPr>
            <w:tcW w:w="6943" w:type="dxa"/>
          </w:tcPr>
          <w:p>
            <w:pPr>
              <w:pStyle w:val="48"/>
              <w:widowControl w:val="0"/>
              <w:kinsoku/>
              <w:adjustRightInd/>
              <w:snapToGrid/>
              <w:spacing w:line="360" w:lineRule="exact"/>
              <w:textAlignment w:val="auto"/>
            </w:pPr>
            <w:r>
              <w:rPr>
                <w:rFonts w:hint="eastAsia" w:ascii="宋体" w:hAnsi="宋体" w:eastAsia="宋体" w:cs="宋体"/>
                <w:lang w:val="en-US" w:eastAsia="zh-CN"/>
              </w:rPr>
              <w:t>一标段：采购四维彩色超声诊断仪一台。二标段：采购麻醉机一台。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7</w:t>
            </w:r>
          </w:p>
        </w:tc>
        <w:tc>
          <w:tcPr>
            <w:tcW w:w="2270" w:type="dxa"/>
            <w:vAlign w:val="center"/>
          </w:tcPr>
          <w:p>
            <w:pPr>
              <w:spacing w:line="360" w:lineRule="exact"/>
              <w:jc w:val="center"/>
              <w:rPr>
                <w:rFonts w:hint="default"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采购期限</w:t>
            </w:r>
          </w:p>
        </w:tc>
        <w:tc>
          <w:tcPr>
            <w:tcW w:w="6943" w:type="dxa"/>
          </w:tcPr>
          <w:p>
            <w:pPr>
              <w:wordWrap w:val="0"/>
              <w:snapToGrid/>
              <w:spacing w:line="360" w:lineRule="exact"/>
              <w:rPr>
                <w:rFonts w:hint="default"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60个日历天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8</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质量要求</w:t>
            </w:r>
          </w:p>
        </w:tc>
        <w:tc>
          <w:tcPr>
            <w:tcW w:w="6943" w:type="dxa"/>
          </w:tcPr>
          <w:p>
            <w:pPr>
              <w:wordWrap w:val="0"/>
              <w:snapToGrid/>
              <w:spacing w:line="360" w:lineRule="exact"/>
              <w:rPr>
                <w:rFonts w:ascii="宋体" w:hAnsi="宋体" w:eastAsia="宋体" w:cs="宋体"/>
              </w:rPr>
            </w:pPr>
            <w:r>
              <w:rPr>
                <w:rFonts w:hint="eastAsia" w:ascii="宋体" w:hAnsi="宋体" w:eastAsia="宋体" w:cs="宋体"/>
              </w:rPr>
              <w:t>合格，符合国家规范标准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9</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rPr>
              <w:t>资金来源</w:t>
            </w:r>
          </w:p>
        </w:tc>
        <w:tc>
          <w:tcPr>
            <w:tcW w:w="6943" w:type="dxa"/>
          </w:tcPr>
          <w:p>
            <w:pPr>
              <w:wordWrap w:val="0"/>
              <w:snapToGrid/>
              <w:spacing w:line="360" w:lineRule="exact"/>
              <w:rPr>
                <w:rFonts w:ascii="宋体" w:hAnsi="宋体" w:eastAsia="宋体" w:cs="宋体"/>
              </w:rPr>
            </w:pPr>
            <w:r>
              <w:rPr>
                <w:rFonts w:hint="eastAsia" w:ascii="宋体" w:hAnsi="宋体" w:eastAsia="宋体" w:cs="宋体"/>
                <w:lang w:eastAsia="zh-CN"/>
              </w:rPr>
              <w:t>自筹资金</w:t>
            </w:r>
            <w:r>
              <w:rPr>
                <w:rFonts w:hint="eastAsia" w:ascii="宋体" w:hAnsi="宋体" w:eastAsia="宋体" w:cs="宋体"/>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10</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是否接受联合体标</w:t>
            </w:r>
          </w:p>
        </w:tc>
        <w:tc>
          <w:tcPr>
            <w:tcW w:w="6943" w:type="dxa"/>
            <w:vAlign w:val="center"/>
          </w:tcPr>
          <w:p>
            <w:pPr>
              <w:wordWrap w:val="0"/>
              <w:snapToGrid/>
              <w:spacing w:line="360" w:lineRule="exact"/>
              <w:rPr>
                <w:rFonts w:ascii="宋体" w:hAnsi="宋体" w:eastAsia="宋体" w:cs="宋体"/>
              </w:rPr>
            </w:pPr>
            <w:r>
              <w:rPr>
                <w:rFonts w:hint="eastAsia" w:ascii="宋体" w:hAnsi="宋体" w:eastAsia="宋体" w:cs="宋体"/>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rPr>
              <w:t>11</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踏勘现场</w:t>
            </w:r>
          </w:p>
        </w:tc>
        <w:tc>
          <w:tcPr>
            <w:tcW w:w="6943" w:type="dxa"/>
          </w:tcPr>
          <w:p>
            <w:pPr>
              <w:wordWrap w:val="0"/>
              <w:snapToGrid/>
              <w:spacing w:line="360" w:lineRule="exact"/>
              <w:rPr>
                <w:rFonts w:ascii="宋体" w:hAnsi="宋体" w:eastAsia="宋体" w:cs="宋体"/>
              </w:rPr>
            </w:pPr>
            <w:r>
              <w:rPr>
                <w:rFonts w:hint="eastAsia" w:ascii="宋体" w:hAnsi="宋体" w:eastAsia="宋体" w:cs="宋体"/>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12</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投标预备会</w:t>
            </w:r>
          </w:p>
        </w:tc>
        <w:tc>
          <w:tcPr>
            <w:tcW w:w="6943" w:type="dxa"/>
          </w:tcPr>
          <w:p>
            <w:pPr>
              <w:pStyle w:val="48"/>
              <w:widowControl w:val="0"/>
              <w:kinsoku/>
              <w:adjustRightInd/>
              <w:snapToGrid/>
              <w:spacing w:line="360" w:lineRule="exact"/>
              <w:textAlignment w:val="auto"/>
            </w:pPr>
            <w: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13</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分包</w:t>
            </w:r>
          </w:p>
        </w:tc>
        <w:tc>
          <w:tcPr>
            <w:tcW w:w="6943" w:type="dxa"/>
            <w:vAlign w:val="center"/>
          </w:tcPr>
          <w:p>
            <w:pPr>
              <w:snapToGrid/>
              <w:spacing w:line="360" w:lineRule="exact"/>
              <w:rPr>
                <w:rFonts w:ascii="宋体" w:hAnsi="宋体" w:eastAsia="宋体" w:cs="宋体"/>
              </w:rPr>
            </w:pPr>
            <w:r>
              <w:rPr>
                <w:rFonts w:hint="eastAsia" w:ascii="宋体" w:hAnsi="宋体" w:eastAsia="宋体" w:cs="宋体"/>
              </w:rPr>
              <w:t>中标人必须承担总包责任，必须独立完成项目，不得以任何形式转包，否则采购人有权终止合同并追究中标人的责任。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14</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投标承诺函</w:t>
            </w:r>
          </w:p>
        </w:tc>
        <w:tc>
          <w:tcPr>
            <w:tcW w:w="6943" w:type="dxa"/>
            <w:vAlign w:val="center"/>
          </w:tcPr>
          <w:p>
            <w:pPr>
              <w:wordWrap w:val="0"/>
              <w:snapToGrid/>
              <w:spacing w:line="360" w:lineRule="exact"/>
              <w:rPr>
                <w:rFonts w:ascii="宋体" w:hAnsi="宋体" w:eastAsia="宋体" w:cs="宋体"/>
              </w:rPr>
            </w:pPr>
            <w:r>
              <w:rPr>
                <w:rFonts w:hint="eastAsia" w:ascii="宋体" w:hAnsi="宋体" w:eastAsia="宋体" w:cs="宋体"/>
              </w:rPr>
              <w:t>本项目不收取投标保证金，供应商自行提供投标承诺函，供应商应对本次项目进行承诺，主要内容包括投标时不会提供虚假材料、中标后应及时与采购人签订合同、在投标有效期内不会随意撤回、撤销投标，中标通知书发出后在规定时间内与采购人签订政府采购合同等，以及如果违背此承诺，应由供应商自行承担相关后果，给采购人造成损失的，由供应商赔偿采购人相关的损失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15</w:t>
            </w:r>
          </w:p>
        </w:tc>
        <w:tc>
          <w:tcPr>
            <w:tcW w:w="2270" w:type="dxa"/>
            <w:vAlign w:val="center"/>
          </w:tcPr>
          <w:p>
            <w:pPr>
              <w:spacing w:line="360" w:lineRule="exact"/>
              <w:jc w:val="center"/>
              <w:rPr>
                <w:rFonts w:ascii="宋体" w:hAnsi="宋体" w:eastAsia="宋体" w:cs="宋体"/>
                <w:spacing w:val="-2"/>
              </w:rPr>
            </w:pPr>
            <w:r>
              <w:rPr>
                <w:rFonts w:hint="eastAsia" w:ascii="宋体" w:hAnsi="宋体" w:eastAsia="宋体" w:cs="宋体"/>
                <w:spacing w:val="-2"/>
              </w:rPr>
              <w:t>是否允许递交备选投标方案</w:t>
            </w:r>
          </w:p>
        </w:tc>
        <w:tc>
          <w:tcPr>
            <w:tcW w:w="6943" w:type="dxa"/>
            <w:vAlign w:val="center"/>
          </w:tcPr>
          <w:p>
            <w:pPr>
              <w:wordWrap w:val="0"/>
              <w:snapToGrid/>
              <w:spacing w:line="360" w:lineRule="exact"/>
              <w:rPr>
                <w:rFonts w:ascii="宋体" w:hAnsi="宋体" w:eastAsia="宋体" w:cs="宋体"/>
              </w:rPr>
            </w:pPr>
            <w:r>
              <w:rPr>
                <w:rFonts w:hint="eastAsia" w:ascii="宋体" w:hAnsi="宋体" w:eastAsia="宋体" w:cs="宋体"/>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16</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构成招标文件的其他材料</w:t>
            </w:r>
          </w:p>
        </w:tc>
        <w:tc>
          <w:tcPr>
            <w:tcW w:w="6943" w:type="dxa"/>
          </w:tcPr>
          <w:p>
            <w:pPr>
              <w:pStyle w:val="48"/>
              <w:widowControl w:val="0"/>
              <w:kinsoku/>
              <w:adjustRightInd/>
              <w:snapToGrid/>
              <w:spacing w:line="360" w:lineRule="exact"/>
              <w:textAlignment w:val="auto"/>
            </w:pPr>
            <w:r>
              <w:t>除招标文件内容外，招标人在招标期间发出的有编号的补遗书和其它有效正式函件，均是招标文件的组成部分，请各投标单位及时关注以下网站《河南省政府采购网》、《中国政府采购网》、《中国招标投标公共服务平台》和《唐河县公共资源交易中心》上发布的有关本项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17</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招标控制价</w:t>
            </w:r>
          </w:p>
        </w:tc>
        <w:tc>
          <w:tcPr>
            <w:tcW w:w="6943" w:type="dxa"/>
          </w:tcPr>
          <w:p>
            <w:pPr>
              <w:pStyle w:val="48"/>
              <w:widowControl w:val="0"/>
              <w:kinsoku/>
              <w:adjustRightInd/>
              <w:snapToGrid/>
              <w:spacing w:line="360" w:lineRule="exact"/>
              <w:textAlignment w:val="auto"/>
              <w:rPr>
                <w:b/>
                <w:bCs/>
              </w:rPr>
            </w:pPr>
            <w:r>
              <w:rPr>
                <w:rFonts w:hint="eastAsia"/>
                <w:b/>
                <w:bCs/>
              </w:rPr>
              <w:t>招标控制价：</w:t>
            </w:r>
          </w:p>
          <w:p>
            <w:pPr>
              <w:pStyle w:val="48"/>
              <w:widowControl w:val="0"/>
              <w:kinsoku/>
              <w:adjustRightInd/>
              <w:snapToGrid/>
              <w:spacing w:line="360" w:lineRule="exact"/>
              <w:textAlignment w:val="auto"/>
              <w:rPr>
                <w:b/>
                <w:bCs/>
              </w:rPr>
            </w:pPr>
            <w:r>
              <w:rPr>
                <w:rFonts w:hint="eastAsia"/>
                <w:b/>
                <w:bCs/>
              </w:rPr>
              <w:t>一标段：</w:t>
            </w:r>
          </w:p>
          <w:p>
            <w:pPr>
              <w:pStyle w:val="48"/>
              <w:widowControl w:val="0"/>
              <w:kinsoku/>
              <w:adjustRightInd/>
              <w:snapToGrid/>
              <w:spacing w:line="360" w:lineRule="exact"/>
              <w:textAlignment w:val="auto"/>
              <w:rPr>
                <w:rFonts w:hint="default" w:ascii="宋体" w:hAnsi="宋体" w:eastAsia="宋体" w:cs="宋体"/>
                <w:b/>
                <w:bCs/>
                <w:lang w:val="en-US" w:eastAsia="zh-CN"/>
              </w:rPr>
            </w:pPr>
            <w:r>
              <w:rPr>
                <w:rFonts w:hint="eastAsia"/>
                <w:b/>
                <w:bCs/>
              </w:rPr>
              <w:t>小</w:t>
            </w:r>
            <w:r>
              <w:rPr>
                <w:rFonts w:hint="eastAsia" w:ascii="宋体" w:hAnsi="宋体" w:eastAsia="宋体" w:cs="宋体"/>
                <w:b/>
                <w:bCs/>
                <w:lang w:val="en-US" w:eastAsia="zh-CN"/>
              </w:rPr>
              <w:t>写：1250000元</w:t>
            </w:r>
          </w:p>
          <w:p>
            <w:pPr>
              <w:pStyle w:val="48"/>
              <w:widowControl w:val="0"/>
              <w:kinsoku/>
              <w:adjustRightInd/>
              <w:snapToGrid/>
              <w:spacing w:line="360" w:lineRule="exact"/>
              <w:textAlignment w:val="auto"/>
              <w:rPr>
                <w:rFonts w:hint="eastAsia" w:ascii="宋体" w:hAnsi="宋体" w:eastAsia="宋体" w:cs="宋体"/>
                <w:b/>
                <w:bCs/>
                <w:lang w:val="en-US" w:eastAsia="zh-CN"/>
              </w:rPr>
            </w:pPr>
            <w:r>
              <w:rPr>
                <w:rFonts w:hint="eastAsia" w:ascii="宋体" w:hAnsi="宋体" w:eastAsia="宋体" w:cs="宋体"/>
                <w:b/>
                <w:bCs/>
                <w:lang w:val="en-US" w:eastAsia="zh-CN"/>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1250000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壹佰贰拾伍万</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w:t>
            </w:r>
          </w:p>
          <w:p>
            <w:pPr>
              <w:pStyle w:val="48"/>
              <w:widowControl w:val="0"/>
              <w:kinsoku/>
              <w:adjustRightInd/>
              <w:snapToGrid/>
              <w:spacing w:line="360" w:lineRule="exact"/>
              <w:textAlignment w:val="auto"/>
              <w:rPr>
                <w:rFonts w:hint="eastAsia"/>
                <w:b/>
                <w:bCs/>
                <w:lang w:val="en-US" w:eastAsia="zh-CN"/>
              </w:rPr>
            </w:pPr>
            <w:r>
              <w:rPr>
                <w:rFonts w:hint="eastAsia"/>
                <w:b/>
                <w:bCs/>
                <w:lang w:val="en-US" w:eastAsia="zh-CN"/>
              </w:rPr>
              <w:t>二标段：</w:t>
            </w:r>
          </w:p>
          <w:p>
            <w:pPr>
              <w:pStyle w:val="48"/>
              <w:widowControl w:val="0"/>
              <w:kinsoku/>
              <w:adjustRightInd/>
              <w:snapToGrid/>
              <w:spacing w:line="360" w:lineRule="exact"/>
              <w:textAlignment w:val="auto"/>
              <w:rPr>
                <w:rFonts w:hint="default"/>
                <w:b/>
                <w:bCs/>
                <w:lang w:val="en-US"/>
              </w:rPr>
            </w:pPr>
            <w:r>
              <w:rPr>
                <w:rFonts w:hint="eastAsia"/>
                <w:b/>
                <w:bCs/>
              </w:rPr>
              <w:t>小写：</w:t>
            </w:r>
            <w:r>
              <w:rPr>
                <w:rFonts w:hint="eastAsia"/>
                <w:b/>
                <w:bCs/>
                <w:lang w:val="en-US" w:eastAsia="zh-CN"/>
              </w:rPr>
              <w:t>195000元</w:t>
            </w:r>
          </w:p>
          <w:p>
            <w:pPr>
              <w:pStyle w:val="48"/>
              <w:widowControl w:val="0"/>
              <w:kinsoku/>
              <w:adjustRightInd/>
              <w:snapToGrid/>
              <w:spacing w:line="360" w:lineRule="exact"/>
              <w:textAlignment w:val="auto"/>
              <w:rPr>
                <w:rFonts w:hint="eastAsia"/>
                <w:b/>
                <w:bCs/>
                <w:lang w:val="en-US" w:eastAsia="zh-CN"/>
              </w:rPr>
            </w:pPr>
            <w:r>
              <w:rPr>
                <w:rFonts w:hint="eastAsia"/>
                <w:b/>
                <w:bCs/>
              </w:rPr>
              <w:t>大写：</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 195000 \* CHINESENUM2 \* MERGEFORMAT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壹拾玖万伍仟</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元</w:t>
            </w:r>
          </w:p>
          <w:p>
            <w:pPr>
              <w:pStyle w:val="48"/>
              <w:widowControl w:val="0"/>
              <w:kinsoku/>
              <w:adjustRightInd/>
              <w:snapToGrid/>
              <w:spacing w:line="360" w:lineRule="exact"/>
              <w:textAlignment w:val="auto"/>
            </w:pPr>
            <w:r>
              <w:rPr>
                <w:b/>
                <w:bCs/>
              </w:rPr>
              <w:t>注：供应商的</w:t>
            </w:r>
            <w:r>
              <w:rPr>
                <w:rFonts w:hint="eastAsia"/>
                <w:b/>
                <w:bCs/>
              </w:rPr>
              <w:t>投标</w:t>
            </w:r>
            <w:r>
              <w:rPr>
                <w:b/>
                <w:bCs/>
              </w:rPr>
              <w:t>报价不得超过</w:t>
            </w:r>
            <w:r>
              <w:rPr>
                <w:rFonts w:hint="eastAsia"/>
                <w:b/>
                <w:bCs/>
              </w:rPr>
              <w:t>招标</w:t>
            </w:r>
            <w:r>
              <w:rPr>
                <w:b/>
                <w:bCs/>
              </w:rPr>
              <w:t>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7"/>
              </w:rPr>
              <w:t>18</w:t>
            </w:r>
          </w:p>
        </w:tc>
        <w:tc>
          <w:tcPr>
            <w:tcW w:w="2270" w:type="dxa"/>
            <w:vAlign w:val="center"/>
          </w:tcPr>
          <w:p>
            <w:pPr>
              <w:spacing w:line="360" w:lineRule="exact"/>
              <w:jc w:val="center"/>
              <w:rPr>
                <w:rFonts w:ascii="宋体" w:hAnsi="宋体" w:eastAsia="宋体" w:cs="宋体"/>
                <w:spacing w:val="-2"/>
              </w:rPr>
            </w:pPr>
            <w:r>
              <w:rPr>
                <w:rFonts w:ascii="宋体" w:hAnsi="宋体" w:eastAsia="宋体" w:cs="宋体"/>
                <w:spacing w:val="-2"/>
              </w:rPr>
              <w:t>招标文件的发售方式及领取时间、地点</w:t>
            </w:r>
          </w:p>
        </w:tc>
        <w:tc>
          <w:tcPr>
            <w:tcW w:w="6943" w:type="dxa"/>
          </w:tcPr>
          <w:p>
            <w:pPr>
              <w:pStyle w:val="48"/>
              <w:widowControl w:val="0"/>
              <w:kinsoku/>
              <w:adjustRightInd/>
              <w:snapToGrid/>
              <w:spacing w:line="360" w:lineRule="exact"/>
              <w:textAlignment w:val="auto"/>
            </w:pPr>
            <w: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19</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电子标投标文件递交</w:t>
            </w:r>
          </w:p>
          <w:p>
            <w:pPr>
              <w:spacing w:line="360" w:lineRule="exact"/>
              <w:jc w:val="center"/>
              <w:rPr>
                <w:rFonts w:ascii="宋体" w:hAnsi="宋体" w:eastAsia="宋体" w:cs="宋体"/>
                <w:spacing w:val="-7"/>
              </w:rPr>
            </w:pPr>
            <w:r>
              <w:rPr>
                <w:rFonts w:ascii="宋体" w:hAnsi="宋体" w:eastAsia="宋体" w:cs="宋体"/>
                <w:spacing w:val="-7"/>
              </w:rPr>
              <w:t>截止时间(同开标时间)</w:t>
            </w:r>
          </w:p>
        </w:tc>
        <w:tc>
          <w:tcPr>
            <w:tcW w:w="6943" w:type="dxa"/>
          </w:tcPr>
          <w:p>
            <w:pPr>
              <w:pStyle w:val="48"/>
              <w:widowControl w:val="0"/>
              <w:kinsoku/>
              <w:adjustRightInd/>
              <w:snapToGrid/>
              <w:spacing w:line="360" w:lineRule="exact"/>
              <w:textAlignment w:val="auto"/>
            </w:pPr>
            <w: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20</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开标时间和地点</w:t>
            </w:r>
          </w:p>
        </w:tc>
        <w:tc>
          <w:tcPr>
            <w:tcW w:w="6943" w:type="dxa"/>
          </w:tcPr>
          <w:p>
            <w:pPr>
              <w:pStyle w:val="48"/>
              <w:widowControl w:val="0"/>
              <w:kinsoku/>
              <w:adjustRightInd/>
              <w:snapToGrid/>
              <w:spacing w:line="360" w:lineRule="exact"/>
              <w:textAlignment w:val="auto"/>
            </w:pPr>
            <w: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21</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投标保证金</w:t>
            </w:r>
          </w:p>
        </w:tc>
        <w:tc>
          <w:tcPr>
            <w:tcW w:w="6943" w:type="dxa"/>
          </w:tcPr>
          <w:p>
            <w:pPr>
              <w:pStyle w:val="48"/>
              <w:widowControl w:val="0"/>
              <w:kinsoku/>
              <w:adjustRightInd/>
              <w:snapToGrid/>
              <w:spacing w:line="360" w:lineRule="exact"/>
              <w:textAlignment w:val="auto"/>
              <w:rPr>
                <w:spacing w:val="-7"/>
              </w:rPr>
            </w:pPr>
            <w:r>
              <w:rPr>
                <w:spacing w:val="-7"/>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22</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投标有效期</w:t>
            </w:r>
          </w:p>
        </w:tc>
        <w:tc>
          <w:tcPr>
            <w:tcW w:w="6943" w:type="dxa"/>
          </w:tcPr>
          <w:p>
            <w:pPr>
              <w:pStyle w:val="48"/>
              <w:widowControl w:val="0"/>
              <w:kinsoku/>
              <w:adjustRightInd/>
              <w:snapToGrid/>
              <w:spacing w:line="360" w:lineRule="exact"/>
              <w:textAlignment w:val="auto"/>
            </w:pPr>
            <w:r>
              <w:t>自投标截止之日起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23</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是否允许递交备选投标文件</w:t>
            </w:r>
          </w:p>
        </w:tc>
        <w:tc>
          <w:tcPr>
            <w:tcW w:w="6943" w:type="dxa"/>
          </w:tcPr>
          <w:p>
            <w:pPr>
              <w:pStyle w:val="48"/>
              <w:widowControl w:val="0"/>
              <w:kinsoku/>
              <w:adjustRightInd/>
              <w:snapToGrid/>
              <w:spacing w:line="360" w:lineRule="exact"/>
              <w:textAlignment w:val="auto"/>
            </w:pPr>
            <w: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3" w:type="dxa"/>
            <w:vAlign w:val="center"/>
          </w:tcPr>
          <w:p>
            <w:pPr>
              <w:spacing w:line="360" w:lineRule="exact"/>
              <w:jc w:val="center"/>
              <w:rPr>
                <w:rFonts w:ascii="宋体" w:hAnsi="宋体" w:eastAsia="宋体" w:cs="宋体"/>
                <w:spacing w:val="-7"/>
              </w:rPr>
            </w:pPr>
            <w:r>
              <w:rPr>
                <w:rFonts w:hint="eastAsia" w:ascii="宋体" w:hAnsi="宋体" w:eastAsia="宋体" w:cs="宋体"/>
                <w:spacing w:val="-7"/>
              </w:rPr>
              <w:t>24</w:t>
            </w:r>
          </w:p>
        </w:tc>
        <w:tc>
          <w:tcPr>
            <w:tcW w:w="2270" w:type="dxa"/>
            <w:vAlign w:val="center"/>
          </w:tcPr>
          <w:p>
            <w:pPr>
              <w:spacing w:line="360" w:lineRule="exact"/>
              <w:jc w:val="center"/>
              <w:rPr>
                <w:rFonts w:ascii="宋体" w:hAnsi="宋体" w:eastAsia="宋体" w:cs="宋体"/>
                <w:spacing w:val="-7"/>
              </w:rPr>
            </w:pPr>
            <w:r>
              <w:rPr>
                <w:rFonts w:ascii="宋体" w:hAnsi="宋体" w:eastAsia="宋体" w:cs="宋体"/>
                <w:spacing w:val="-7"/>
              </w:rPr>
              <w:t>签字和盖章要求</w:t>
            </w:r>
          </w:p>
        </w:tc>
        <w:tc>
          <w:tcPr>
            <w:tcW w:w="6943" w:type="dxa"/>
          </w:tcPr>
          <w:p>
            <w:pPr>
              <w:pStyle w:val="48"/>
              <w:widowControl w:val="0"/>
              <w:kinsoku/>
              <w:adjustRightInd/>
              <w:snapToGrid/>
              <w:spacing w:line="360" w:lineRule="exact"/>
              <w:textAlignment w:val="auto"/>
            </w:pPr>
            <w:r>
              <w:t>投标人需按招标文件的格式，在规定的地方进行法定代表人</w:t>
            </w:r>
            <w:r>
              <w:rPr>
                <w:rFonts w:hint="eastAsia"/>
              </w:rPr>
              <w:t>或负责人</w:t>
            </w:r>
            <w:r>
              <w:t>电子签名、加盖投标人电子公章。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3"/>
              </w:rPr>
              <w:t>25</w:t>
            </w:r>
          </w:p>
        </w:tc>
        <w:tc>
          <w:tcPr>
            <w:tcW w:w="2270" w:type="dxa"/>
            <w:vAlign w:val="center"/>
          </w:tcPr>
          <w:p>
            <w:pPr>
              <w:spacing w:line="360" w:lineRule="exact"/>
              <w:jc w:val="center"/>
              <w:rPr>
                <w:rFonts w:ascii="宋体" w:hAnsi="宋体" w:eastAsia="宋体" w:cs="宋体"/>
              </w:rPr>
            </w:pPr>
            <w:r>
              <w:rPr>
                <w:rFonts w:ascii="宋体" w:hAnsi="宋体" w:eastAsia="宋体" w:cs="宋体"/>
                <w:color w:val="0C0C0C"/>
                <w:spacing w:val="-4"/>
              </w:rPr>
              <w:t>电子投标文件递</w:t>
            </w:r>
            <w:r>
              <w:rPr>
                <w:rFonts w:ascii="宋体" w:hAnsi="宋体" w:eastAsia="宋体" w:cs="宋体"/>
                <w:color w:val="0C0C0C"/>
                <w:spacing w:val="-3"/>
              </w:rPr>
              <w:t>交</w:t>
            </w:r>
          </w:p>
        </w:tc>
        <w:tc>
          <w:tcPr>
            <w:tcW w:w="6943" w:type="dxa"/>
          </w:tcPr>
          <w:p>
            <w:pPr>
              <w:pStyle w:val="48"/>
              <w:widowControl w:val="0"/>
              <w:kinsoku/>
              <w:adjustRightInd/>
              <w:snapToGrid/>
              <w:spacing w:line="360" w:lineRule="exact"/>
              <w:textAlignment w:val="auto"/>
            </w:pPr>
            <w:r>
              <w:t>1、投标人应在唐河县公共资源交易系统下载“电子投标文件制作工具”，并按照招标文件要求编制和上传递交加密的电子投标文件</w:t>
            </w:r>
            <w:r>
              <w:rPr>
                <w:rFonts w:hint="eastAsia"/>
              </w:rPr>
              <w:t>(.nytf格式)</w:t>
            </w:r>
            <w:r>
              <w:t>。投标人上传时必须得到系统“上传成功”的确认回复，并认真检查电子投标文件是否完整、正确。递交网址：http://www.thggzy.cn/</w:t>
            </w:r>
          </w:p>
          <w:p>
            <w:pPr>
              <w:pStyle w:val="48"/>
              <w:widowControl w:val="0"/>
              <w:kinsoku/>
              <w:adjustRightInd/>
              <w:snapToGrid/>
              <w:spacing w:line="360" w:lineRule="exact"/>
              <w:textAlignment w:val="auto"/>
            </w:pPr>
            <w:r>
              <w:t>2、投标人的电子投标文件应在招标文件规定的投标截止时间前到达交易系统。逾期到达交易系统的电子投标文件视为放弃本次投标。</w:t>
            </w:r>
          </w:p>
          <w:p>
            <w:pPr>
              <w:pStyle w:val="48"/>
              <w:widowControl w:val="0"/>
              <w:kinsoku/>
              <w:adjustRightInd/>
              <w:snapToGrid/>
              <w:spacing w:line="360" w:lineRule="exact"/>
              <w:textAlignment w:val="auto"/>
            </w:pPr>
            <w:r>
              <w:t>3、投标人所递交的电子投标文件在投标截止时间之后不予退回。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23" w:type="dxa"/>
            <w:vAlign w:val="center"/>
          </w:tcPr>
          <w:p>
            <w:pPr>
              <w:spacing w:line="360" w:lineRule="exact"/>
              <w:jc w:val="center"/>
              <w:rPr>
                <w:rFonts w:ascii="宋体" w:hAnsi="宋体" w:eastAsia="宋体" w:cs="宋体"/>
              </w:rPr>
            </w:pPr>
            <w:r>
              <w:rPr>
                <w:rFonts w:hint="eastAsia" w:ascii="宋体" w:hAnsi="宋体" w:eastAsia="宋体" w:cs="宋体"/>
                <w:spacing w:val="-3"/>
              </w:rPr>
              <w:t>26</w:t>
            </w:r>
          </w:p>
        </w:tc>
        <w:tc>
          <w:tcPr>
            <w:tcW w:w="2270" w:type="dxa"/>
            <w:vAlign w:val="center"/>
          </w:tcPr>
          <w:p>
            <w:pPr>
              <w:pStyle w:val="48"/>
              <w:widowControl w:val="0"/>
              <w:kinsoku/>
              <w:adjustRightInd/>
              <w:snapToGrid/>
              <w:spacing w:line="360" w:lineRule="exact"/>
              <w:jc w:val="center"/>
              <w:textAlignment w:val="auto"/>
            </w:pPr>
            <w:r>
              <w:rPr>
                <w:rFonts w:hint="eastAsia"/>
              </w:rPr>
              <w:t>响应文件的份数和签署</w:t>
            </w:r>
          </w:p>
        </w:tc>
        <w:tc>
          <w:tcPr>
            <w:tcW w:w="6943" w:type="dxa"/>
          </w:tcPr>
          <w:p>
            <w:pPr>
              <w:pStyle w:val="48"/>
              <w:widowControl w:val="0"/>
              <w:kinsoku/>
              <w:adjustRightInd/>
              <w:snapToGrid/>
              <w:spacing w:line="360" w:lineRule="exact"/>
              <w:textAlignment w:val="auto"/>
            </w:pPr>
            <w:r>
              <w:rPr>
                <w:rFonts w:hint="eastAsia"/>
              </w:rPr>
              <w:t>1、本项目实行电子招投标，供应商需编制电子响应文件，并按电子响应文件递交要求上传电子响应文件;</w:t>
            </w:r>
          </w:p>
          <w:p>
            <w:pPr>
              <w:pStyle w:val="48"/>
              <w:widowControl w:val="0"/>
              <w:kinsoku/>
              <w:adjustRightInd/>
              <w:snapToGrid/>
              <w:spacing w:line="360" w:lineRule="exact"/>
              <w:textAlignment w:val="auto"/>
            </w:pPr>
            <w:r>
              <w:rPr>
                <w:rFonts w:hint="eastAsia"/>
              </w:rPr>
              <w:t>2、本项目采用网上不见面方式开标，投标供应商无需到达开标现场参与投标。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27</w:t>
            </w:r>
          </w:p>
        </w:tc>
        <w:tc>
          <w:tcPr>
            <w:tcW w:w="2270" w:type="dxa"/>
            <w:vAlign w:val="center"/>
          </w:tcPr>
          <w:p>
            <w:pPr>
              <w:tabs>
                <w:tab w:val="left" w:pos="744"/>
              </w:tabs>
              <w:spacing w:line="360" w:lineRule="exact"/>
              <w:jc w:val="center"/>
              <w:rPr>
                <w:rFonts w:ascii="宋体" w:hAnsi="宋体" w:cs="宋体"/>
              </w:rPr>
            </w:pPr>
            <w:r>
              <w:rPr>
                <w:rFonts w:ascii="宋体" w:hAnsi="宋体"/>
                <w:color w:val="0C0C0C"/>
              </w:rPr>
              <w:t>备份</w:t>
            </w:r>
            <w:r>
              <w:rPr>
                <w:rFonts w:hint="eastAsia" w:ascii="宋体" w:hAnsi="宋体"/>
                <w:color w:val="0C0C0C"/>
              </w:rPr>
              <w:t>电子光盘（U盘）要求及</w:t>
            </w:r>
            <w:r>
              <w:rPr>
                <w:rFonts w:hint="eastAsia" w:ascii="宋体" w:hAnsi="宋体" w:cs="宋体"/>
              </w:rPr>
              <w:t>封套上写明</w:t>
            </w:r>
          </w:p>
        </w:tc>
        <w:tc>
          <w:tcPr>
            <w:tcW w:w="6943" w:type="dxa"/>
            <w:vAlign w:val="center"/>
          </w:tcPr>
          <w:p>
            <w:pPr>
              <w:pStyle w:val="48"/>
              <w:widowControl w:val="0"/>
              <w:kinsoku/>
              <w:adjustRightInd/>
              <w:snapToGrid/>
              <w:spacing w:line="360" w:lineRule="exact"/>
              <w:textAlignment w:val="auto"/>
            </w:pPr>
            <w:r>
              <w:rPr>
                <w:rFonts w:hint="eastAsi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28</w:t>
            </w:r>
          </w:p>
        </w:tc>
        <w:tc>
          <w:tcPr>
            <w:tcW w:w="2270" w:type="dxa"/>
            <w:vAlign w:val="center"/>
          </w:tcPr>
          <w:p>
            <w:pPr>
              <w:spacing w:line="360" w:lineRule="exact"/>
              <w:jc w:val="center"/>
              <w:rPr>
                <w:rFonts w:ascii="宋体" w:hAnsi="宋体" w:eastAsia="宋体" w:cs="宋体"/>
              </w:rPr>
            </w:pPr>
            <w:r>
              <w:rPr>
                <w:rFonts w:ascii="宋体" w:hAnsi="宋体" w:eastAsia="宋体" w:cs="宋体"/>
              </w:rPr>
              <w:t>评标委员会的组建</w:t>
            </w:r>
          </w:p>
        </w:tc>
        <w:tc>
          <w:tcPr>
            <w:tcW w:w="6943" w:type="dxa"/>
          </w:tcPr>
          <w:p>
            <w:pPr>
              <w:pStyle w:val="48"/>
              <w:widowControl w:val="0"/>
              <w:kinsoku/>
              <w:adjustRightInd/>
              <w:snapToGrid/>
              <w:spacing w:line="360" w:lineRule="exact"/>
              <w:textAlignment w:val="auto"/>
            </w:pPr>
            <w:r>
              <w:rPr>
                <w:rFonts w:hint="eastAsia"/>
              </w:rPr>
              <w:t>评标委员会人数构成：</w:t>
            </w:r>
            <w:r>
              <w:rPr>
                <w:rFonts w:hint="eastAsia"/>
                <w:lang w:val="en-US" w:eastAsia="zh-CN"/>
              </w:rPr>
              <w:t>5</w:t>
            </w:r>
            <w:r>
              <w:rPr>
                <w:rFonts w:hint="eastAsia"/>
              </w:rPr>
              <w:t>人；其中采购人代表</w:t>
            </w:r>
            <w:r>
              <w:rPr>
                <w:rFonts w:hint="eastAsia"/>
                <w:lang w:val="en-US" w:eastAsia="zh-CN"/>
              </w:rPr>
              <w:t>1</w:t>
            </w:r>
            <w:r>
              <w:rPr>
                <w:rFonts w:hint="eastAsia"/>
              </w:rPr>
              <w:t>人、评审专家</w:t>
            </w:r>
            <w:r>
              <w:rPr>
                <w:rFonts w:hint="eastAsia"/>
                <w:lang w:val="en-US" w:eastAsia="zh-CN"/>
              </w:rPr>
              <w:t>4</w:t>
            </w:r>
            <w:r>
              <w:rPr>
                <w:rFonts w:hint="eastAsia"/>
              </w:rPr>
              <w:t>人；</w:t>
            </w:r>
          </w:p>
          <w:p>
            <w:pPr>
              <w:pStyle w:val="48"/>
              <w:widowControl w:val="0"/>
              <w:kinsoku/>
              <w:adjustRightInd/>
              <w:snapToGrid/>
              <w:spacing w:line="360" w:lineRule="exact"/>
              <w:textAlignment w:val="auto"/>
            </w:pPr>
            <w:r>
              <w:t>评标专家确定方式：开标前由招标人在监督单位监督下，按相关规定从</w:t>
            </w:r>
            <w:r>
              <w:rPr>
                <w:rFonts w:hint="eastAsia"/>
                <w:lang w:val="en-US" w:eastAsia="zh-CN"/>
              </w:rPr>
              <w:t>河南省综合评标</w:t>
            </w:r>
            <w:r>
              <w:t>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23" w:type="dxa"/>
            <w:vAlign w:val="center"/>
          </w:tcPr>
          <w:p>
            <w:pPr>
              <w:spacing w:line="360" w:lineRule="exact"/>
              <w:jc w:val="center"/>
              <w:rPr>
                <w:rFonts w:ascii="宋体" w:hAnsi="宋体" w:eastAsia="宋体"/>
              </w:rPr>
            </w:pPr>
            <w:r>
              <w:rPr>
                <w:rFonts w:hint="eastAsia" w:ascii="宋体" w:hAnsi="宋体" w:eastAsia="宋体"/>
              </w:rPr>
              <w:t>29</w:t>
            </w:r>
          </w:p>
        </w:tc>
        <w:tc>
          <w:tcPr>
            <w:tcW w:w="2270" w:type="dxa"/>
            <w:vAlign w:val="center"/>
          </w:tcPr>
          <w:p>
            <w:pPr>
              <w:spacing w:line="360" w:lineRule="exact"/>
              <w:jc w:val="center"/>
              <w:rPr>
                <w:rFonts w:ascii="宋体" w:hAnsi="宋体" w:eastAsia="宋体"/>
              </w:rPr>
            </w:pPr>
            <w:r>
              <w:rPr>
                <w:rFonts w:hint="eastAsia" w:ascii="宋体" w:hAnsi="宋体" w:eastAsia="宋体"/>
              </w:rPr>
              <w:t>中标候选人评定</w:t>
            </w:r>
          </w:p>
        </w:tc>
        <w:tc>
          <w:tcPr>
            <w:tcW w:w="6943" w:type="dxa"/>
            <w:vAlign w:val="center"/>
          </w:tcPr>
          <w:p>
            <w:pPr>
              <w:pStyle w:val="48"/>
              <w:widowControl w:val="0"/>
              <w:kinsoku/>
              <w:adjustRightInd/>
              <w:snapToGrid/>
              <w:spacing w:line="360" w:lineRule="exact"/>
              <w:textAlignment w:val="auto"/>
            </w:pPr>
            <w:r>
              <w:rPr>
                <w:rFonts w:hint="eastAsia"/>
              </w:rPr>
              <w:t>若投标人提供相同品牌产品且通过资格审查、符合性审查的不同投标人参加本项目，按一家投标人计算。评审后得分最高的同品牌投标人获得中标人推荐资格；评审得分相同的，按投标报价最低者获得中标人推荐资格；投标报价也相等的，按技术得分高者获得中标人推荐资格；技术得分也相等的，按技术指标优者获得中标人推荐资格；其他同品牌投标人不作为中标候选人。若不同品牌的投标人得分相同的，按投标报价由低到高顺序排列；投标报价也相等的，按技术得分高者优先，技术得分也相等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23" w:type="dxa"/>
            <w:vAlign w:val="center"/>
          </w:tcPr>
          <w:p>
            <w:pPr>
              <w:spacing w:line="360" w:lineRule="exact"/>
              <w:jc w:val="center"/>
              <w:rPr>
                <w:rFonts w:ascii="宋体" w:hAnsi="宋体" w:eastAsia="宋体"/>
              </w:rPr>
            </w:pPr>
            <w:r>
              <w:rPr>
                <w:rFonts w:hint="eastAsia" w:ascii="宋体" w:hAnsi="宋体" w:eastAsia="宋体"/>
              </w:rPr>
              <w:t>30</w:t>
            </w:r>
          </w:p>
        </w:tc>
        <w:tc>
          <w:tcPr>
            <w:tcW w:w="2270" w:type="dxa"/>
            <w:vAlign w:val="center"/>
          </w:tcPr>
          <w:p>
            <w:pPr>
              <w:spacing w:line="360" w:lineRule="exact"/>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核心产品</w:t>
            </w:r>
          </w:p>
        </w:tc>
        <w:tc>
          <w:tcPr>
            <w:tcW w:w="6943" w:type="dxa"/>
            <w:vAlign w:val="center"/>
          </w:tcPr>
          <w:p>
            <w:pPr>
              <w:pStyle w:val="48"/>
              <w:widowControl w:val="0"/>
              <w:kinsoku/>
              <w:adjustRightInd/>
              <w:snapToGrid/>
              <w:spacing w:line="360" w:lineRule="exact"/>
              <w:textAlignment w:val="auto"/>
              <w:rPr>
                <w:rFonts w:hint="default" w:ascii="宋体" w:hAnsi="宋体" w:eastAsia="宋体" w:cs="宋体"/>
                <w:snapToGrid w:val="0"/>
                <w:color w:val="000000"/>
                <w:sz w:val="21"/>
                <w:szCs w:val="21"/>
                <w:lang w:val="en-US" w:eastAsia="zh-CN" w:bidi="ar-SA"/>
              </w:rPr>
            </w:pPr>
            <w:r>
              <w:rPr>
                <w:rFonts w:hint="eastAsia" w:cs="宋体"/>
                <w:snapToGrid w:val="0"/>
                <w:color w:val="000000"/>
                <w:sz w:val="21"/>
                <w:szCs w:val="21"/>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pPr>
              <w:spacing w:line="360" w:lineRule="exact"/>
              <w:jc w:val="center"/>
              <w:rPr>
                <w:rFonts w:ascii="宋体" w:hAnsi="宋体" w:eastAsia="宋体"/>
              </w:rPr>
            </w:pPr>
            <w:r>
              <w:rPr>
                <w:rFonts w:hint="eastAsia" w:ascii="宋体" w:hAnsi="宋体" w:eastAsia="宋体"/>
              </w:rPr>
              <w:t>31</w:t>
            </w:r>
          </w:p>
        </w:tc>
        <w:tc>
          <w:tcPr>
            <w:tcW w:w="2270" w:type="dxa"/>
            <w:vAlign w:val="center"/>
          </w:tcPr>
          <w:p>
            <w:pPr>
              <w:spacing w:line="360" w:lineRule="exact"/>
              <w:jc w:val="center"/>
              <w:rPr>
                <w:rFonts w:ascii="宋体" w:hAnsi="宋体" w:eastAsia="宋体" w:cs="宋体"/>
              </w:rPr>
            </w:pPr>
            <w:r>
              <w:rPr>
                <w:rFonts w:hint="eastAsia" w:ascii="宋体" w:hAnsi="宋体" w:eastAsia="宋体" w:cs="宋体"/>
              </w:rPr>
              <w:t>是否授权评标委员会确定中标人</w:t>
            </w:r>
          </w:p>
        </w:tc>
        <w:tc>
          <w:tcPr>
            <w:tcW w:w="6943" w:type="dxa"/>
            <w:vAlign w:val="center"/>
          </w:tcPr>
          <w:p>
            <w:pPr>
              <w:pStyle w:val="48"/>
              <w:widowControl w:val="0"/>
              <w:kinsoku/>
              <w:adjustRightInd/>
              <w:snapToGrid/>
              <w:spacing w:line="360" w:lineRule="exact"/>
              <w:textAlignment w:val="auto"/>
            </w:pPr>
            <w:r>
              <w:rPr>
                <w:rFonts w:hint="eastAsia"/>
              </w:rPr>
              <w:t>否；评标委员会推荐的中标候选人数：3人；</w:t>
            </w:r>
          </w:p>
          <w:p>
            <w:pPr>
              <w:pStyle w:val="48"/>
              <w:widowControl w:val="0"/>
              <w:kinsoku/>
              <w:adjustRightInd/>
              <w:snapToGrid/>
              <w:spacing w:line="360" w:lineRule="exact"/>
              <w:textAlignment w:val="auto"/>
            </w:pPr>
            <w:r>
              <w:rPr>
                <w:rFonts w:hint="eastAsia"/>
              </w:rPr>
              <w:t>采购人应当确定排名第一的中标候选人为中标人。排名第一的中标候选人放弃中标、因不可抗力提出不能履行合同等，有如上情况之一的，采购人可以依次确定排名第二、第三的中标候选人为中标人。若排名第三的中标候选人出现上述情况之一的，则该标段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pPr>
              <w:spacing w:line="360" w:lineRule="exact"/>
              <w:jc w:val="center"/>
              <w:rPr>
                <w:rFonts w:ascii="宋体" w:hAnsi="宋体" w:eastAsia="宋体"/>
              </w:rPr>
            </w:pPr>
            <w:r>
              <w:rPr>
                <w:rFonts w:hint="eastAsia" w:ascii="宋体" w:hAnsi="宋体" w:eastAsia="宋体"/>
              </w:rPr>
              <w:t>32</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color w:val="0C0C0C"/>
                <w:spacing w:val="-1"/>
              </w:rPr>
              <w:t>评标方法</w:t>
            </w:r>
          </w:p>
        </w:tc>
        <w:tc>
          <w:tcPr>
            <w:tcW w:w="6943" w:type="dxa"/>
          </w:tcPr>
          <w:p>
            <w:pPr>
              <w:pStyle w:val="48"/>
              <w:widowControl w:val="0"/>
              <w:kinsoku/>
              <w:adjustRightInd/>
              <w:snapToGrid/>
              <w:spacing w:line="360" w:lineRule="exact"/>
              <w:textAlignment w:val="auto"/>
            </w:pPr>
            <w:r>
              <w:rPr>
                <w:rFonts w:hint="eastAsia"/>
              </w:rPr>
              <w:t>详见招标文件的评标办法。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23" w:type="dxa"/>
            <w:vAlign w:val="center"/>
          </w:tcPr>
          <w:p>
            <w:pPr>
              <w:spacing w:line="360" w:lineRule="exact"/>
              <w:jc w:val="center"/>
              <w:rPr>
                <w:rFonts w:ascii="宋体" w:hAnsi="宋体" w:eastAsia="宋体"/>
              </w:rPr>
            </w:pPr>
            <w:r>
              <w:rPr>
                <w:rFonts w:hint="eastAsia" w:ascii="宋体" w:hAnsi="宋体" w:eastAsia="宋体"/>
              </w:rPr>
              <w:t>33</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color w:val="0C0C0C"/>
                <w:spacing w:val="-1"/>
              </w:rPr>
              <w:t>中标公示</w:t>
            </w:r>
          </w:p>
        </w:tc>
        <w:tc>
          <w:tcPr>
            <w:tcW w:w="6943" w:type="dxa"/>
          </w:tcPr>
          <w:p>
            <w:pPr>
              <w:pStyle w:val="48"/>
              <w:widowControl w:val="0"/>
              <w:kinsoku/>
              <w:adjustRightInd/>
              <w:snapToGrid/>
              <w:spacing w:line="360" w:lineRule="exact"/>
              <w:textAlignment w:val="auto"/>
            </w:pPr>
            <w:r>
              <w:rPr>
                <w:rFonts w:hint="eastAsia"/>
              </w:rPr>
              <w:t>代理机构接到采购人通知后，将在公告信息发布同一媒体上发布中标结果公告。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3" w:type="dxa"/>
            <w:vAlign w:val="center"/>
          </w:tcPr>
          <w:p>
            <w:pPr>
              <w:spacing w:line="360" w:lineRule="exact"/>
              <w:jc w:val="center"/>
              <w:rPr>
                <w:rFonts w:ascii="宋体" w:hAnsi="宋体" w:eastAsia="宋体"/>
              </w:rPr>
            </w:pPr>
            <w:r>
              <w:rPr>
                <w:rFonts w:hint="eastAsia" w:ascii="宋体" w:hAnsi="宋体" w:eastAsia="宋体"/>
              </w:rPr>
              <w:t>34</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rPr>
              <w:t>履约保证金</w:t>
            </w:r>
          </w:p>
        </w:tc>
        <w:tc>
          <w:tcPr>
            <w:tcW w:w="6943" w:type="dxa"/>
          </w:tcPr>
          <w:p>
            <w:pPr>
              <w:pStyle w:val="48"/>
              <w:widowControl w:val="0"/>
              <w:kinsoku/>
              <w:adjustRightInd/>
              <w:snapToGrid/>
              <w:spacing w:line="360" w:lineRule="exact"/>
              <w:textAlignment w:val="auto"/>
            </w:pPr>
            <w:r>
              <w:rPr>
                <w:rFonts w:hint="eastAsi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rPr>
              <w:t>35</w:t>
            </w:r>
          </w:p>
        </w:tc>
        <w:tc>
          <w:tcPr>
            <w:tcW w:w="2270"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验收方式</w:t>
            </w:r>
          </w:p>
        </w:tc>
        <w:tc>
          <w:tcPr>
            <w:tcW w:w="6943" w:type="dxa"/>
            <w:vAlign w:val="center"/>
          </w:tcPr>
          <w:p>
            <w:pPr>
              <w:spacing w:line="360" w:lineRule="exact"/>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中标供应商所供货物全部安装调试完成后，向采购人提出验收申请，采购人组织相关人员成立县级验收小组，严格按照投标文件对设备数量进行验收，验收合格出具验收报告。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36</w:t>
            </w:r>
          </w:p>
        </w:tc>
        <w:tc>
          <w:tcPr>
            <w:tcW w:w="2270" w:type="dxa"/>
            <w:vAlign w:val="center"/>
          </w:tcPr>
          <w:p>
            <w:pPr>
              <w:spacing w:line="360" w:lineRule="exact"/>
              <w:jc w:val="center"/>
              <w:rPr>
                <w:rFonts w:ascii="宋体" w:hAnsi="宋体" w:eastAsia="宋体" w:cs="宋体"/>
                <w:highlight w:val="none"/>
              </w:rPr>
            </w:pPr>
            <w:r>
              <w:rPr>
                <w:rFonts w:hint="eastAsia" w:ascii="宋体" w:hAnsi="宋体" w:eastAsia="宋体" w:cs="宋体"/>
                <w:highlight w:val="none"/>
              </w:rPr>
              <w:t>付款方式及要求</w:t>
            </w:r>
          </w:p>
        </w:tc>
        <w:tc>
          <w:tcPr>
            <w:tcW w:w="6943" w:type="dxa"/>
            <w:vAlign w:val="center"/>
          </w:tcPr>
          <w:p>
            <w:pPr>
              <w:pStyle w:val="48"/>
              <w:widowControl w:val="0"/>
              <w:kinsoku/>
              <w:adjustRightInd/>
              <w:snapToGrid/>
              <w:spacing w:line="360" w:lineRule="exact"/>
              <w:textAlignment w:val="auto"/>
              <w:rPr>
                <w:rFonts w:hint="default"/>
                <w:highlight w:val="none"/>
                <w:lang w:val="en-US"/>
              </w:rPr>
            </w:pPr>
            <w:r>
              <w:rPr>
                <w:rFonts w:hint="eastAsia" w:cs="宋体"/>
                <w:snapToGrid w:val="0"/>
                <w:color w:val="000000"/>
                <w:sz w:val="21"/>
                <w:szCs w:val="21"/>
                <w:highlight w:val="none"/>
                <w:lang w:val="en-US" w:eastAsia="zh-CN" w:bidi="ar-SA"/>
              </w:rPr>
              <w:t>三年付清。安装调试使用满一年支付货款40%，满二年再支付货款40%，满三年再支付货款20%。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37</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color w:val="0C0C0C"/>
                <w:spacing w:val="-1"/>
              </w:rPr>
              <w:t>开标程序</w:t>
            </w:r>
          </w:p>
        </w:tc>
        <w:tc>
          <w:tcPr>
            <w:tcW w:w="6943" w:type="dxa"/>
          </w:tcPr>
          <w:p>
            <w:pPr>
              <w:pStyle w:val="48"/>
              <w:widowControl w:val="0"/>
              <w:kinsoku/>
              <w:adjustRightInd/>
              <w:snapToGrid/>
              <w:spacing w:line="360" w:lineRule="exact"/>
              <w:textAlignment w:val="auto"/>
            </w:pPr>
            <w:r>
              <w:t>本项目采用“远程不见面”开标方式，不见面开标大厅地址</w:t>
            </w:r>
            <w:r>
              <w:fldChar w:fldCharType="begin"/>
            </w:r>
            <w:r>
              <w:instrText xml:space="preserve"> HYPERLINK "http://www.thggzy.cn/" </w:instrText>
            </w:r>
            <w:r>
              <w:fldChar w:fldCharType="separate"/>
            </w:r>
            <w:r>
              <w:t>http://www.thggzy.cn/</w:t>
            </w:r>
            <w:r>
              <w:fldChar w:fldCharType="end"/>
            </w:r>
            <w: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38</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投标人代表出席开标会要求</w:t>
            </w:r>
          </w:p>
        </w:tc>
        <w:tc>
          <w:tcPr>
            <w:tcW w:w="6943" w:type="dxa"/>
          </w:tcPr>
          <w:p>
            <w:pPr>
              <w:pStyle w:val="48"/>
              <w:widowControl w:val="0"/>
              <w:kinsoku/>
              <w:adjustRightInd/>
              <w:snapToGrid/>
              <w:spacing w:line="360" w:lineRule="exact"/>
              <w:textAlignment w:val="auto"/>
            </w:pPr>
            <w:r>
              <w:t>该项目需要使用不见面开标，告知投标人无需前往现场来参与投标。而是各投标人根据手册要求，提前做好相关准备工作。</w:t>
            </w:r>
          </w:p>
          <w:p>
            <w:pPr>
              <w:pStyle w:val="48"/>
              <w:widowControl w:val="0"/>
              <w:kinsoku/>
              <w:adjustRightInd/>
              <w:snapToGrid/>
              <w:spacing w:line="360" w:lineRule="exact"/>
              <w:textAlignment w:val="auto"/>
            </w:pPr>
            <w:r>
              <w:t>附件：操作手册地址(下载专区中自行下载)、不见面开标大厅地址唐河县公共资源交易中心网站首页“不见面开标大厅”模块</w:t>
            </w:r>
          </w:p>
          <w:p>
            <w:pPr>
              <w:pStyle w:val="48"/>
              <w:widowControl w:val="0"/>
              <w:kinsoku/>
              <w:adjustRightInd/>
              <w:snapToGrid/>
              <w:spacing w:line="360" w:lineRule="exact"/>
              <w:textAlignment w:val="auto"/>
            </w:pPr>
            <w:r>
              <w:t>因投标人无需现场参与开标，所有准备工作需要自行到位。开标过程中如遇到紧急事项，可在不见面开标大厅中进行提出异议或文字交流，严重问题可拨打技术支持电话</w:t>
            </w:r>
          </w:p>
          <w:p>
            <w:pPr>
              <w:pStyle w:val="48"/>
              <w:widowControl w:val="0"/>
              <w:kinsoku/>
              <w:adjustRightInd/>
              <w:snapToGrid/>
              <w:spacing w:line="360" w:lineRule="exact"/>
              <w:textAlignment w:val="auto"/>
            </w:pPr>
            <w:r>
              <w:t>不见面开标过程中，如投标人准备不到位，造成无法及时解密、网络问题等情况造成开标无法继续的，视为该投标人自动放弃投标(</w:t>
            </w:r>
            <w:r>
              <w:rPr>
                <w:rFonts w:hint="eastAsia"/>
              </w:rPr>
              <w:t>3</w:t>
            </w:r>
            <w:r>
              <w:t>0分钟内)，将被退回投标文件。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39</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监督</w:t>
            </w:r>
          </w:p>
        </w:tc>
        <w:tc>
          <w:tcPr>
            <w:tcW w:w="6943" w:type="dxa"/>
          </w:tcPr>
          <w:p>
            <w:pPr>
              <w:pStyle w:val="48"/>
              <w:widowControl w:val="0"/>
              <w:kinsoku/>
              <w:adjustRightInd/>
              <w:snapToGrid/>
              <w:spacing w:line="360" w:lineRule="exact"/>
              <w:textAlignment w:val="auto"/>
            </w:pPr>
            <w:r>
              <w:t>本项目的招标投标活动及其相关当事人应当接受有管辖权的招标投标行政监督部门依法实施的监督。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40</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解释权</w:t>
            </w:r>
          </w:p>
        </w:tc>
        <w:tc>
          <w:tcPr>
            <w:tcW w:w="6943" w:type="dxa"/>
          </w:tcPr>
          <w:p>
            <w:pPr>
              <w:pStyle w:val="48"/>
              <w:widowControl w:val="0"/>
              <w:kinsoku/>
              <w:adjustRightInd/>
              <w:snapToGrid/>
              <w:spacing w:line="360" w:lineRule="exact"/>
              <w:textAlignment w:val="auto"/>
            </w:pPr>
            <w: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r>
              <w:rPr>
                <w:rFonts w:hint="eastAsia"/>
              </w:rPr>
              <w:t>在评标过程中，若招标文件中就同一内容，有表达不一致的情形，且潜在投标人在招标文件规定的提出异议和澄清的时间内未提出异议或其他澄清要求的，则由评标委员会按照有利于招标人的方向理解。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41</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投标人提出问题的截止时间</w:t>
            </w:r>
          </w:p>
        </w:tc>
        <w:tc>
          <w:tcPr>
            <w:tcW w:w="6943" w:type="dxa"/>
          </w:tcPr>
          <w:p>
            <w:pPr>
              <w:pStyle w:val="48"/>
              <w:widowControl w:val="0"/>
              <w:kinsoku/>
              <w:adjustRightInd/>
              <w:snapToGrid/>
              <w:spacing w:line="360" w:lineRule="exact"/>
              <w:textAlignment w:val="auto"/>
            </w:pPr>
            <w:r>
              <w:t>递交投标文件的截止之日15日前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42</w:t>
            </w:r>
          </w:p>
        </w:tc>
        <w:tc>
          <w:tcPr>
            <w:tcW w:w="2270" w:type="dxa"/>
            <w:vAlign w:val="center"/>
          </w:tcPr>
          <w:p>
            <w:pPr>
              <w:spacing w:line="360" w:lineRule="exact"/>
              <w:jc w:val="center"/>
              <w:rPr>
                <w:rFonts w:ascii="宋体" w:hAnsi="宋体" w:eastAsia="宋体" w:cs="宋体"/>
                <w:color w:val="0C0C0C"/>
                <w:spacing w:val="-1"/>
              </w:rPr>
            </w:pPr>
            <w:r>
              <w:rPr>
                <w:rFonts w:ascii="宋体" w:hAnsi="宋体" w:eastAsia="宋体" w:cs="宋体"/>
                <w:color w:val="0C0C0C"/>
                <w:spacing w:val="-1"/>
              </w:rPr>
              <w:t>其他说明</w:t>
            </w:r>
          </w:p>
        </w:tc>
        <w:tc>
          <w:tcPr>
            <w:tcW w:w="6943" w:type="dxa"/>
          </w:tcPr>
          <w:p>
            <w:pPr>
              <w:pStyle w:val="48"/>
              <w:widowControl w:val="0"/>
              <w:kinsoku/>
              <w:adjustRightInd/>
              <w:snapToGrid/>
              <w:spacing w:line="360" w:lineRule="exact"/>
              <w:textAlignment w:val="auto"/>
            </w:pPr>
            <w:r>
              <w:t>“招标人”与“采购人”，“投标人”与“供应商”按照同一意思理解。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43</w:t>
            </w:r>
          </w:p>
        </w:tc>
        <w:tc>
          <w:tcPr>
            <w:tcW w:w="2270" w:type="dxa"/>
            <w:vAlign w:val="center"/>
          </w:tcPr>
          <w:p>
            <w:pPr>
              <w:spacing w:line="360" w:lineRule="exact"/>
              <w:jc w:val="center"/>
              <w:rPr>
                <w:rFonts w:ascii="宋体" w:hAnsi="宋体" w:eastAsia="宋体" w:cs="宋体"/>
                <w:color w:val="0C0C0C"/>
                <w:spacing w:val="-1"/>
              </w:rPr>
            </w:pPr>
            <w:r>
              <w:rPr>
                <w:rFonts w:hint="eastAsia" w:cs="宋体"/>
              </w:rPr>
              <w:t>代理</w:t>
            </w:r>
            <w:r>
              <w:rPr>
                <w:rFonts w:hint="eastAsia" w:ascii="宋体" w:hAnsi="宋体" w:cs="宋体"/>
                <w:lang w:val="zh-CN"/>
              </w:rPr>
              <w:t>服务费</w:t>
            </w:r>
          </w:p>
        </w:tc>
        <w:tc>
          <w:tcPr>
            <w:tcW w:w="6943" w:type="dxa"/>
            <w:vAlign w:val="center"/>
          </w:tcPr>
          <w:p>
            <w:pPr>
              <w:spacing w:line="360" w:lineRule="exact"/>
              <w:rPr>
                <w:rFonts w:ascii="宋体" w:hAnsi="宋体" w:eastAsia="宋体" w:cs="Times New Roman"/>
              </w:rPr>
            </w:pPr>
            <w:r>
              <w:rPr>
                <w:rFonts w:hint="eastAsia" w:ascii="宋体" w:hAnsi="宋体" w:eastAsia="宋体" w:cs="Times New Roman"/>
              </w:rPr>
              <w:t>代理机构与采购人商定,参照豫招协【2023】002 号文规定的招标代理服务收费计算标准，中标、成交供应商在领取中标通知书时一次性向代理机构缴纳。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23" w:type="dxa"/>
            <w:vAlign w:val="center"/>
          </w:tcPr>
          <w:p>
            <w:pPr>
              <w:spacing w:line="360" w:lineRule="exact"/>
              <w:jc w:val="center"/>
              <w:rPr>
                <w:rFonts w:ascii="宋体" w:hAnsi="宋体" w:eastAsia="宋体" w:cs="宋体"/>
                <w:spacing w:val="-3"/>
              </w:rPr>
            </w:pPr>
            <w:r>
              <w:rPr>
                <w:rFonts w:hint="eastAsia" w:ascii="宋体" w:hAnsi="宋体" w:eastAsia="宋体" w:cs="宋体"/>
                <w:spacing w:val="-3"/>
              </w:rPr>
              <w:t>44</w:t>
            </w:r>
          </w:p>
        </w:tc>
        <w:tc>
          <w:tcPr>
            <w:tcW w:w="2270" w:type="dxa"/>
            <w:vAlign w:val="center"/>
          </w:tcPr>
          <w:p>
            <w:pPr>
              <w:spacing w:line="360" w:lineRule="exact"/>
              <w:jc w:val="center"/>
              <w:rPr>
                <w:rFonts w:ascii="宋体" w:hAnsi="宋体" w:eastAsia="宋体" w:cs="宋体"/>
                <w:color w:val="0C0C0C"/>
                <w:spacing w:val="-1"/>
              </w:rPr>
            </w:pPr>
            <w:r>
              <w:rPr>
                <w:rFonts w:hint="eastAsia" w:ascii="宋体" w:hAnsi="宋体" w:eastAsia="宋体" w:cs="宋体"/>
                <w:color w:val="0C0C0C"/>
                <w:spacing w:val="-1"/>
              </w:rPr>
              <w:t>小微企业政策</w:t>
            </w:r>
          </w:p>
        </w:tc>
        <w:tc>
          <w:tcPr>
            <w:tcW w:w="6943" w:type="dxa"/>
            <w:vAlign w:val="center"/>
          </w:tcPr>
          <w:p>
            <w:pPr>
              <w:pStyle w:val="48"/>
              <w:widowControl w:val="0"/>
              <w:kinsoku/>
              <w:adjustRightInd/>
              <w:snapToGrid/>
              <w:spacing w:line="360" w:lineRule="exact"/>
              <w:textAlignment w:val="auto"/>
            </w:pPr>
            <w:r>
              <w:rPr>
                <w:rFonts w:hint="eastAsia"/>
              </w:rPr>
              <w:t>鼓励各地区、各部门在采购活动中允许中小企业引入信用担保手段，为中小企业在投标(响应)保证、履约保证等方面提供专业化服务。鼓励中小企业依法合规通过政府采购合同融资。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823" w:type="dxa"/>
            <w:vAlign w:val="center"/>
          </w:tcPr>
          <w:p>
            <w:pPr>
              <w:spacing w:line="360" w:lineRule="exact"/>
              <w:jc w:val="center"/>
              <w:rPr>
                <w:rFonts w:ascii="宋体" w:hAnsi="宋体" w:eastAsia="宋体" w:cs="宋体"/>
                <w:spacing w:val="-3"/>
                <w:highlight w:val="none"/>
              </w:rPr>
            </w:pPr>
            <w:r>
              <w:rPr>
                <w:rFonts w:hint="eastAsia" w:ascii="宋体" w:hAnsi="宋体" w:eastAsia="宋体" w:cs="宋体"/>
                <w:spacing w:val="-3"/>
                <w:highlight w:val="none"/>
              </w:rPr>
              <w:t>45</w:t>
            </w:r>
          </w:p>
        </w:tc>
        <w:tc>
          <w:tcPr>
            <w:tcW w:w="2270" w:type="dxa"/>
            <w:vAlign w:val="center"/>
          </w:tcPr>
          <w:p>
            <w:pPr>
              <w:spacing w:line="360" w:lineRule="exact"/>
              <w:jc w:val="center"/>
              <w:rPr>
                <w:rFonts w:ascii="宋体" w:hAnsi="宋体" w:eastAsia="宋体" w:cs="宋体"/>
                <w:highlight w:val="none"/>
              </w:rPr>
            </w:pPr>
            <w:r>
              <w:rPr>
                <w:rFonts w:hint="eastAsia" w:ascii="宋体" w:hAnsi="宋体" w:eastAsia="宋体" w:cs="宋体"/>
                <w:highlight w:val="none"/>
              </w:rPr>
              <w:t>售后要求</w:t>
            </w:r>
          </w:p>
        </w:tc>
        <w:tc>
          <w:tcPr>
            <w:tcW w:w="6943" w:type="dxa"/>
            <w:vAlign w:val="center"/>
          </w:tcPr>
          <w:p>
            <w:pPr>
              <w:pStyle w:val="48"/>
              <w:widowControl w:val="0"/>
              <w:kinsoku/>
              <w:adjustRightInd/>
              <w:snapToGrid/>
              <w:spacing w:line="360" w:lineRule="exact"/>
              <w:textAlignment w:val="auto"/>
              <w:rPr>
                <w:rFonts w:hint="default"/>
                <w:highlight w:val="none"/>
                <w:lang w:val="en-US" w:eastAsia="zh-CN"/>
              </w:rPr>
            </w:pPr>
            <w:r>
              <w:rPr>
                <w:rFonts w:hint="eastAsia"/>
                <w:highlight w:val="none"/>
              </w:rPr>
              <w:t>质保期一年，终身维护</w:t>
            </w:r>
          </w:p>
        </w:tc>
      </w:tr>
    </w:tbl>
    <w:p>
      <w:pPr>
        <w:sectPr>
          <w:headerReference r:id="rId6" w:type="default"/>
          <w:footerReference r:id="rId7" w:type="default"/>
          <w:pgSz w:w="11907" w:h="16839"/>
          <w:pgMar w:top="1476" w:right="931" w:bottom="1226" w:left="933" w:header="1155" w:footer="958" w:gutter="0"/>
          <w:pgNumType w:start="1"/>
          <w:cols w:space="720" w:num="1"/>
        </w:sectPr>
      </w:pPr>
    </w:p>
    <w:p>
      <w:pPr>
        <w:numPr>
          <w:ilvl w:val="0"/>
          <w:numId w:val="3"/>
        </w:numPr>
        <w:spacing w:line="360" w:lineRule="auto"/>
        <w:jc w:val="center"/>
        <w:outlineLvl w:val="0"/>
        <w:rPr>
          <w:rFonts w:hint="eastAsia" w:asciiTheme="minorEastAsia" w:hAnsiTheme="minorEastAsia" w:eastAsiaTheme="minorEastAsia" w:cstheme="minorEastAsia"/>
          <w:b/>
          <w:bCs/>
          <w:spacing w:val="18"/>
          <w:sz w:val="31"/>
          <w:szCs w:val="31"/>
        </w:rPr>
      </w:pPr>
      <w:r>
        <w:rPr>
          <w:rFonts w:hint="eastAsia" w:asciiTheme="minorEastAsia" w:hAnsiTheme="minorEastAsia" w:eastAsiaTheme="minorEastAsia" w:cstheme="minorEastAsia"/>
          <w:b/>
          <w:bCs/>
          <w:spacing w:val="18"/>
          <w:sz w:val="31"/>
          <w:szCs w:val="31"/>
        </w:rPr>
        <w:t>项目采购内容及要求</w:t>
      </w:r>
    </w:p>
    <w:tbl>
      <w:tblPr>
        <w:tblStyle w:val="29"/>
        <w:tblpPr w:leftFromText="180" w:rightFromText="180" w:vertAnchor="page" w:horzAnchor="page" w:tblpXSpec="center" w:tblpY="2717"/>
        <w:tblOverlap w:val="never"/>
        <w:tblW w:w="6991" w:type="dxa"/>
        <w:jc w:val="center"/>
        <w:tblLayout w:type="autofit"/>
        <w:tblCellMar>
          <w:top w:w="0" w:type="dxa"/>
          <w:left w:w="108" w:type="dxa"/>
          <w:bottom w:w="0" w:type="dxa"/>
          <w:right w:w="108" w:type="dxa"/>
        </w:tblCellMar>
      </w:tblPr>
      <w:tblGrid>
        <w:gridCol w:w="797"/>
        <w:gridCol w:w="4666"/>
        <w:gridCol w:w="1528"/>
      </w:tblGrid>
      <w:tr>
        <w:tblPrEx>
          <w:tblCellMar>
            <w:top w:w="0" w:type="dxa"/>
            <w:left w:w="108" w:type="dxa"/>
            <w:bottom w:w="0" w:type="dxa"/>
            <w:right w:w="108" w:type="dxa"/>
          </w:tblCellMar>
        </w:tblPrEx>
        <w:trPr>
          <w:trHeight w:val="60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b/>
                <w:bCs/>
                <w:sz w:val="24"/>
                <w:szCs w:val="24"/>
              </w:rPr>
            </w:pPr>
            <w:r>
              <w:rPr>
                <w:rFonts w:hint="eastAsia" w:ascii="宋体" w:hAnsi="宋体" w:eastAsia="宋体" w:cs="宋体"/>
                <w:b/>
                <w:bCs/>
                <w:sz w:val="24"/>
                <w:szCs w:val="24"/>
              </w:rPr>
              <w:t>数量</w:t>
            </w:r>
          </w:p>
        </w:tc>
      </w:tr>
      <w:tr>
        <w:tblPrEx>
          <w:tblCellMar>
            <w:top w:w="0" w:type="dxa"/>
            <w:left w:w="108" w:type="dxa"/>
            <w:bottom w:w="0" w:type="dxa"/>
            <w:right w:w="108" w:type="dxa"/>
          </w:tblCellMar>
        </w:tblPrEx>
        <w:trPr>
          <w:trHeight w:val="70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b/>
                <w:bCs/>
                <w:sz w:val="24"/>
                <w:szCs w:val="24"/>
              </w:rPr>
            </w:pPr>
            <w:r>
              <w:rPr>
                <w:rFonts w:hint="eastAsia" w:ascii="宋体" w:hAnsi="宋体" w:eastAsia="宋体" w:cs="宋体"/>
                <w:b/>
                <w:bCs/>
                <w:sz w:val="24"/>
                <w:szCs w:val="24"/>
              </w:rPr>
              <w:t>1</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智能化高端四维超声诊断仪</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w:t>
            </w:r>
          </w:p>
        </w:tc>
      </w:tr>
      <w:tr>
        <w:tblPrEx>
          <w:tblCellMar>
            <w:top w:w="0" w:type="dxa"/>
            <w:left w:w="108" w:type="dxa"/>
            <w:bottom w:w="0" w:type="dxa"/>
            <w:right w:w="108" w:type="dxa"/>
          </w:tblCellMar>
        </w:tblPrEx>
        <w:trPr>
          <w:trHeight w:val="7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b/>
                <w:bCs/>
                <w:sz w:val="24"/>
                <w:szCs w:val="24"/>
              </w:rPr>
            </w:pPr>
            <w:r>
              <w:rPr>
                <w:rFonts w:hint="eastAsia" w:ascii="宋体" w:hAnsi="宋体" w:eastAsia="宋体" w:cs="宋体"/>
                <w:b/>
                <w:bCs/>
                <w:sz w:val="24"/>
                <w:szCs w:val="24"/>
              </w:rPr>
              <w:t>2</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b/>
                <w:bCs/>
                <w:sz w:val="24"/>
                <w:szCs w:val="24"/>
                <w:lang w:val="en-US" w:eastAsia="zh-CN"/>
              </w:rPr>
            </w:pPr>
            <w:bookmarkStart w:id="122" w:name="_GoBack"/>
            <w:bookmarkEnd w:id="122"/>
            <w:r>
              <w:rPr>
                <w:rFonts w:hint="eastAsia" w:ascii="宋体" w:hAnsi="宋体" w:eastAsia="宋体" w:cs="宋体"/>
                <w:b/>
                <w:bCs/>
                <w:sz w:val="24"/>
                <w:szCs w:val="24"/>
                <w:lang w:val="en-US" w:eastAsia="zh-CN"/>
              </w:rPr>
              <w:t>麻醉机</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b/>
                <w:bCs/>
                <w:sz w:val="24"/>
                <w:szCs w:val="24"/>
              </w:rPr>
            </w:pPr>
            <w:r>
              <w:rPr>
                <w:rFonts w:hint="eastAsia" w:ascii="宋体" w:hAnsi="宋体" w:cs="宋体"/>
                <w:b/>
                <w:bCs/>
                <w:sz w:val="24"/>
                <w:szCs w:val="24"/>
                <w:lang w:val="en-US" w:eastAsia="zh-CN"/>
              </w:rPr>
              <w:t>1</w:t>
            </w:r>
          </w:p>
        </w:tc>
      </w:tr>
    </w:tbl>
    <w:p>
      <w:pPr>
        <w:rPr>
          <w:rFonts w:hint="eastAsia" w:eastAsia="宋体"/>
          <w:b/>
          <w:bCs/>
          <w:sz w:val="28"/>
          <w:szCs w:val="36"/>
          <w:lang w:val="en-US" w:eastAsia="zh-CN"/>
        </w:rPr>
      </w:pPr>
    </w:p>
    <w:p>
      <w:pPr>
        <w:rPr>
          <w:rFonts w:hint="eastAsia" w:eastAsia="宋体"/>
          <w:b/>
          <w:bCs/>
          <w:sz w:val="28"/>
          <w:szCs w:val="36"/>
          <w:lang w:val="en-US" w:eastAsia="zh-CN"/>
        </w:rPr>
      </w:pPr>
      <w:r>
        <w:rPr>
          <w:rFonts w:hint="eastAsia" w:eastAsia="宋体"/>
          <w:b/>
          <w:bCs/>
          <w:sz w:val="28"/>
          <w:szCs w:val="36"/>
          <w:lang w:val="en-US" w:eastAsia="zh-CN"/>
        </w:rPr>
        <w:br w:type="textWrapping"/>
      </w:r>
      <w:r>
        <w:rPr>
          <w:rFonts w:hint="eastAsia" w:eastAsia="宋体"/>
          <w:b/>
          <w:bCs/>
          <w:sz w:val="28"/>
          <w:szCs w:val="36"/>
          <w:lang w:val="en-US" w:eastAsia="zh-CN"/>
        </w:rPr>
        <w:br w:type="textWrapping"/>
      </w:r>
      <w:r>
        <w:rPr>
          <w:rFonts w:hint="eastAsia" w:eastAsia="宋体"/>
          <w:b/>
          <w:bCs/>
          <w:sz w:val="28"/>
          <w:szCs w:val="36"/>
          <w:lang w:val="en-US" w:eastAsia="zh-CN"/>
        </w:rPr>
        <w:br w:type="textWrapping"/>
      </w:r>
      <w:r>
        <w:rPr>
          <w:rFonts w:hint="eastAsia" w:eastAsia="宋体"/>
          <w:b/>
          <w:bCs/>
          <w:sz w:val="28"/>
          <w:szCs w:val="36"/>
          <w:lang w:val="en-US" w:eastAsia="zh-CN"/>
        </w:rPr>
        <w:br w:type="textWrapping"/>
      </w:r>
      <w:r>
        <w:rPr>
          <w:rFonts w:hint="eastAsia" w:eastAsia="宋体"/>
          <w:b/>
          <w:bCs/>
          <w:sz w:val="28"/>
          <w:szCs w:val="36"/>
          <w:lang w:val="en-US" w:eastAsia="zh-CN"/>
        </w:rPr>
        <w:br w:type="textWrapping"/>
      </w:r>
      <w:r>
        <w:rPr>
          <w:rFonts w:hint="eastAsia" w:eastAsia="宋体"/>
          <w:b/>
          <w:bCs/>
          <w:sz w:val="28"/>
          <w:szCs w:val="36"/>
          <w:lang w:val="en-US" w:eastAsia="zh-CN"/>
        </w:rPr>
        <w:br w:type="textWrapping"/>
      </w:r>
      <w:r>
        <w:rPr>
          <w:rFonts w:hint="eastAsia" w:eastAsia="宋体"/>
          <w:b/>
          <w:bCs/>
          <w:sz w:val="28"/>
          <w:szCs w:val="36"/>
          <w:lang w:val="en-US" w:eastAsia="zh-CN"/>
        </w:rPr>
        <w:br w:type="textWrapping"/>
      </w:r>
      <w:r>
        <w:rPr>
          <w:rFonts w:hint="eastAsia" w:eastAsia="宋体"/>
          <w:b/>
          <w:bCs/>
          <w:sz w:val="28"/>
          <w:szCs w:val="36"/>
          <w:lang w:val="en-US" w:eastAsia="zh-CN"/>
        </w:rPr>
        <w:br w:type="textWrapping"/>
      </w:r>
    </w:p>
    <w:p>
      <w:pPr>
        <w:jc w:val="center"/>
        <w:outlineLvl w:val="1"/>
        <w:rPr>
          <w:rFonts w:hint="eastAsia" w:eastAsia="宋体"/>
          <w:b/>
          <w:bCs/>
          <w:sz w:val="28"/>
          <w:szCs w:val="36"/>
          <w:lang w:val="en-US" w:eastAsia="zh-CN"/>
        </w:rPr>
      </w:pPr>
      <w:r>
        <w:rPr>
          <w:rFonts w:hint="eastAsia" w:eastAsia="宋体"/>
          <w:b/>
          <w:bCs/>
          <w:sz w:val="28"/>
          <w:szCs w:val="36"/>
          <w:lang w:val="en-US" w:eastAsia="zh-CN"/>
        </w:rPr>
        <w:t>一标段技术及要求：</w:t>
      </w:r>
    </w:p>
    <w:p>
      <w:pPr>
        <w:adjustRightInd w:val="0"/>
        <w:snapToGrid w:val="0"/>
        <w:spacing w:line="440" w:lineRule="exact"/>
        <w:jc w:val="center"/>
        <w:rPr>
          <w:rFonts w:cs="Arial" w:asciiTheme="minorEastAsia" w:hAnsiTheme="minorEastAsia" w:eastAsiaTheme="minorEastAsia"/>
          <w:b/>
          <w:bCs/>
          <w:szCs w:val="21"/>
        </w:rPr>
      </w:pPr>
      <w:r>
        <w:rPr>
          <w:rFonts w:hint="eastAsia" w:cs="Arial" w:asciiTheme="minorEastAsia" w:hAnsiTheme="minorEastAsia" w:eastAsiaTheme="minorEastAsia"/>
          <w:b/>
          <w:bCs/>
          <w:sz w:val="28"/>
          <w:szCs w:val="28"/>
        </w:rPr>
        <w:t>智能化高端四维超声诊断仪参数</w:t>
      </w:r>
    </w:p>
    <w:p>
      <w:pPr>
        <w:adjustRightInd w:val="0"/>
        <w:snapToGrid w:val="0"/>
        <w:spacing w:line="440" w:lineRule="exact"/>
        <w:rPr>
          <w:rFonts w:cs="Arial" w:asciiTheme="minorEastAsia" w:hAnsiTheme="minorEastAsia" w:eastAsiaTheme="minorEastAsia"/>
          <w:bCs/>
          <w:szCs w:val="21"/>
        </w:rPr>
      </w:pPr>
      <w:r>
        <w:rPr>
          <w:rFonts w:hint="eastAsia" w:cs="Arial" w:asciiTheme="minorEastAsia" w:hAnsiTheme="minorEastAsia" w:eastAsiaTheme="minorEastAsia"/>
          <w:b/>
          <w:bCs/>
          <w:szCs w:val="21"/>
        </w:rPr>
        <w:t>一、名    称：智能化高端四维超声诊断仪</w:t>
      </w:r>
    </w:p>
    <w:p>
      <w:pPr>
        <w:adjustRightInd w:val="0"/>
        <w:snapToGrid w:val="0"/>
        <w:spacing w:line="440" w:lineRule="exact"/>
        <w:rPr>
          <w:rFonts w:cs="Arial" w:asciiTheme="minorEastAsia" w:hAnsiTheme="minorEastAsia" w:eastAsiaTheme="minorEastAsia"/>
          <w:bCs/>
          <w:szCs w:val="21"/>
        </w:rPr>
      </w:pPr>
      <w:r>
        <w:rPr>
          <w:rFonts w:hint="eastAsia" w:cs="Arial" w:asciiTheme="minorEastAsia" w:hAnsiTheme="minorEastAsia" w:eastAsiaTheme="minorEastAsia"/>
          <w:b/>
          <w:bCs/>
          <w:szCs w:val="21"/>
        </w:rPr>
        <w:t>二、数    量：</w:t>
      </w:r>
      <w:r>
        <w:rPr>
          <w:rFonts w:hint="eastAsia" w:cs="Arial" w:asciiTheme="minorEastAsia" w:hAnsiTheme="minorEastAsia" w:eastAsiaTheme="minorEastAsia"/>
          <w:bCs/>
          <w:szCs w:val="21"/>
        </w:rPr>
        <w:t xml:space="preserve">一套 </w:t>
      </w:r>
    </w:p>
    <w:p>
      <w:pPr>
        <w:adjustRightInd w:val="0"/>
        <w:snapToGrid w:val="0"/>
        <w:spacing w:line="440" w:lineRule="exact"/>
        <w:rPr>
          <w:rFonts w:cs="Arial" w:asciiTheme="minorEastAsia" w:hAnsiTheme="minorEastAsia" w:eastAsiaTheme="minorEastAsia"/>
          <w:bCs/>
          <w:szCs w:val="21"/>
        </w:rPr>
      </w:pPr>
      <w:r>
        <w:rPr>
          <w:rFonts w:hint="eastAsia" w:cs="Arial" w:asciiTheme="minorEastAsia" w:hAnsiTheme="minorEastAsia" w:eastAsiaTheme="minorEastAsia"/>
          <w:b/>
          <w:bCs/>
          <w:szCs w:val="21"/>
        </w:rPr>
        <w:t>三、设备用途：</w:t>
      </w:r>
      <w:r>
        <w:rPr>
          <w:rFonts w:hint="eastAsia" w:cs="Arial" w:asciiTheme="minorEastAsia" w:hAnsiTheme="minorEastAsia" w:eastAsiaTheme="minorEastAsia"/>
          <w:bCs/>
          <w:szCs w:val="21"/>
        </w:rPr>
        <w:t>心脏、腹部、妇产科、泌尿科、小器官、血管、肌肉骨骼、TCD、新生儿、儿科等</w:t>
      </w:r>
      <w:r>
        <w:rPr>
          <w:rFonts w:hint="eastAsia" w:asciiTheme="minorEastAsia" w:hAnsiTheme="minorEastAsia" w:eastAsiaTheme="minorEastAsia"/>
          <w:szCs w:val="21"/>
        </w:rPr>
        <w:t>各科系病例诊断、疑难病例会诊和科研教学等极具价值</w:t>
      </w:r>
      <w:r>
        <w:rPr>
          <w:rFonts w:hint="eastAsia" w:cs="Arial" w:asciiTheme="minorEastAsia" w:hAnsiTheme="minorEastAsia" w:eastAsiaTheme="minorEastAsia"/>
          <w:bCs/>
          <w:szCs w:val="21"/>
        </w:rPr>
        <w:t>的顶级高端超声系统，投标设备必须为各厂家高档的专业机。</w:t>
      </w:r>
    </w:p>
    <w:p>
      <w:pPr>
        <w:adjustRightInd w:val="0"/>
        <w:snapToGrid w:val="0"/>
        <w:spacing w:line="44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四、主要规格及系统概述：</w:t>
      </w:r>
    </w:p>
    <w:p>
      <w:pPr>
        <w:adjustRightInd w:val="0"/>
        <w:snapToGrid w:val="0"/>
        <w:spacing w:line="440" w:lineRule="exact"/>
        <w:ind w:right="97" w:rightChars="46"/>
        <w:rPr>
          <w:rFonts w:cs="Arial" w:asciiTheme="minorEastAsia" w:hAnsiTheme="minorEastAsia" w:eastAsiaTheme="minorEastAsia"/>
          <w:b/>
          <w:bCs/>
          <w:szCs w:val="21"/>
        </w:rPr>
      </w:pPr>
      <w:r>
        <w:rPr>
          <w:rFonts w:hint="eastAsia" w:cs="Arial" w:asciiTheme="minorEastAsia" w:hAnsiTheme="minorEastAsia" w:eastAsiaTheme="minorEastAsia"/>
          <w:b/>
          <w:bCs/>
          <w:szCs w:val="21"/>
        </w:rPr>
        <w:t>1. 彩色超声诊断仪：</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1.1原装进口，全数字化超声成像系统，由制造商品牌所在国生产（以注册证为准）</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1.2 高清LED显示器≥21</w:t>
      </w:r>
      <w:r>
        <w:rPr>
          <w:rFonts w:hint="eastAsia" w:cs="Calibri" w:asciiTheme="minorEastAsia" w:hAnsiTheme="minorEastAsia" w:eastAsiaTheme="minorEastAsia"/>
          <w:kern w:val="0"/>
          <w:szCs w:val="21"/>
        </w:rPr>
        <w:t>英</w:t>
      </w:r>
      <w:r>
        <w:rPr>
          <w:rFonts w:hint="eastAsia" w:cs="Arial" w:asciiTheme="minorEastAsia" w:hAnsiTheme="minorEastAsia" w:eastAsiaTheme="minorEastAsia"/>
          <w:bCs/>
          <w:szCs w:val="21"/>
        </w:rPr>
        <w:t>寸，显示器可以上下升降、仰俯，显示器分辨率达到1920×1080p</w:t>
      </w:r>
      <w:r>
        <w:rPr>
          <w:rFonts w:hint="eastAsia" w:cs="微?雅?" w:asciiTheme="minorEastAsia" w:hAnsiTheme="minorEastAsia" w:eastAsiaTheme="minorEastAsia"/>
          <w:kern w:val="0"/>
          <w:szCs w:val="21"/>
        </w:rPr>
        <w:t xml:space="preserve"> </w:t>
      </w:r>
    </w:p>
    <w:p>
      <w:pPr>
        <w:adjustRightInd w:val="0"/>
        <w:snapToGrid w:val="0"/>
        <w:spacing w:line="440" w:lineRule="exact"/>
        <w:ind w:right="97" w:rightChars="46"/>
        <w:rPr>
          <w:rFonts w:cs="Arial" w:asciiTheme="minorEastAsia" w:hAnsiTheme="minorEastAsia" w:eastAsiaTheme="minorEastAsia"/>
          <w:bCs/>
          <w:szCs w:val="21"/>
        </w:rPr>
      </w:pPr>
      <w:r>
        <w:rPr>
          <w:rFonts w:cs="Arial" w:asciiTheme="minorEastAsia" w:hAnsiTheme="minorEastAsia" w:eastAsiaTheme="minorEastAsia"/>
          <w:bCs/>
          <w:szCs w:val="21"/>
        </w:rPr>
        <w:t>*</w:t>
      </w:r>
      <w:r>
        <w:rPr>
          <w:rFonts w:hint="eastAsia" w:cs="Arial" w:asciiTheme="minorEastAsia" w:hAnsiTheme="minorEastAsia" w:eastAsiaTheme="minorEastAsia"/>
          <w:bCs/>
          <w:szCs w:val="21"/>
        </w:rPr>
        <w:t>1.3 彩色L</w:t>
      </w:r>
      <w:r>
        <w:rPr>
          <w:rFonts w:cs="Arial" w:asciiTheme="minorEastAsia" w:hAnsiTheme="minorEastAsia" w:eastAsiaTheme="minorEastAsia"/>
          <w:bCs/>
          <w:szCs w:val="21"/>
        </w:rPr>
        <w:t>ED</w:t>
      </w:r>
      <w:r>
        <w:rPr>
          <w:rFonts w:hint="eastAsia" w:cs="Arial" w:asciiTheme="minorEastAsia" w:hAnsiTheme="minorEastAsia" w:eastAsiaTheme="minorEastAsia"/>
          <w:bCs/>
          <w:szCs w:val="21"/>
        </w:rPr>
        <w:t>触摸控制屏≥</w:t>
      </w:r>
      <w:r>
        <w:rPr>
          <w:rFonts w:hint="eastAsia" w:cs="Calibri" w:asciiTheme="minorEastAsia" w:hAnsiTheme="minorEastAsia" w:eastAsiaTheme="minorEastAsia"/>
          <w:kern w:val="0"/>
          <w:szCs w:val="21"/>
        </w:rPr>
        <w:t>10英寸</w:t>
      </w:r>
      <w:r>
        <w:rPr>
          <w:rFonts w:hint="eastAsia" w:cs="Arial" w:asciiTheme="minorEastAsia" w:hAnsiTheme="minorEastAsia" w:eastAsiaTheme="minorEastAsia"/>
          <w:bCs/>
          <w:szCs w:val="21"/>
        </w:rPr>
        <w:t>，触摸屏幕可直接进行各种操作，所有功能菜单均可在触摸屏上实现操作</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1.4</w:t>
      </w:r>
      <w:r>
        <w:rPr>
          <w:rFonts w:hint="eastAsia" w:asciiTheme="minorEastAsia" w:hAnsiTheme="minorEastAsia" w:eastAsiaTheme="minorEastAsia"/>
          <w:szCs w:val="21"/>
        </w:rPr>
        <w:t xml:space="preserve"> 具备多国语言操作系统及中文菜单、中文文本输入</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1.5 数字化通道数≥500000</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1.6 二维灰阶成像及分析单元</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1.7彩色多普勒显示及分析单元</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1.8能量多普勒显示及分析单元</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1.9脉冲多普勒显示及自动分析单元</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1.10组织谐波成像技术</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1.11脉冲反相谐波成像技术</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1.12</w:t>
      </w:r>
      <w:r>
        <w:rPr>
          <w:rFonts w:hint="eastAsia" w:cs="Calibri" w:asciiTheme="minorEastAsia" w:hAnsiTheme="minorEastAsia" w:eastAsiaTheme="minorEastAsia"/>
          <w:kern w:val="0"/>
          <w:szCs w:val="21"/>
        </w:rPr>
        <w:t>梯形扩展成像技术</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1.13 斑点减少滤波技术</w:t>
      </w:r>
    </w:p>
    <w:p>
      <w:pPr>
        <w:adjustRightInd w:val="0"/>
        <w:snapToGrid w:val="0"/>
        <w:spacing w:line="440" w:lineRule="exact"/>
        <w:ind w:right="97" w:rightChars="46"/>
        <w:rPr>
          <w:rFonts w:cs="宋体" w:asciiTheme="minorEastAsia" w:hAnsiTheme="minorEastAsia" w:eastAsiaTheme="minorEastAsia"/>
          <w:szCs w:val="21"/>
        </w:rPr>
      </w:pPr>
      <w:r>
        <w:rPr>
          <w:rFonts w:hint="eastAsia" w:cs="Arial" w:asciiTheme="minorEastAsia" w:hAnsiTheme="minorEastAsia" w:eastAsiaTheme="minorEastAsia"/>
          <w:bCs/>
          <w:szCs w:val="21"/>
        </w:rPr>
        <w:t xml:space="preserve">1.14 </w:t>
      </w:r>
      <w:r>
        <w:rPr>
          <w:rFonts w:hint="eastAsia" w:cs="Calibri" w:asciiTheme="minorEastAsia" w:hAnsiTheme="minorEastAsia" w:eastAsiaTheme="minorEastAsia"/>
          <w:kern w:val="0"/>
          <w:szCs w:val="21"/>
        </w:rPr>
        <w:t>精细彩色血流成像技术</w:t>
      </w:r>
    </w:p>
    <w:p>
      <w:pPr>
        <w:adjustRightInd w:val="0"/>
        <w:snapToGrid w:val="0"/>
        <w:spacing w:line="440" w:lineRule="exact"/>
        <w:ind w:right="97" w:rightChars="46"/>
        <w:rPr>
          <w:rFonts w:cs="宋体" w:asciiTheme="minorEastAsia" w:hAnsiTheme="minorEastAsia" w:eastAsiaTheme="minorEastAsia"/>
          <w:szCs w:val="21"/>
        </w:rPr>
      </w:pPr>
      <w:r>
        <w:rPr>
          <w:rFonts w:hint="eastAsia" w:cs="Arial" w:asciiTheme="minorEastAsia" w:hAnsiTheme="minorEastAsia" w:eastAsiaTheme="minorEastAsia"/>
          <w:bCs/>
          <w:szCs w:val="21"/>
        </w:rPr>
        <w:t>1.15</w:t>
      </w:r>
      <w:r>
        <w:rPr>
          <w:rFonts w:hint="eastAsia" w:asciiTheme="minorEastAsia" w:hAnsiTheme="minorEastAsia" w:eastAsiaTheme="minorEastAsia"/>
          <w:szCs w:val="21"/>
        </w:rPr>
        <w:t>图标指示功能，可任意选择剪贴板中存储的影像，进行回放、调节、测量、分析和诊断</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1.16屏幕显示最大可视可调动态范围：≥200dB，可逐级可视微调,提高图像细微层次感，提高胎儿颅内结构、胎心、双肾、脊髓圆锥等细小结构成像效果</w:t>
      </w:r>
    </w:p>
    <w:p>
      <w:pPr>
        <w:adjustRightInd w:val="0"/>
        <w:snapToGrid w:val="0"/>
        <w:spacing w:line="440" w:lineRule="exact"/>
        <w:ind w:left="-29" w:leftChars="-14" w:right="-6" w:rightChars="-3"/>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1.17双幅实时动态显示功能，同屏显示二维及彩色血流的实时图像，自动提高线密度，不降低帧频，保证获得高质量图像</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1.18</w:t>
      </w:r>
      <w:r>
        <w:rPr>
          <w:rFonts w:cs="Arial" w:asciiTheme="minorEastAsia" w:hAnsiTheme="minorEastAsia" w:eastAsiaTheme="minorEastAsia"/>
          <w:bCs/>
          <w:szCs w:val="21"/>
        </w:rPr>
        <w:t xml:space="preserve"> </w:t>
      </w:r>
      <w:r>
        <w:rPr>
          <w:rFonts w:hint="eastAsia" w:asciiTheme="minorEastAsia" w:hAnsiTheme="minorEastAsia" w:eastAsiaTheme="minorEastAsia"/>
          <w:szCs w:val="21"/>
        </w:rPr>
        <w:t>高级复合成像技术，结合空间、频率复合于一键，保证整场图像一致性，屏幕可显示</w:t>
      </w:r>
      <w:r>
        <w:rPr>
          <w:rFonts w:hint="eastAsia" w:cs="Arial" w:asciiTheme="minorEastAsia" w:hAnsiTheme="minorEastAsia" w:eastAsiaTheme="minorEastAsia"/>
          <w:bCs/>
          <w:szCs w:val="21"/>
        </w:rPr>
        <w:t xml:space="preserve">，多级可调，可结合其他技术同时使用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1.19</w:t>
      </w:r>
      <w:r>
        <w:rPr>
          <w:rFonts w:hint="eastAsia" w:asciiTheme="minorEastAsia" w:hAnsiTheme="minorEastAsia" w:eastAsiaTheme="minorEastAsia"/>
          <w:szCs w:val="21"/>
        </w:rPr>
        <w:t>单键优化：通过一键操作迅速优化多种参数，自动优化图像</w:t>
      </w:r>
      <w:r>
        <w:rPr>
          <w:rFonts w:hint="eastAsia" w:cs="Arial" w:asciiTheme="minorEastAsia" w:hAnsiTheme="minorEastAsia" w:eastAsiaTheme="minorEastAsia"/>
          <w:bCs/>
          <w:szCs w:val="21"/>
        </w:rPr>
        <w:t>，优化级别可自定义多档设置</w:t>
      </w:r>
    </w:p>
    <w:p>
      <w:pPr>
        <w:adjustRightInd w:val="0"/>
        <w:snapToGrid w:val="0"/>
        <w:spacing w:line="440" w:lineRule="exact"/>
        <w:ind w:left="105" w:leftChars="50" w:right="97" w:rightChars="46"/>
        <w:rPr>
          <w:rFonts w:asciiTheme="minorEastAsia" w:hAnsiTheme="minorEastAsia" w:eastAsiaTheme="minorEastAsia"/>
          <w:szCs w:val="21"/>
        </w:rPr>
      </w:pPr>
      <w:r>
        <w:rPr>
          <w:rFonts w:hint="eastAsia" w:cs="Arial" w:asciiTheme="minorEastAsia" w:hAnsiTheme="minorEastAsia" w:eastAsiaTheme="minorEastAsia"/>
          <w:bCs/>
          <w:szCs w:val="21"/>
        </w:rPr>
        <w:t>1.20具有消除斑点噪声伪像，增强边缘显示，显著提高图像分辨率和对比度，达到核磁图像效果，以满足不同组织对图像不同要求，支持所有探头，并可结合其他图像优化技术同时使用</w:t>
      </w:r>
    </w:p>
    <w:p>
      <w:pPr>
        <w:adjustRightInd w:val="0"/>
        <w:snapToGrid w:val="0"/>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1.21测量画中画：可实时同步无失真放大测量取样区域，同屏双区域显示（非图像放大后测量，放大镜图像跟随测量标移动跟踪放大，测量标中心点与放大镜中心点实时同步），提高测量数据获取的精确性，不影响观察测量区域与周边组织位置关系</w:t>
      </w:r>
    </w:p>
    <w:p>
      <w:pPr>
        <w:adjustRightInd w:val="0"/>
        <w:snapToGrid w:val="0"/>
        <w:spacing w:line="440" w:lineRule="exact"/>
        <w:rPr>
          <w:rFonts w:cs="宋体" w:asciiTheme="minorEastAsia" w:hAnsiTheme="minorEastAsia" w:eastAsiaTheme="minorEastAsia"/>
          <w:szCs w:val="21"/>
        </w:rPr>
      </w:pPr>
      <w:r>
        <w:rPr>
          <w:rFonts w:cs="宋体" w:asciiTheme="minorEastAsia" w:hAnsiTheme="minorEastAsia" w:eastAsiaTheme="minorEastAsia"/>
          <w:szCs w:val="21"/>
        </w:rPr>
        <w:t>1.2</w:t>
      </w:r>
      <w:r>
        <w:rPr>
          <w:rFonts w:hint="eastAsia" w:cs="宋体" w:asciiTheme="minorEastAsia" w:hAnsiTheme="minorEastAsia" w:eastAsiaTheme="minorEastAsia"/>
          <w:szCs w:val="21"/>
        </w:rPr>
        <w:t>2</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智能匹配，</w:t>
      </w:r>
      <w:r>
        <w:rPr>
          <w:rFonts w:cs="宋体" w:asciiTheme="minorEastAsia" w:hAnsiTheme="minorEastAsia" w:eastAsiaTheme="minorEastAsia"/>
          <w:szCs w:val="21"/>
        </w:rPr>
        <w:t>自动匹配图像设置，</w:t>
      </w:r>
      <w:r>
        <w:rPr>
          <w:rFonts w:hint="eastAsia" w:cs="宋体" w:asciiTheme="minorEastAsia" w:hAnsiTheme="minorEastAsia" w:eastAsiaTheme="minorEastAsia"/>
          <w:szCs w:val="21"/>
        </w:rPr>
        <w:t>一键完成</w:t>
      </w:r>
      <w:r>
        <w:rPr>
          <w:rFonts w:cs="宋体" w:asciiTheme="minorEastAsia" w:hAnsiTheme="minorEastAsia" w:eastAsiaTheme="minorEastAsia"/>
          <w:szCs w:val="21"/>
        </w:rPr>
        <w:t>先前</w:t>
      </w:r>
      <w:r>
        <w:rPr>
          <w:rFonts w:hint="eastAsia" w:cs="宋体" w:asciiTheme="minorEastAsia" w:hAnsiTheme="minorEastAsia" w:eastAsiaTheme="minorEastAsia"/>
          <w:szCs w:val="21"/>
        </w:rPr>
        <w:t>检查</w:t>
      </w:r>
      <w:r>
        <w:rPr>
          <w:rFonts w:cs="宋体" w:asciiTheme="minorEastAsia" w:hAnsiTheme="minorEastAsia" w:eastAsiaTheme="minorEastAsia"/>
          <w:szCs w:val="21"/>
        </w:rPr>
        <w:t>的</w:t>
      </w:r>
      <w:r>
        <w:rPr>
          <w:rFonts w:hint="eastAsia" w:cs="宋体" w:asciiTheme="minorEastAsia" w:hAnsiTheme="minorEastAsia" w:eastAsiaTheme="minorEastAsia"/>
          <w:szCs w:val="21"/>
        </w:rPr>
        <w:t>注释</w:t>
      </w:r>
      <w:r>
        <w:rPr>
          <w:rFonts w:cs="宋体" w:asciiTheme="minorEastAsia" w:hAnsiTheme="minorEastAsia" w:eastAsiaTheme="minorEastAsia"/>
          <w:szCs w:val="21"/>
        </w:rPr>
        <w:t>和身体标记</w:t>
      </w:r>
      <w:r>
        <w:rPr>
          <w:rFonts w:hint="eastAsia" w:cs="宋体" w:asciiTheme="minorEastAsia" w:hAnsiTheme="minorEastAsia" w:eastAsiaTheme="minorEastAsia"/>
          <w:szCs w:val="21"/>
        </w:rPr>
        <w:t>，</w:t>
      </w:r>
      <w:r>
        <w:rPr>
          <w:rFonts w:cs="宋体" w:asciiTheme="minorEastAsia" w:hAnsiTheme="minorEastAsia" w:eastAsiaTheme="minorEastAsia"/>
          <w:szCs w:val="21"/>
        </w:rPr>
        <w:t>提高效率</w:t>
      </w:r>
    </w:p>
    <w:p>
      <w:pPr>
        <w:adjustRightInd w:val="0"/>
        <w:snapToGrid w:val="0"/>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1.23人工智能乳腺（AI）扫查辅助诊断技术：基于人工智能深度学习算法，设备内置大数据病例不低于10000例，在机实现符合BI-RADS分类标准乳腺的数据及报告系统，多参数对乳腺肿瘤的良恶性进行规范化及标准化评估，诊断准确率≥90%。</w:t>
      </w:r>
    </w:p>
    <w:p>
      <w:pPr>
        <w:adjustRightInd w:val="0"/>
        <w:snapToGrid w:val="0"/>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1.感兴趣区定位，自动或手动识别肿物的边界及位置，并进行编辑</w:t>
      </w:r>
    </w:p>
    <w:p>
      <w:pPr>
        <w:adjustRightInd w:val="0"/>
        <w:snapToGrid w:val="0"/>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2.通过自动计算，准确获取并显示肿物基本所需的测量数值，包含距离体表深度、长度、厚度、面积等</w:t>
      </w:r>
    </w:p>
    <w:p>
      <w:pPr>
        <w:adjustRightInd w:val="0"/>
        <w:snapToGrid w:val="0"/>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3.通过自动计算，准确获取并显示肿物基本所需的各种声学参数，包含形状、边界、纵横比、回声均匀度、后方声学改变等</w:t>
      </w:r>
    </w:p>
    <w:p>
      <w:pPr>
        <w:adjustRightInd w:val="0"/>
        <w:snapToGrid w:val="0"/>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4.内置BI-RADS分类诊断模型，并自动予以匹配（可手动编辑）</w:t>
      </w:r>
    </w:p>
    <w:p>
      <w:pPr>
        <w:adjustRightInd w:val="0"/>
        <w:snapToGrid w:val="0"/>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5.可任意添加分析及检查图片到报告系统。</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
          <w:bCs/>
          <w:szCs w:val="21"/>
        </w:rPr>
        <w:t>2. 测量和分析部分</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2.1 一般测量：距离、周长、面积、体积、角度、百分比、曲线长度及不规则面积等</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bCs/>
          <w:szCs w:val="21"/>
        </w:rPr>
        <w:t xml:space="preserve">2.2 </w:t>
      </w:r>
      <w:r>
        <w:rPr>
          <w:rFonts w:hint="eastAsia" w:cs="Arial" w:asciiTheme="minorEastAsia" w:hAnsiTheme="minorEastAsia" w:eastAsiaTheme="minorEastAsia"/>
          <w:szCs w:val="21"/>
        </w:rPr>
        <w:t>腹部测量与分析</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szCs w:val="21"/>
        </w:rPr>
        <w:t>2.3 产科测量与分析</w:t>
      </w:r>
      <w:r>
        <w:rPr>
          <w:rFonts w:hint="eastAsia" w:cs="Arial" w:asciiTheme="minorEastAsia" w:hAnsiTheme="minorEastAsia" w:eastAsiaTheme="minorEastAsia"/>
          <w:bCs/>
          <w:szCs w:val="21"/>
        </w:rPr>
        <w:t>，具有胎儿体重孕龄评估，生长曲线显示</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2.4 妇科测量与分析</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2.5 颈动脉测量与分析</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2.6上下肢动静脉测量与分析</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2.7 泌尿科测量与分析</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2.8 胎儿心脏测量与分析</w:t>
      </w:r>
    </w:p>
    <w:p>
      <w:pPr>
        <w:autoSpaceDE w:val="0"/>
        <w:autoSpaceDN w:val="0"/>
        <w:adjustRightInd w:val="0"/>
        <w:snapToGrid w:val="0"/>
        <w:spacing w:line="440" w:lineRule="exact"/>
        <w:jc w:val="left"/>
        <w:rPr>
          <w:rFonts w:asciiTheme="minorEastAsia" w:hAnsiTheme="minorEastAsia" w:eastAsiaTheme="minorEastAsia"/>
          <w:kern w:val="0"/>
          <w:szCs w:val="21"/>
        </w:rPr>
      </w:pPr>
      <w:r>
        <w:rPr>
          <w:rFonts w:hint="eastAsia" w:cs="Arial" w:asciiTheme="minorEastAsia" w:hAnsiTheme="minorEastAsia" w:eastAsiaTheme="minorEastAsia"/>
          <w:szCs w:val="21"/>
        </w:rPr>
        <w:t xml:space="preserve">2.9 </w:t>
      </w:r>
      <w:r>
        <w:rPr>
          <w:rFonts w:hint="eastAsia" w:asciiTheme="minorEastAsia" w:hAnsiTheme="minorEastAsia" w:eastAsiaTheme="minorEastAsia"/>
          <w:kern w:val="0"/>
          <w:szCs w:val="21"/>
        </w:rPr>
        <w:t>小儿髋关节测量，同时显示髋关节类型</w:t>
      </w:r>
    </w:p>
    <w:p>
      <w:pPr>
        <w:autoSpaceDE w:val="0"/>
        <w:autoSpaceDN w:val="0"/>
        <w:adjustRightInd w:val="0"/>
        <w:snapToGrid w:val="0"/>
        <w:spacing w:line="44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2.10 肌肉骨骼测量</w:t>
      </w:r>
    </w:p>
    <w:p>
      <w:pPr>
        <w:adjustRightInd w:val="0"/>
        <w:snapToGrid w:val="0"/>
        <w:spacing w:line="440" w:lineRule="exact"/>
        <w:ind w:right="97" w:rightChars="46"/>
        <w:rPr>
          <w:rFonts w:cs="Arial" w:asciiTheme="minorEastAsia" w:hAnsiTheme="minorEastAsia" w:eastAsiaTheme="minorEastAsia"/>
          <w:b/>
          <w:bCs/>
          <w:szCs w:val="21"/>
        </w:rPr>
      </w:pPr>
      <w:r>
        <w:rPr>
          <w:rFonts w:hint="eastAsia" w:cs="Arial" w:asciiTheme="minorEastAsia" w:hAnsiTheme="minorEastAsia" w:eastAsiaTheme="minorEastAsia"/>
          <w:b/>
          <w:bCs/>
          <w:szCs w:val="21"/>
        </w:rPr>
        <w:t>3. 探头规格</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3.1 频率：所有探头均为超宽频变频电子探头，支持频带发射与接收 </w:t>
      </w:r>
    </w:p>
    <w:p>
      <w:pPr>
        <w:adjustRightInd w:val="0"/>
        <w:snapToGrid w:val="0"/>
        <w:spacing w:line="440" w:lineRule="exact"/>
        <w:rPr>
          <w:rFonts w:asciiTheme="minorEastAsia" w:hAnsiTheme="minorEastAsia" w:eastAsiaTheme="minorEastAsia"/>
          <w:szCs w:val="21"/>
        </w:rPr>
      </w:pPr>
      <w:r>
        <w:rPr>
          <w:rFonts w:hint="eastAsia" w:cs="Arial" w:asciiTheme="minorEastAsia" w:hAnsiTheme="minorEastAsia" w:eastAsiaTheme="minorEastAsia"/>
          <w:bCs/>
          <w:szCs w:val="21"/>
        </w:rPr>
        <w:t>3.2无针式探头接口</w:t>
      </w:r>
      <w:r>
        <w:rPr>
          <w:rFonts w:hint="eastAsia" w:asciiTheme="minorEastAsia" w:hAnsiTheme="minorEastAsia" w:eastAsiaTheme="minorEastAsia"/>
          <w:szCs w:val="21"/>
        </w:rPr>
        <w:t>≥4个，大小一致，2D及3D探头接口通用，必须同时激活（不包含悬挂探头接口和ECG小接口）</w:t>
      </w:r>
    </w:p>
    <w:p>
      <w:pPr>
        <w:adjustRightInd w:val="0"/>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bCs/>
          <w:szCs w:val="21"/>
        </w:rPr>
        <w:t>3.3</w:t>
      </w:r>
      <w:r>
        <w:rPr>
          <w:rFonts w:hint="eastAsia" w:cs="Arial" w:asciiTheme="minorEastAsia" w:hAnsiTheme="minorEastAsia" w:eastAsiaTheme="minorEastAsia"/>
          <w:szCs w:val="21"/>
        </w:rPr>
        <w:t>性能：超宽频带变频探头，频段及频率数字双重显示模式，探头在二维模式下中心频率最大可选择≥6种；多普勒频率可最大选择≥2种；中心频率的变频频段或频率具体数字在屏幕上可调</w:t>
      </w:r>
    </w:p>
    <w:p>
      <w:pPr>
        <w:adjustRightInd w:val="0"/>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bCs/>
          <w:szCs w:val="21"/>
        </w:rPr>
        <w:t>*3.4</w:t>
      </w:r>
      <w:r>
        <w:rPr>
          <w:rFonts w:hint="eastAsia" w:cs="Arial" w:asciiTheme="minorEastAsia" w:hAnsiTheme="minorEastAsia" w:eastAsiaTheme="minorEastAsia"/>
          <w:szCs w:val="21"/>
        </w:rPr>
        <w:t>探头五把，腹部探头、心脏探头及容积腹部必须为最新的单晶体探头：</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单晶体腹部探头，1-7</w:t>
      </w:r>
      <w:r>
        <w:rPr>
          <w:rFonts w:cs="Arial" w:asciiTheme="minorEastAsia" w:hAnsiTheme="minorEastAsia" w:eastAsiaTheme="minorEastAsia"/>
          <w:szCs w:val="21"/>
        </w:rPr>
        <w:t>MH</w:t>
      </w:r>
      <w:r>
        <w:rPr>
          <w:rFonts w:hint="eastAsia" w:cs="Arial" w:asciiTheme="minorEastAsia" w:hAnsiTheme="minorEastAsia" w:eastAsiaTheme="minorEastAsia"/>
          <w:szCs w:val="21"/>
        </w:rPr>
        <w:t>z</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线阵探头：</w:t>
      </w:r>
      <w:r>
        <w:rPr>
          <w:rFonts w:cs="Arial" w:asciiTheme="minorEastAsia" w:hAnsiTheme="minorEastAsia" w:eastAsiaTheme="minorEastAsia"/>
          <w:szCs w:val="21"/>
        </w:rPr>
        <w:t>3-14MHz</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单晶体心脏探头:1-5</w:t>
      </w:r>
      <w:r>
        <w:rPr>
          <w:rFonts w:cs="Arial" w:asciiTheme="minorEastAsia" w:hAnsiTheme="minorEastAsia" w:eastAsiaTheme="minorEastAsia"/>
          <w:szCs w:val="21"/>
        </w:rPr>
        <w:t>MHz</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单晶体容积腹部探头：</w:t>
      </w:r>
      <w:r>
        <w:rPr>
          <w:rFonts w:cs="Arial" w:asciiTheme="minorEastAsia" w:hAnsiTheme="minorEastAsia" w:eastAsiaTheme="minorEastAsia"/>
          <w:szCs w:val="21"/>
        </w:rPr>
        <w:t>1-8MH</w:t>
      </w:r>
      <w:r>
        <w:rPr>
          <w:rFonts w:hint="eastAsia" w:cs="Arial" w:asciiTheme="minorEastAsia" w:hAnsiTheme="minorEastAsia" w:eastAsiaTheme="minorEastAsia"/>
          <w:szCs w:val="21"/>
        </w:rPr>
        <w:t>z</w:t>
      </w:r>
    </w:p>
    <w:p>
      <w:pPr>
        <w:adjustRightInd w:val="0"/>
        <w:snapToGrid w:val="0"/>
        <w:spacing w:line="440" w:lineRule="exact"/>
        <w:ind w:right="97" w:rightChars="46"/>
        <w:rPr>
          <w:rFonts w:cs="Arial" w:asciiTheme="minorEastAsia" w:hAnsiTheme="minorEastAsia" w:eastAsiaTheme="minorEastAsia"/>
          <w:szCs w:val="21"/>
        </w:rPr>
      </w:pPr>
      <w:r>
        <w:rPr>
          <w:rFonts w:hint="eastAsia" w:cs="Arial" w:asciiTheme="minorEastAsia" w:hAnsiTheme="minorEastAsia" w:eastAsiaTheme="minorEastAsia"/>
          <w:szCs w:val="21"/>
        </w:rPr>
        <w:t>腔内容积探头：2-10</w:t>
      </w:r>
      <w:r>
        <w:rPr>
          <w:rFonts w:cs="Arial" w:asciiTheme="minorEastAsia" w:hAnsiTheme="minorEastAsia" w:eastAsiaTheme="minorEastAsia"/>
          <w:szCs w:val="21"/>
        </w:rPr>
        <w:t>MH</w:t>
      </w:r>
      <w:r>
        <w:rPr>
          <w:rFonts w:hint="eastAsia" w:cs="Arial" w:asciiTheme="minorEastAsia" w:hAnsiTheme="minorEastAsia" w:eastAsiaTheme="minorEastAsia"/>
          <w:szCs w:val="21"/>
        </w:rPr>
        <w:t>z</w:t>
      </w:r>
    </w:p>
    <w:p>
      <w:pPr>
        <w:adjustRightInd w:val="0"/>
        <w:snapToGrid w:val="0"/>
        <w:spacing w:line="440" w:lineRule="exact"/>
        <w:ind w:right="97" w:rightChars="46"/>
        <w:rPr>
          <w:rFonts w:cs="Arial" w:asciiTheme="minorEastAsia" w:hAnsiTheme="minorEastAsia" w:eastAsiaTheme="minorEastAsia"/>
          <w:b/>
          <w:bCs/>
          <w:szCs w:val="21"/>
        </w:rPr>
      </w:pPr>
      <w:r>
        <w:rPr>
          <w:rFonts w:hint="eastAsia" w:cs="Arial" w:asciiTheme="minorEastAsia" w:hAnsiTheme="minorEastAsia" w:eastAsiaTheme="minorEastAsia"/>
          <w:b/>
          <w:bCs/>
          <w:szCs w:val="21"/>
        </w:rPr>
        <w:t>4. 输入/输出信号：</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4.1 输入：S-VHS、VHS 、USB2.0、DICOM、外部音频</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4.2 输出：DVI、S-VHS、VHS、VGA、音频输出、USB2.0</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4.3 主机内置一体化USB接口≥ 6个</w:t>
      </w:r>
    </w:p>
    <w:p>
      <w:pPr>
        <w:adjustRightInd w:val="0"/>
        <w:snapToGrid w:val="0"/>
        <w:spacing w:line="440" w:lineRule="exact"/>
        <w:ind w:right="97" w:rightChars="46"/>
        <w:rPr>
          <w:rFonts w:cs="Arial" w:asciiTheme="minorEastAsia" w:hAnsiTheme="minorEastAsia" w:eastAsiaTheme="minorEastAsia"/>
          <w:b/>
          <w:bCs/>
          <w:szCs w:val="21"/>
        </w:rPr>
      </w:pPr>
      <w:r>
        <w:rPr>
          <w:rFonts w:hint="eastAsia" w:cs="Arial" w:asciiTheme="minorEastAsia" w:hAnsiTheme="minorEastAsia" w:eastAsiaTheme="minorEastAsia"/>
          <w:b/>
          <w:bCs/>
          <w:szCs w:val="21"/>
        </w:rPr>
        <w:t>5. 二维成像主要参数</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5.1 扫描速率：凸阵探头，全视野，18cm深度时，帧速度≥38帧/秒</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5.2 扫描线：</w:t>
      </w:r>
      <w:bookmarkStart w:id="2" w:name="OLE_LINK5"/>
      <w:r>
        <w:rPr>
          <w:rFonts w:hint="eastAsia" w:cs="Arial" w:asciiTheme="minorEastAsia" w:hAnsiTheme="minorEastAsia" w:eastAsiaTheme="minorEastAsia"/>
          <w:bCs/>
          <w:szCs w:val="21"/>
        </w:rPr>
        <w:t>每帧线密度</w:t>
      </w:r>
      <w:bookmarkEnd w:id="2"/>
      <w:r>
        <w:rPr>
          <w:rFonts w:hint="eastAsia" w:cs="Arial" w:asciiTheme="minorEastAsia" w:hAnsiTheme="minorEastAsia" w:eastAsiaTheme="minorEastAsia"/>
          <w:bCs/>
          <w:szCs w:val="21"/>
        </w:rPr>
        <w:t>≥ 512超声线</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5.3 声束聚焦：发射≥8段，接收自动连续聚焦</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5.4 接收方式：接收通道≥500000，多路信号并行处理</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5.5 数字技术：接收数字式声束形成器，连续动态聚焦，可变孔径及动态变迹</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5.6 </w:t>
      </w:r>
      <w:bookmarkStart w:id="3" w:name="OLE_LINK6"/>
      <w:r>
        <w:rPr>
          <w:rFonts w:hint="eastAsia" w:cs="Arial" w:asciiTheme="minorEastAsia" w:hAnsiTheme="minorEastAsia" w:eastAsiaTheme="minorEastAsia"/>
          <w:bCs/>
          <w:szCs w:val="21"/>
        </w:rPr>
        <w:t>谐波成像基波频率个数</w:t>
      </w:r>
      <w:bookmarkEnd w:id="3"/>
      <w:r>
        <w:rPr>
          <w:rFonts w:hint="eastAsia" w:cs="Arial" w:asciiTheme="minorEastAsia" w:hAnsiTheme="minorEastAsia" w:eastAsiaTheme="minorEastAsia"/>
          <w:bCs/>
          <w:szCs w:val="21"/>
        </w:rPr>
        <w:t>≥5个</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5.7 </w:t>
      </w:r>
      <w:r>
        <w:rPr>
          <w:rFonts w:hint="eastAsia" w:cs="Arial" w:asciiTheme="minorEastAsia" w:hAnsiTheme="minorEastAsia" w:eastAsiaTheme="minorEastAsia"/>
          <w:szCs w:val="21"/>
        </w:rPr>
        <w:t>线阵探头梯形成像技术，支持所有成像模式</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5.8 回放重现：2D灰阶图像回放 ≥50s </w:t>
      </w:r>
    </w:p>
    <w:p>
      <w:pPr>
        <w:adjustRightInd w:val="0"/>
        <w:snapToGrid w:val="0"/>
        <w:spacing w:line="440" w:lineRule="exact"/>
        <w:ind w:right="97" w:rightChars="46"/>
        <w:rPr>
          <w:rFonts w:cs="Arial" w:asciiTheme="minorEastAsia" w:hAnsiTheme="minorEastAsia" w:eastAsiaTheme="minorEastAsia"/>
          <w:bCs/>
          <w:szCs w:val="21"/>
        </w:rPr>
      </w:pPr>
      <w:r>
        <w:rPr>
          <w:rFonts w:cs="Arial" w:asciiTheme="minorEastAsia" w:hAnsiTheme="minorEastAsia" w:eastAsiaTheme="minorEastAsia"/>
          <w:bCs/>
          <w:szCs w:val="21"/>
        </w:rPr>
        <w:t>*</w:t>
      </w:r>
      <w:r>
        <w:rPr>
          <w:rFonts w:hint="eastAsia" w:cs="Arial" w:asciiTheme="minorEastAsia" w:hAnsiTheme="minorEastAsia" w:eastAsiaTheme="minorEastAsia"/>
          <w:bCs/>
          <w:szCs w:val="21"/>
        </w:rPr>
        <w:t>5.9</w:t>
      </w:r>
      <w:r>
        <w:rPr>
          <w:rFonts w:hint="eastAsia" w:cs="Arial" w:asciiTheme="minorEastAsia" w:hAnsiTheme="minorEastAsia" w:eastAsiaTheme="minorEastAsia"/>
          <w:szCs w:val="21"/>
        </w:rPr>
        <w:t xml:space="preserve">最大显示深度 </w:t>
      </w:r>
      <w:r>
        <w:rPr>
          <w:rFonts w:hint="eastAsia" w:cs="Arial" w:asciiTheme="minorEastAsia" w:hAnsiTheme="minorEastAsia" w:eastAsiaTheme="minorEastAsia"/>
          <w:bCs/>
          <w:szCs w:val="21"/>
        </w:rPr>
        <w:t>≥</w:t>
      </w:r>
      <w:r>
        <w:rPr>
          <w:rFonts w:hint="eastAsia" w:cs="Arial" w:asciiTheme="minorEastAsia" w:hAnsiTheme="minorEastAsia" w:eastAsiaTheme="minorEastAsia"/>
          <w:szCs w:val="21"/>
        </w:rPr>
        <w:t>36cm</w:t>
      </w:r>
    </w:p>
    <w:p>
      <w:pPr>
        <w:adjustRightInd w:val="0"/>
        <w:snapToGrid w:val="0"/>
        <w:spacing w:line="440" w:lineRule="exact"/>
        <w:ind w:right="97" w:rightChars="46"/>
        <w:rPr>
          <w:rFonts w:cs="Arial" w:asciiTheme="minorEastAsia" w:hAnsiTheme="minorEastAsia" w:eastAsiaTheme="minorEastAsia"/>
          <w:bCs/>
          <w:szCs w:val="21"/>
        </w:rPr>
      </w:pPr>
      <w:r>
        <w:rPr>
          <w:rFonts w:cs="Arial" w:asciiTheme="minorEastAsia" w:hAnsiTheme="minorEastAsia" w:eastAsiaTheme="minorEastAsia"/>
          <w:bCs/>
          <w:szCs w:val="21"/>
        </w:rPr>
        <w:t>*</w:t>
      </w:r>
      <w:r>
        <w:rPr>
          <w:rFonts w:hint="eastAsia" w:cs="Arial" w:asciiTheme="minorEastAsia" w:hAnsiTheme="minorEastAsia" w:eastAsiaTheme="minorEastAsia"/>
          <w:bCs/>
          <w:szCs w:val="21"/>
        </w:rPr>
        <w:t>5.10增益调节：B、B/M、C、D可独立调节，可在触摸屏上操作的触摸式数码TGC≥8段增益补偿调节，用户可自定义设定保存。</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5.11预设条件：针对不同的检查脏器，预置最佳化图像的检查条件，减少操作时的调节，及常用所需的外部调节及组合调节</w:t>
      </w:r>
    </w:p>
    <w:p>
      <w:pPr>
        <w:adjustRightInd w:val="0"/>
        <w:snapToGrid w:val="0"/>
        <w:spacing w:line="440" w:lineRule="exact"/>
        <w:ind w:right="97" w:rightChars="46"/>
        <w:rPr>
          <w:rFonts w:cs="Arial" w:asciiTheme="minorEastAsia" w:hAnsiTheme="minorEastAsia" w:eastAsiaTheme="minorEastAsia"/>
          <w:b/>
          <w:bCs/>
          <w:szCs w:val="21"/>
        </w:rPr>
      </w:pPr>
      <w:r>
        <w:rPr>
          <w:rFonts w:hint="eastAsia" w:cs="Arial" w:asciiTheme="minorEastAsia" w:hAnsiTheme="minorEastAsia" w:eastAsiaTheme="minorEastAsia"/>
          <w:b/>
          <w:bCs/>
          <w:szCs w:val="21"/>
        </w:rPr>
        <w:t>6. 频谱多普勒</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6.1方式：脉冲波多普勒（PW）、高脉冲重复频率（HPRF）</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6.2最大测量速度： PW血流速度≥ 6.0m/s</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6.3最低测量速度</w:t>
      </w:r>
      <w:bookmarkStart w:id="4" w:name="OLE_LINK4"/>
      <w:bookmarkStart w:id="5" w:name="OLE_LINK3"/>
      <w:r>
        <w:rPr>
          <w:rFonts w:hint="eastAsia" w:cs="Arial" w:asciiTheme="minorEastAsia" w:hAnsiTheme="minorEastAsia" w:eastAsiaTheme="minorEastAsia"/>
          <w:bCs/>
          <w:szCs w:val="21"/>
        </w:rPr>
        <w:t>≤</w:t>
      </w:r>
      <w:bookmarkEnd w:id="4"/>
      <w:bookmarkEnd w:id="5"/>
      <w:r>
        <w:rPr>
          <w:rFonts w:hint="eastAsia" w:cs="Arial" w:asciiTheme="minorEastAsia" w:hAnsiTheme="minorEastAsia" w:eastAsiaTheme="minorEastAsia"/>
          <w:bCs/>
          <w:szCs w:val="21"/>
        </w:rPr>
        <w:t xml:space="preserve"> 5mm/s </w:t>
      </w:r>
      <w:r>
        <w:rPr>
          <w:rFonts w:hint="eastAsia" w:cs="Arial" w:asciiTheme="minorEastAsia" w:hAnsiTheme="minorEastAsia" w:eastAsiaTheme="minorEastAsia"/>
          <w:szCs w:val="21"/>
        </w:rPr>
        <w:t xml:space="preserve">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6.4显示方式：B/D、B/C/D</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6.5多普勒电影回放≥ </w:t>
      </w:r>
      <w:r>
        <w:rPr>
          <w:rFonts w:hint="eastAsia" w:cs="Calibri" w:asciiTheme="minorEastAsia" w:hAnsiTheme="minorEastAsia" w:eastAsiaTheme="minorEastAsia"/>
          <w:kern w:val="0"/>
          <w:szCs w:val="21"/>
        </w:rPr>
        <w:t>8192线</w:t>
      </w:r>
      <w:r>
        <w:rPr>
          <w:rFonts w:hint="eastAsia" w:cs="Arial" w:asciiTheme="minorEastAsia" w:hAnsiTheme="minorEastAsia" w:eastAsiaTheme="minorEastAsia"/>
          <w:bCs/>
          <w:szCs w:val="21"/>
        </w:rPr>
        <w:t xml:space="preserve">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6.6零位移动≥8级</w:t>
      </w:r>
    </w:p>
    <w:p>
      <w:pPr>
        <w:adjustRightInd w:val="0"/>
        <w:snapToGrid w:val="0"/>
        <w:spacing w:line="440" w:lineRule="exact"/>
        <w:ind w:right="97" w:rightChars="46"/>
        <w:rPr>
          <w:rFonts w:cs="Arial" w:asciiTheme="minorEastAsia" w:hAnsiTheme="minorEastAsia" w:eastAsiaTheme="minorEastAsia"/>
          <w:color w:val="0070C0"/>
          <w:szCs w:val="21"/>
        </w:rPr>
      </w:pPr>
      <w:r>
        <w:rPr>
          <w:rFonts w:hint="eastAsia" w:cs="Arial" w:asciiTheme="minorEastAsia" w:hAnsiTheme="minorEastAsia" w:eastAsiaTheme="minorEastAsia"/>
          <w:bCs/>
          <w:szCs w:val="21"/>
        </w:rPr>
        <w:t>*6.7取样容积宽度：多级可调，取样框宽度可调范围：0.5mm-</w:t>
      </w:r>
      <w:r>
        <w:rPr>
          <w:rFonts w:cs="Arial" w:asciiTheme="minorEastAsia" w:hAnsiTheme="minorEastAsia" w:eastAsiaTheme="minorEastAsia"/>
          <w:bCs/>
          <w:szCs w:val="21"/>
        </w:rPr>
        <w:t>-2</w:t>
      </w:r>
      <w:r>
        <w:rPr>
          <w:rFonts w:hint="eastAsia" w:cs="Arial" w:asciiTheme="minorEastAsia" w:hAnsiTheme="minorEastAsia" w:eastAsiaTheme="minorEastAsia"/>
          <w:bCs/>
          <w:szCs w:val="21"/>
        </w:rPr>
        <w:t>0mm</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6.8</w:t>
      </w:r>
      <w:r>
        <w:rPr>
          <w:rFonts w:hint="eastAsia" w:cs="Arial" w:asciiTheme="minorEastAsia" w:hAnsiTheme="minorEastAsia" w:eastAsiaTheme="minorEastAsia"/>
          <w:szCs w:val="21"/>
        </w:rPr>
        <w:t>实时多普勒频谱自动包络并完成频谱测量计算：</w:t>
      </w:r>
      <w:r>
        <w:rPr>
          <w:rFonts w:hint="eastAsia" w:cs="Calibri" w:asciiTheme="minorEastAsia" w:hAnsiTheme="minorEastAsia" w:eastAsiaTheme="minorEastAsia"/>
          <w:kern w:val="0"/>
          <w:szCs w:val="21"/>
        </w:rPr>
        <w:t>PSV， DEV， TAP， RI， PI， S/D值</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6.9实时三同步功能</w:t>
      </w:r>
    </w:p>
    <w:p>
      <w:pPr>
        <w:adjustRightInd w:val="0"/>
        <w:snapToGrid w:val="0"/>
        <w:spacing w:line="440" w:lineRule="exact"/>
        <w:ind w:right="97" w:rightChars="46"/>
        <w:rPr>
          <w:rFonts w:cs="Arial" w:asciiTheme="minorEastAsia" w:hAnsiTheme="minorEastAsia" w:eastAsiaTheme="minorEastAsia"/>
          <w:b/>
          <w:bCs/>
          <w:szCs w:val="21"/>
        </w:rPr>
      </w:pPr>
      <w:r>
        <w:rPr>
          <w:rFonts w:hint="eastAsia" w:cs="Arial" w:asciiTheme="minorEastAsia" w:hAnsiTheme="minorEastAsia" w:eastAsiaTheme="minorEastAsia"/>
          <w:b/>
          <w:bCs/>
          <w:szCs w:val="21"/>
        </w:rPr>
        <w:t>7.彩色多普勒</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7.1</w:t>
      </w:r>
      <w:r>
        <w:rPr>
          <w:rFonts w:hint="eastAsia" w:cs="Arial" w:asciiTheme="minorEastAsia" w:hAnsiTheme="minorEastAsia" w:eastAsiaTheme="minorEastAsia"/>
          <w:szCs w:val="21"/>
        </w:rPr>
        <w:t>彩色优化技术：提高帧频、增强彩色灵敏度，获取最佳彩色模式</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7.2显示方式：速度显示、能量显示、方差显示、速度</w:t>
      </w:r>
      <w:r>
        <w:rPr>
          <w:rFonts w:hint="eastAsia" w:cs="Calibri" w:asciiTheme="minorEastAsia" w:hAnsiTheme="minorEastAsia" w:eastAsiaTheme="minorEastAsia"/>
          <w:kern w:val="0"/>
          <w:szCs w:val="21"/>
        </w:rPr>
        <w:t>+方差</w:t>
      </w:r>
      <w:r>
        <w:rPr>
          <w:rFonts w:hint="eastAsia" w:cs="Arial" w:asciiTheme="minorEastAsia" w:hAnsiTheme="minorEastAsia" w:eastAsiaTheme="minorEastAsia"/>
          <w:bCs/>
          <w:szCs w:val="21"/>
        </w:rPr>
        <w:t>显示等</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7.3显示控制：</w:t>
      </w:r>
      <w:r>
        <w:rPr>
          <w:rFonts w:hint="eastAsia" w:cs="Arial" w:asciiTheme="minorEastAsia" w:hAnsiTheme="minorEastAsia" w:eastAsiaTheme="minorEastAsia"/>
          <w:szCs w:val="21"/>
        </w:rPr>
        <w:t>零位</w:t>
      </w:r>
      <w:r>
        <w:rPr>
          <w:rFonts w:hint="eastAsia" w:cs="Arial" w:asciiTheme="minorEastAsia" w:hAnsiTheme="minorEastAsia" w:eastAsiaTheme="minorEastAsia"/>
          <w:bCs/>
          <w:szCs w:val="21"/>
        </w:rPr>
        <w:t xml:space="preserve">移动、黑/白与彩色比较、彩色对比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7.4显示位置调整：线阵扫描感兴趣的图像范围-20°～+20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7.5 彩色显示帧频：凸阵探头，最大角度，18cm深时，彩色显示帧频 ≥10帧/s</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7.6 彩色显示速度：最低平均血流测量速度 ≤2.25cm/s</w:t>
      </w:r>
    </w:p>
    <w:p>
      <w:pPr>
        <w:adjustRightInd w:val="0"/>
        <w:snapToGrid w:val="0"/>
        <w:spacing w:line="440" w:lineRule="exact"/>
        <w:ind w:right="97" w:rightChars="46"/>
        <w:rPr>
          <w:rFonts w:cs="Arial" w:asciiTheme="minorEastAsia" w:hAnsiTheme="minorEastAsia" w:eastAsiaTheme="minorEastAsia"/>
          <w:b/>
          <w:szCs w:val="21"/>
        </w:rPr>
      </w:pPr>
      <w:r>
        <w:rPr>
          <w:rFonts w:hint="eastAsia" w:cs="Arial" w:asciiTheme="minorEastAsia" w:hAnsiTheme="minorEastAsia" w:eastAsiaTheme="minorEastAsia"/>
          <w:b/>
          <w:bCs/>
          <w:szCs w:val="21"/>
        </w:rPr>
        <w:t>8.</w:t>
      </w:r>
      <w:r>
        <w:rPr>
          <w:rFonts w:hint="eastAsia" w:cs="Arial" w:asciiTheme="minorEastAsia" w:hAnsiTheme="minorEastAsia" w:eastAsiaTheme="minorEastAsia"/>
          <w:b/>
          <w:szCs w:val="21"/>
        </w:rPr>
        <w:t>内置一体化实时三维超声成像</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8.1 3D成像单元：具备静态3D、实时立体3D/4D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8.2 多种三维显示模式，包括：表面模式(一般,柔和); 透明模式(最大模式,最小模式,X线成像模式); 亮度模式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8.3 具备立体彩色、能量多普勒成像单元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8.4 具有任意形状体积计算功能,可根据组织特性自动计算或手动精确计算，并包括多种结果分析方式。</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8.5具有观察不同器官组织的多种3D重建模式,且可复合。</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8.6具有3D立体图像编辑切割功能。</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8.7具有CT立体成像形式，便于观察感兴趣区的空间位置和内部结构。</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8.8针对胎儿表面、骨骼、四肢、颅脑等进行成像设定，提高显示部位立体分辨率。</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8.9可清晰显示低回声或液性暗区的立体结构。</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8.10可以通过调节容积取样框的曲率弧度，提高容积图像的清晰度。</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8.11魔术擦：三维成像独立功能，可通过任意移动橡皮擦位置，逐层擦除不需要的信。不同于魔术剪，无需设定擦除区域，可任意移动橡皮擦位置。同时也可以快捷的恢复擦除的信息。简化了以往进行立体切割需要旋转的步骤。</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8.12可进行肤色渲染，生成自然真实的3D图像，独立软件功能；使得穿透力和组织图像边缘得到增强，提高微小解剖结构的显现力。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8.13胎儿自动识别：胎儿面部前方经常由于手部等邻近结构的影响，得到清晰的胎儿面部图像，较为困难；使用胎儿面部自动识别技术可一键自动去除面部前方遮挡物，获得满意的胎儿面部容积图像。</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8.14 水晶成像技术：容积成像时通过此技术可同时显示胎儿内外部结构，区分软组织和骨结构，能准确了解解剖结构，真实透视可视化，可用于胎儿骨骼系统、神经系统等异常辅助诊断，可以分辨气管。</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 xml:space="preserve">8.15智能断层成像:可将3D立体数据沿A、B、C三个正交平面分别进行连续平行断层切割，并可实时扫查，同屏显示≥24幅不同深度图像，断层间距0.5mm-10mm可调。 </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8.16任意剖面成像：3D立体数据内任意切割进行剖面成像，通过单条直线或曲线切割后进行剖面成像。</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8.17高级任意不规则形状体积计算功能。</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8.18镜像模式：同屏显示多方位的立体图像，除正面观，可同时观察到顶、左、右侧面观的容积成像。</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8.19在多平面显示的基础上，增加了在参考平面上的另外两个参考面，帮助判断正常与异常的诊断及方位确定。</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8.20多切面成像基础上, 用户可同时看到与参考平面垂直的另外两个平面，不同于传统定位帮助中只能看到一个。</w:t>
      </w:r>
    </w:p>
    <w:p>
      <w:pPr>
        <w:adjustRightInd w:val="0"/>
        <w:snapToGrid w:val="0"/>
        <w:spacing w:line="440" w:lineRule="exact"/>
        <w:rPr>
          <w:rFonts w:cs="Arial" w:asciiTheme="minorEastAsia" w:hAnsiTheme="minorEastAsia" w:eastAsiaTheme="minorEastAsia"/>
          <w:b/>
          <w:bCs/>
          <w:szCs w:val="21"/>
        </w:rPr>
      </w:pPr>
      <w:r>
        <w:rPr>
          <w:rFonts w:cs="Arial" w:asciiTheme="minorEastAsia" w:hAnsiTheme="minorEastAsia" w:eastAsiaTheme="minorEastAsia"/>
          <w:b/>
          <w:bCs/>
          <w:szCs w:val="21"/>
        </w:rPr>
        <w:t>9</w:t>
      </w:r>
      <w:r>
        <w:rPr>
          <w:rFonts w:hint="eastAsia" w:cs="Arial" w:asciiTheme="minorEastAsia" w:hAnsiTheme="minorEastAsia" w:eastAsiaTheme="minorEastAsia"/>
          <w:b/>
          <w:bCs/>
          <w:szCs w:val="21"/>
        </w:rPr>
        <w:t>.超声图像及病案管理系统：</w:t>
      </w:r>
    </w:p>
    <w:p>
      <w:pPr>
        <w:adjustRightInd w:val="0"/>
        <w:snapToGrid w:val="0"/>
        <w:spacing w:line="440" w:lineRule="exact"/>
        <w:ind w:right="97" w:rightChars="46"/>
        <w:rPr>
          <w:rFonts w:cs="Arial" w:asciiTheme="minorEastAsia" w:hAnsiTheme="minorEastAsia" w:eastAsiaTheme="minorEastAsia"/>
          <w:bCs/>
          <w:szCs w:val="21"/>
        </w:rPr>
      </w:pPr>
      <w:r>
        <w:rPr>
          <w:rFonts w:hint="eastAsia" w:cs="Arial" w:asciiTheme="minorEastAsia" w:hAnsiTheme="minorEastAsia" w:eastAsiaTheme="minorEastAsia"/>
          <w:bCs/>
          <w:szCs w:val="21"/>
        </w:rPr>
        <w:t>*</w:t>
      </w:r>
      <w:r>
        <w:rPr>
          <w:rFonts w:cs="Arial" w:asciiTheme="minorEastAsia" w:hAnsiTheme="minorEastAsia" w:eastAsiaTheme="minorEastAsia"/>
          <w:bCs/>
          <w:szCs w:val="21"/>
        </w:rPr>
        <w:t>9</w:t>
      </w:r>
      <w:r>
        <w:rPr>
          <w:rFonts w:hint="eastAsia" w:cs="Arial" w:asciiTheme="minorEastAsia" w:hAnsiTheme="minorEastAsia" w:eastAsiaTheme="minorEastAsia"/>
          <w:bCs/>
          <w:szCs w:val="21"/>
        </w:rPr>
        <w:t>.1 SSD固态硬盘存储患者数据信息，硬盘容量 ≥512G，可永久存储动、静态图像，屏幕可显示硬盘容量数据信息，保证系统运行速度</w:t>
      </w:r>
    </w:p>
    <w:p>
      <w:pPr>
        <w:adjustRightInd w:val="0"/>
        <w:snapToGrid w:val="0"/>
        <w:spacing w:line="440" w:lineRule="exact"/>
        <w:ind w:left="-94" w:leftChars="-45" w:right="97" w:rightChars="46"/>
        <w:rPr>
          <w:rFonts w:cs="Arial" w:asciiTheme="minorEastAsia" w:hAnsiTheme="minorEastAsia" w:eastAsiaTheme="minorEastAsia"/>
          <w:bCs/>
          <w:szCs w:val="21"/>
        </w:rPr>
      </w:pPr>
      <w:r>
        <w:rPr>
          <w:rFonts w:cs="Arial" w:asciiTheme="minorEastAsia" w:hAnsiTheme="minorEastAsia" w:eastAsiaTheme="minorEastAsia"/>
          <w:bCs/>
          <w:szCs w:val="21"/>
        </w:rPr>
        <w:t>9</w:t>
      </w:r>
      <w:r>
        <w:rPr>
          <w:rFonts w:hint="eastAsia" w:cs="Arial" w:asciiTheme="minorEastAsia" w:hAnsiTheme="minorEastAsia" w:eastAsiaTheme="minorEastAsia"/>
          <w:bCs/>
          <w:szCs w:val="21"/>
        </w:rPr>
        <w:t>.2动态图像、静态图像以PC通用格式直接存储，无需特殊软件即能在PC机上直接查看图像</w:t>
      </w:r>
    </w:p>
    <w:p>
      <w:pPr>
        <w:adjustRightInd w:val="0"/>
        <w:snapToGrid w:val="0"/>
        <w:spacing w:line="440" w:lineRule="exact"/>
        <w:rPr>
          <w:rFonts w:cs="Arial" w:asciiTheme="minorEastAsia" w:hAnsiTheme="minorEastAsia" w:eastAsiaTheme="minorEastAsia"/>
          <w:bCs/>
          <w:szCs w:val="21"/>
        </w:rPr>
      </w:pPr>
      <w:r>
        <w:rPr>
          <w:rFonts w:cs="Arial" w:asciiTheme="minorEastAsia" w:hAnsiTheme="minorEastAsia" w:eastAsiaTheme="minorEastAsia"/>
          <w:bCs/>
          <w:szCs w:val="21"/>
        </w:rPr>
        <w:t>9</w:t>
      </w:r>
      <w:r>
        <w:rPr>
          <w:rFonts w:hint="eastAsia" w:cs="Arial" w:asciiTheme="minorEastAsia" w:hAnsiTheme="minorEastAsia" w:eastAsiaTheme="minorEastAsia"/>
          <w:bCs/>
          <w:szCs w:val="21"/>
        </w:rPr>
        <w:t>.3具有图像存储与（电影）回放重现单元</w:t>
      </w:r>
    </w:p>
    <w:p>
      <w:pPr>
        <w:rPr>
          <w:rFonts w:hint="default"/>
          <w:lang w:val="en-US" w:eastAsia="zh-CN"/>
        </w:rPr>
      </w:pPr>
      <w:bookmarkStart w:id="6" w:name="_Toc10329"/>
    </w:p>
    <w:p>
      <w:pPr>
        <w:tabs>
          <w:tab w:val="left" w:pos="540"/>
        </w:tabs>
        <w:autoSpaceDE w:val="0"/>
        <w:autoSpaceDN w:val="0"/>
        <w:adjustRightInd w:val="0"/>
        <w:spacing w:line="300" w:lineRule="auto"/>
        <w:ind w:left="220"/>
        <w:jc w:val="center"/>
        <w:rPr>
          <w:rFonts w:hint="eastAsia" w:eastAsia="宋体"/>
          <w:b/>
          <w:bCs/>
          <w:sz w:val="28"/>
          <w:szCs w:val="36"/>
          <w:lang w:val="en-US" w:eastAsia="zh-CN"/>
        </w:rPr>
      </w:pPr>
      <w:r>
        <w:rPr>
          <w:rFonts w:hint="eastAsia" w:eastAsia="宋体"/>
          <w:b/>
          <w:bCs/>
          <w:sz w:val="28"/>
          <w:szCs w:val="36"/>
          <w:lang w:val="en-US" w:eastAsia="zh-CN"/>
        </w:rPr>
        <w:t>二标段技术及要求</w:t>
      </w:r>
    </w:p>
    <w:p>
      <w:pPr>
        <w:tabs>
          <w:tab w:val="left" w:pos="540"/>
        </w:tabs>
        <w:autoSpaceDE w:val="0"/>
        <w:autoSpaceDN w:val="0"/>
        <w:adjustRightInd w:val="0"/>
        <w:spacing w:line="300" w:lineRule="auto"/>
        <w:ind w:left="220"/>
        <w:jc w:val="center"/>
        <w:rPr>
          <w:rFonts w:hint="eastAsia" w:eastAsia="宋体"/>
          <w:b/>
          <w:bCs/>
          <w:sz w:val="28"/>
          <w:szCs w:val="36"/>
          <w:lang w:val="en-US" w:eastAsia="zh-CN"/>
        </w:rPr>
      </w:pPr>
      <w:r>
        <w:rPr>
          <w:rFonts w:hint="eastAsia" w:eastAsia="宋体"/>
          <w:b/>
          <w:bCs/>
          <w:sz w:val="28"/>
          <w:szCs w:val="36"/>
          <w:lang w:val="en-US" w:eastAsia="zh-CN"/>
        </w:rPr>
        <w:t>麻醉机招标参数</w:t>
      </w:r>
    </w:p>
    <w:p>
      <w:pPr>
        <w:pStyle w:val="51"/>
        <w:numPr>
          <w:ilvl w:val="0"/>
          <w:numId w:val="4"/>
        </w:numPr>
        <w:spacing w:line="300" w:lineRule="auto"/>
        <w:ind w:firstLineChars="0"/>
        <w:rPr>
          <w:rFonts w:ascii="宋体" w:hAnsi="宋体" w:cs="宋体"/>
          <w:szCs w:val="21"/>
        </w:rPr>
      </w:pPr>
      <w:r>
        <w:rPr>
          <w:rFonts w:hint="eastAsia" w:ascii="宋体" w:hAnsi="宋体" w:cs="宋体"/>
          <w:color w:val="FF0000"/>
          <w:szCs w:val="21"/>
        </w:rPr>
        <w:t>★</w:t>
      </w:r>
      <w:r>
        <w:rPr>
          <w:rFonts w:hint="eastAsia" w:ascii="宋体" w:hAnsi="宋体" w:cs="宋体"/>
          <w:szCs w:val="21"/>
        </w:rPr>
        <w:t>≥12寸彩色触摸屏，屏幕采用外挂式非内嵌式设计，外挂式触控屏可以根据操作位置的需要，可多角度旋转调节，可折叠。（提供图片证明）</w:t>
      </w:r>
    </w:p>
    <w:p>
      <w:pPr>
        <w:pStyle w:val="51"/>
        <w:numPr>
          <w:ilvl w:val="0"/>
          <w:numId w:val="4"/>
        </w:numPr>
        <w:spacing w:line="300" w:lineRule="auto"/>
        <w:ind w:firstLineChars="0"/>
        <w:rPr>
          <w:rFonts w:ascii="宋体" w:hAnsi="宋体" w:cs="宋体"/>
          <w:szCs w:val="21"/>
        </w:rPr>
      </w:pPr>
      <w:r>
        <w:rPr>
          <w:rFonts w:hint="eastAsia" w:ascii="宋体" w:hAnsi="宋体" w:cs="宋体"/>
          <w:szCs w:val="21"/>
        </w:rPr>
        <w:t>两个大容量旋转式抽屉非抽拉式，可旋转角度大于90度。（提供图片证明）</w:t>
      </w:r>
    </w:p>
    <w:p>
      <w:pPr>
        <w:pStyle w:val="51"/>
        <w:numPr>
          <w:ilvl w:val="0"/>
          <w:numId w:val="4"/>
        </w:numPr>
        <w:spacing w:line="300" w:lineRule="auto"/>
        <w:ind w:firstLineChars="0"/>
        <w:rPr>
          <w:rFonts w:ascii="宋体" w:hAnsi="宋体" w:cs="宋体"/>
          <w:szCs w:val="21"/>
        </w:rPr>
      </w:pPr>
      <w:r>
        <w:rPr>
          <w:rFonts w:hint="eastAsia" w:ascii="宋体" w:hAnsi="宋体" w:cs="宋体"/>
          <w:szCs w:val="21"/>
        </w:rPr>
        <w:t>仪器使用寿命≥10年。</w:t>
      </w:r>
    </w:p>
    <w:p>
      <w:pPr>
        <w:pStyle w:val="51"/>
        <w:numPr>
          <w:ilvl w:val="0"/>
          <w:numId w:val="4"/>
        </w:numPr>
        <w:spacing w:line="300" w:lineRule="auto"/>
        <w:ind w:firstLineChars="0"/>
        <w:rPr>
          <w:rFonts w:ascii="宋体" w:hAnsi="宋体" w:cs="宋体"/>
          <w:szCs w:val="21"/>
        </w:rPr>
      </w:pPr>
      <w:r>
        <w:rPr>
          <w:rFonts w:hint="eastAsia" w:ascii="宋体" w:hAnsi="宋体" w:cs="宋体"/>
          <w:szCs w:val="21"/>
        </w:rPr>
        <w:t>配备锂电池，锂电池使用时间≥120分钟。（提供证明材料）</w:t>
      </w:r>
    </w:p>
    <w:p>
      <w:pPr>
        <w:pStyle w:val="51"/>
        <w:numPr>
          <w:ilvl w:val="0"/>
          <w:numId w:val="4"/>
        </w:numPr>
        <w:spacing w:line="300" w:lineRule="auto"/>
        <w:ind w:firstLineChars="0"/>
        <w:rPr>
          <w:rFonts w:ascii="宋体" w:hAnsi="宋体" w:cs="宋体"/>
          <w:szCs w:val="21"/>
        </w:rPr>
      </w:pPr>
      <w:r>
        <w:rPr>
          <w:rFonts w:hint="eastAsia" w:ascii="宋体" w:hAnsi="宋体" w:cs="宋体"/>
          <w:color w:val="FF0000"/>
          <w:szCs w:val="21"/>
        </w:rPr>
        <w:t>★</w:t>
      </w:r>
      <w:r>
        <w:rPr>
          <w:rFonts w:hint="eastAsia" w:ascii="宋体" w:hAnsi="宋体" w:cs="宋体"/>
          <w:szCs w:val="21"/>
        </w:rPr>
        <w:t>模块插槽在主机机身正面，便于医护人员观察模块状态，支持3个模块同时使用，模块可与同品牌的插件式监护仪实现共享</w:t>
      </w:r>
      <w:r>
        <w:rPr>
          <w:rStyle w:val="41"/>
          <w:rFonts w:hint="eastAsia" w:ascii="宋体" w:hAnsi="宋体" w:cs="宋体"/>
        </w:rPr>
        <w:t>，</w:t>
      </w:r>
      <w:r>
        <w:rPr>
          <w:rFonts w:hint="eastAsia" w:ascii="宋体" w:hAnsi="宋体" w:cs="宋体"/>
          <w:szCs w:val="21"/>
        </w:rPr>
        <w:t>监测CO</w:t>
      </w:r>
      <w:r>
        <w:rPr>
          <w:rFonts w:hint="eastAsia" w:ascii="宋体" w:hAnsi="宋体" w:cs="宋体"/>
          <w:szCs w:val="21"/>
          <w:vertAlign w:val="subscript"/>
        </w:rPr>
        <w:t>2</w:t>
      </w:r>
      <w:r>
        <w:rPr>
          <w:rFonts w:hint="eastAsia" w:ascii="宋体" w:hAnsi="宋体" w:cs="宋体"/>
          <w:szCs w:val="21"/>
        </w:rPr>
        <w:t>、AG、BIS、O2等生理指标。（提供图片证明）</w:t>
      </w:r>
    </w:p>
    <w:p>
      <w:pPr>
        <w:pStyle w:val="51"/>
        <w:numPr>
          <w:ilvl w:val="0"/>
          <w:numId w:val="4"/>
        </w:numPr>
        <w:spacing w:line="300" w:lineRule="auto"/>
        <w:ind w:firstLineChars="0"/>
        <w:rPr>
          <w:rFonts w:ascii="宋体" w:hAnsi="宋体" w:cs="宋体"/>
          <w:szCs w:val="21"/>
        </w:rPr>
      </w:pPr>
      <w:r>
        <w:rPr>
          <w:rFonts w:hint="eastAsia" w:ascii="Times New Roman"/>
          <w:szCs w:val="21"/>
        </w:rPr>
        <w:t>标配</w:t>
      </w:r>
      <w:r>
        <w:rPr>
          <w:rFonts w:ascii="Times New Roman"/>
          <w:szCs w:val="21"/>
        </w:rPr>
        <w:t>氧气，笑气，空气三气源</w:t>
      </w:r>
      <w:r>
        <w:rPr>
          <w:rFonts w:hint="eastAsia" w:ascii="Times New Roman"/>
          <w:szCs w:val="21"/>
        </w:rPr>
        <w:t>，</w:t>
      </w:r>
      <w:r>
        <w:rPr>
          <w:rFonts w:ascii="Times New Roman"/>
          <w:szCs w:val="21"/>
        </w:rPr>
        <w:t>具备氧气，笑气，空气</w:t>
      </w:r>
      <w:r>
        <w:rPr>
          <w:rFonts w:hint="eastAsia" w:ascii="Times New Roman"/>
          <w:szCs w:val="21"/>
        </w:rPr>
        <w:t>机械三气六管</w:t>
      </w:r>
      <w:r>
        <w:rPr>
          <w:rFonts w:ascii="Times New Roman"/>
          <w:szCs w:val="21"/>
        </w:rPr>
        <w:t>流量计</w:t>
      </w:r>
      <w:r>
        <w:rPr>
          <w:rFonts w:hint="eastAsia" w:ascii="宋体" w:hAnsi="宋体" w:cs="宋体"/>
          <w:szCs w:val="21"/>
        </w:rPr>
        <w:t>，快速直观，调节范围：0-10L/min。</w:t>
      </w:r>
    </w:p>
    <w:p>
      <w:pPr>
        <w:pStyle w:val="51"/>
        <w:numPr>
          <w:ilvl w:val="0"/>
          <w:numId w:val="4"/>
        </w:numPr>
        <w:spacing w:line="300" w:lineRule="auto"/>
        <w:ind w:firstLineChars="0"/>
        <w:rPr>
          <w:rFonts w:ascii="宋体" w:hAnsi="宋体" w:cs="宋体"/>
          <w:szCs w:val="21"/>
        </w:rPr>
      </w:pPr>
      <w:r>
        <w:rPr>
          <w:rFonts w:hint="eastAsia" w:ascii="宋体" w:hAnsi="宋体" w:cs="宋体"/>
          <w:szCs w:val="21"/>
        </w:rPr>
        <w:t>气动电控呼吸机，通气模式：VCV、PCV、手动，可选配SIMV-VC、SIMV-PC、CPAP/PSV、PRVC。</w:t>
      </w:r>
    </w:p>
    <w:p>
      <w:pPr>
        <w:pStyle w:val="51"/>
        <w:numPr>
          <w:ilvl w:val="0"/>
          <w:numId w:val="4"/>
        </w:numPr>
        <w:spacing w:line="300" w:lineRule="auto"/>
        <w:ind w:firstLineChars="0"/>
        <w:rPr>
          <w:rFonts w:ascii="宋体" w:hAnsi="宋体" w:cs="宋体"/>
          <w:szCs w:val="21"/>
        </w:rPr>
      </w:pPr>
      <w:r>
        <w:rPr>
          <w:rFonts w:hint="eastAsia" w:ascii="宋体" w:hAnsi="宋体" w:cs="宋体"/>
          <w:szCs w:val="21"/>
        </w:rPr>
        <w:t>控制通气模式下：</w:t>
      </w:r>
    </w:p>
    <w:p>
      <w:pPr>
        <w:pStyle w:val="51"/>
        <w:autoSpaceDE w:val="0"/>
        <w:autoSpaceDN w:val="0"/>
        <w:adjustRightInd w:val="0"/>
        <w:spacing w:line="300" w:lineRule="auto"/>
        <w:ind w:left="856" w:firstLine="0" w:firstLineChars="0"/>
        <w:jc w:val="left"/>
        <w:rPr>
          <w:rFonts w:hint="eastAsia" w:ascii="宋体" w:hAnsi="宋体" w:cs="宋体"/>
          <w:szCs w:val="21"/>
        </w:rPr>
      </w:pPr>
      <w:r>
        <w:rPr>
          <w:rFonts w:hint="eastAsia" w:ascii="宋体" w:hAnsi="宋体" w:cs="宋体"/>
          <w:szCs w:val="21"/>
        </w:rPr>
        <w:t xml:space="preserve">8.1  </w:t>
      </w:r>
      <w:r>
        <w:rPr>
          <w:rFonts w:hint="eastAsia" w:ascii="宋体" w:hAnsi="宋体" w:cs="宋体"/>
          <w:color w:val="FF0000"/>
          <w:szCs w:val="21"/>
        </w:rPr>
        <w:t>★</w:t>
      </w:r>
      <w:r>
        <w:rPr>
          <w:rFonts w:hint="eastAsia" w:ascii="宋体" w:hAnsi="宋体" w:cs="宋体"/>
          <w:szCs w:val="21"/>
        </w:rPr>
        <w:t>VCV模式下潮气量设定范围：最低15，最高1500ml。（需提供证明材料）</w:t>
      </w:r>
    </w:p>
    <w:p>
      <w:pPr>
        <w:pStyle w:val="51"/>
        <w:autoSpaceDE w:val="0"/>
        <w:autoSpaceDN w:val="0"/>
        <w:adjustRightInd w:val="0"/>
        <w:spacing w:line="300" w:lineRule="auto"/>
        <w:ind w:left="856" w:firstLine="0" w:firstLineChars="0"/>
        <w:jc w:val="left"/>
        <w:rPr>
          <w:rFonts w:ascii="宋体" w:hAnsi="宋体" w:cs="宋体"/>
          <w:szCs w:val="21"/>
        </w:rPr>
      </w:pPr>
      <w:r>
        <w:rPr>
          <w:rFonts w:hint="eastAsia" w:ascii="宋体" w:hAnsi="宋体" w:cs="宋体"/>
          <w:szCs w:val="21"/>
        </w:rPr>
        <w:t>8.2  PCV模式下潮气量设定范围：5～1500ml。</w:t>
      </w:r>
    </w:p>
    <w:p>
      <w:pPr>
        <w:pStyle w:val="51"/>
        <w:autoSpaceDE w:val="0"/>
        <w:autoSpaceDN w:val="0"/>
        <w:adjustRightInd w:val="0"/>
        <w:spacing w:line="300" w:lineRule="auto"/>
        <w:ind w:left="856" w:firstLine="0" w:firstLineChars="0"/>
        <w:jc w:val="left"/>
        <w:rPr>
          <w:rFonts w:ascii="宋体" w:hAnsi="宋体" w:cs="宋体"/>
          <w:szCs w:val="21"/>
        </w:rPr>
      </w:pPr>
      <w:r>
        <w:rPr>
          <w:rFonts w:hint="eastAsia" w:ascii="宋体" w:hAnsi="宋体" w:cs="宋体"/>
          <w:szCs w:val="21"/>
        </w:rPr>
        <w:t>8.3  呼吸频率设定范围：4～100次/min。</w:t>
      </w:r>
    </w:p>
    <w:p>
      <w:pPr>
        <w:pStyle w:val="51"/>
        <w:autoSpaceDE w:val="0"/>
        <w:autoSpaceDN w:val="0"/>
        <w:adjustRightInd w:val="0"/>
        <w:spacing w:line="300" w:lineRule="auto"/>
        <w:ind w:left="856" w:firstLine="0" w:firstLineChars="0"/>
        <w:jc w:val="left"/>
        <w:rPr>
          <w:rFonts w:ascii="宋体" w:hAnsi="宋体" w:cs="宋体"/>
          <w:szCs w:val="21"/>
        </w:rPr>
      </w:pPr>
      <w:r>
        <w:rPr>
          <w:rFonts w:hint="eastAsia" w:ascii="宋体" w:hAnsi="宋体" w:cs="宋体"/>
          <w:szCs w:val="21"/>
        </w:rPr>
        <w:t xml:space="preserve">8.4  </w:t>
      </w:r>
      <w:r>
        <w:rPr>
          <w:rFonts w:hint="eastAsia" w:ascii="宋体" w:hAnsi="宋体" w:cs="宋体"/>
          <w:color w:val="FF0000"/>
          <w:szCs w:val="21"/>
        </w:rPr>
        <w:t>★</w:t>
      </w:r>
      <w:r>
        <w:rPr>
          <w:rFonts w:hint="eastAsia" w:ascii="宋体" w:hAnsi="宋体" w:cs="宋体"/>
          <w:szCs w:val="21"/>
        </w:rPr>
        <w:t>吸呼比调节范围：4:1到1:10。</w:t>
      </w:r>
    </w:p>
    <w:p>
      <w:pPr>
        <w:pStyle w:val="51"/>
        <w:autoSpaceDE w:val="0"/>
        <w:autoSpaceDN w:val="0"/>
        <w:adjustRightInd w:val="0"/>
        <w:spacing w:line="300" w:lineRule="auto"/>
        <w:ind w:left="856" w:firstLine="0" w:firstLineChars="0"/>
        <w:jc w:val="left"/>
        <w:rPr>
          <w:rFonts w:ascii="宋体" w:hAnsi="宋体" w:cs="宋体"/>
          <w:szCs w:val="21"/>
        </w:rPr>
      </w:pPr>
      <w:r>
        <w:rPr>
          <w:rFonts w:hint="eastAsia" w:ascii="宋体" w:hAnsi="宋体" w:cs="宋体"/>
          <w:szCs w:val="21"/>
        </w:rPr>
        <w:t xml:space="preserve">8.5  </w:t>
      </w:r>
      <w:r>
        <w:rPr>
          <w:rFonts w:hint="eastAsia" w:ascii="宋体" w:hAnsi="宋体" w:cs="宋体"/>
          <w:color w:val="FF0000"/>
          <w:szCs w:val="21"/>
        </w:rPr>
        <w:t>★</w:t>
      </w:r>
      <w:r>
        <w:rPr>
          <w:rFonts w:hint="eastAsia" w:ascii="宋体" w:hAnsi="宋体" w:cs="宋体"/>
          <w:szCs w:val="21"/>
        </w:rPr>
        <w:t>吸呼比监测范围：4:1到1:12。</w:t>
      </w:r>
    </w:p>
    <w:p>
      <w:pPr>
        <w:pStyle w:val="51"/>
        <w:autoSpaceDE w:val="0"/>
        <w:autoSpaceDN w:val="0"/>
        <w:adjustRightInd w:val="0"/>
        <w:spacing w:line="300" w:lineRule="auto"/>
        <w:ind w:left="856" w:firstLine="0" w:firstLineChars="0"/>
        <w:jc w:val="left"/>
        <w:rPr>
          <w:rFonts w:ascii="宋体" w:hAnsi="宋体" w:cs="宋体"/>
          <w:szCs w:val="21"/>
        </w:rPr>
      </w:pPr>
      <w:r>
        <w:rPr>
          <w:rFonts w:hint="eastAsia" w:ascii="宋体" w:hAnsi="宋体" w:cs="宋体"/>
          <w:color w:val="000000"/>
          <w:szCs w:val="21"/>
        </w:rPr>
        <w:t>8.6  PEEP</w:t>
      </w:r>
      <w:r>
        <w:rPr>
          <w:rFonts w:hint="eastAsia" w:ascii="宋体" w:hAnsi="宋体" w:cs="宋体"/>
          <w:szCs w:val="21"/>
        </w:rPr>
        <w:t>设定范围</w:t>
      </w:r>
      <w:r>
        <w:rPr>
          <w:rFonts w:hint="eastAsia" w:ascii="宋体" w:hAnsi="宋体" w:cs="宋体"/>
          <w:color w:val="000000"/>
          <w:szCs w:val="21"/>
        </w:rPr>
        <w:t>：OFF，3</w:t>
      </w:r>
      <w:r>
        <w:rPr>
          <w:rFonts w:hint="eastAsia" w:ascii="宋体" w:hAnsi="宋体" w:cs="宋体"/>
          <w:szCs w:val="21"/>
        </w:rPr>
        <w:t>～</w:t>
      </w:r>
      <w:r>
        <w:rPr>
          <w:rFonts w:hint="eastAsia" w:ascii="宋体" w:hAnsi="宋体" w:cs="宋体"/>
          <w:color w:val="000000"/>
          <w:szCs w:val="21"/>
        </w:rPr>
        <w:t>30 cmH</w:t>
      </w:r>
      <w:r>
        <w:rPr>
          <w:rFonts w:hint="eastAsia" w:ascii="宋体" w:hAnsi="宋体" w:cs="宋体"/>
          <w:color w:val="000000"/>
          <w:szCs w:val="21"/>
          <w:vertAlign w:val="subscript"/>
        </w:rPr>
        <w:t>2</w:t>
      </w:r>
      <w:r>
        <w:rPr>
          <w:rFonts w:hint="eastAsia" w:ascii="宋体" w:hAnsi="宋体" w:cs="宋体"/>
          <w:color w:val="000000"/>
          <w:szCs w:val="21"/>
        </w:rPr>
        <w:t>O。</w:t>
      </w:r>
    </w:p>
    <w:p>
      <w:pPr>
        <w:pStyle w:val="51"/>
        <w:autoSpaceDE w:val="0"/>
        <w:autoSpaceDN w:val="0"/>
        <w:adjustRightInd w:val="0"/>
        <w:spacing w:line="300" w:lineRule="auto"/>
        <w:jc w:val="left"/>
        <w:rPr>
          <w:rFonts w:ascii="宋体" w:hAnsi="宋体" w:cs="宋体"/>
          <w:szCs w:val="21"/>
        </w:rPr>
      </w:pPr>
      <w:r>
        <w:rPr>
          <w:rFonts w:hint="eastAsia" w:ascii="宋体" w:hAnsi="宋体" w:cs="宋体"/>
          <w:szCs w:val="21"/>
        </w:rPr>
        <w:t xml:space="preserve">9.  </w:t>
      </w:r>
      <w:r>
        <w:rPr>
          <w:rFonts w:hint="eastAsia" w:ascii="宋体" w:hAnsi="宋体" w:cs="宋体"/>
          <w:color w:val="FF0000"/>
          <w:szCs w:val="21"/>
        </w:rPr>
        <w:t>★</w:t>
      </w:r>
      <w:r>
        <w:rPr>
          <w:rFonts w:hint="eastAsia" w:ascii="宋体" w:hAnsi="宋体" w:cs="宋体"/>
          <w:szCs w:val="21"/>
        </w:rPr>
        <w:t>呼吸力学监测：压力波形、流速波形、容量波形、CO</w:t>
      </w:r>
      <w:r>
        <w:rPr>
          <w:rFonts w:hint="eastAsia" w:ascii="宋体" w:hAnsi="宋体" w:cs="宋体"/>
          <w:szCs w:val="21"/>
          <w:vertAlign w:val="subscript"/>
        </w:rPr>
        <w:t>2</w:t>
      </w:r>
      <w:r>
        <w:rPr>
          <w:rFonts w:hint="eastAsia" w:ascii="宋体" w:hAnsi="宋体" w:cs="宋体"/>
          <w:szCs w:val="21"/>
        </w:rPr>
        <w:t>波形、EEG波形，能够4道波形同屏显示。</w:t>
      </w:r>
    </w:p>
    <w:p>
      <w:pPr>
        <w:pStyle w:val="51"/>
        <w:autoSpaceDE w:val="0"/>
        <w:autoSpaceDN w:val="0"/>
        <w:adjustRightInd w:val="0"/>
        <w:spacing w:line="300" w:lineRule="auto"/>
        <w:jc w:val="left"/>
        <w:rPr>
          <w:rFonts w:hint="eastAsia" w:ascii="宋体" w:hAnsi="宋体" w:cs="宋体"/>
          <w:szCs w:val="21"/>
        </w:rPr>
      </w:pPr>
      <w:r>
        <w:rPr>
          <w:rFonts w:hint="eastAsia" w:ascii="宋体" w:hAnsi="宋体" w:cs="宋体"/>
          <w:szCs w:val="21"/>
        </w:rPr>
        <w:t>10.  呼吸回路的进气端和出气端均位于麻醉机正前方，便于麻醉医生操作。（提供图片证明）</w:t>
      </w:r>
    </w:p>
    <w:p>
      <w:pPr>
        <w:pStyle w:val="51"/>
        <w:autoSpaceDE w:val="0"/>
        <w:autoSpaceDN w:val="0"/>
        <w:adjustRightInd w:val="0"/>
        <w:spacing w:line="300" w:lineRule="auto"/>
        <w:jc w:val="left"/>
        <w:rPr>
          <w:rFonts w:ascii="宋体" w:hAnsi="宋体" w:cs="宋体"/>
          <w:szCs w:val="21"/>
        </w:rPr>
      </w:pPr>
      <w:r>
        <w:rPr>
          <w:rFonts w:hint="eastAsia" w:ascii="宋体" w:hAnsi="宋体" w:cs="宋体"/>
          <w:szCs w:val="21"/>
        </w:rPr>
        <w:t>11.  集成式、一体化回路，无需工具可徒手拆卸，回路与主机无管路连接，回路容积≤2.5L，可选配智能化Bypass旁路功能，术中更换钠石灰，不影响麻醉机的运行，且无麻醉药泄漏，安全可靠。</w:t>
      </w:r>
    </w:p>
    <w:p>
      <w:pPr>
        <w:pStyle w:val="51"/>
        <w:autoSpaceDE w:val="0"/>
        <w:autoSpaceDN w:val="0"/>
        <w:adjustRightInd w:val="0"/>
        <w:spacing w:line="300" w:lineRule="auto"/>
        <w:jc w:val="left"/>
        <w:rPr>
          <w:rFonts w:ascii="宋体" w:hAnsi="宋体" w:cs="宋体"/>
          <w:szCs w:val="21"/>
        </w:rPr>
      </w:pPr>
      <w:r>
        <w:rPr>
          <w:rFonts w:hint="eastAsia" w:ascii="宋体" w:hAnsi="宋体" w:cs="宋体"/>
          <w:szCs w:val="21"/>
        </w:rPr>
        <w:t>12.  可选配有外部气体出口ACGO，辅助气路开关与辅助气路盖一体化设计，气路盖采用旋转卡扣式设计，方便开启和关闭辅助气路，能外接Bain回路、T管回路等。</w:t>
      </w:r>
    </w:p>
    <w:p>
      <w:pPr>
        <w:pStyle w:val="51"/>
        <w:autoSpaceDE w:val="0"/>
        <w:autoSpaceDN w:val="0"/>
        <w:adjustRightInd w:val="0"/>
        <w:spacing w:line="300" w:lineRule="auto"/>
        <w:jc w:val="left"/>
        <w:rPr>
          <w:rFonts w:ascii="宋体" w:hAnsi="宋体" w:cs="宋体"/>
          <w:szCs w:val="21"/>
        </w:rPr>
      </w:pPr>
      <w:r>
        <w:rPr>
          <w:rFonts w:hint="eastAsia" w:ascii="宋体" w:hAnsi="宋体" w:cs="宋体"/>
          <w:szCs w:val="21"/>
        </w:rPr>
        <w:t>13.  标配回路加热功能，不接受冷凝处理，消除水汽冷凝，增强病人呼吸舒适性，便于设备维护。</w:t>
      </w:r>
    </w:p>
    <w:p>
      <w:pPr>
        <w:pStyle w:val="51"/>
        <w:autoSpaceDE w:val="0"/>
        <w:autoSpaceDN w:val="0"/>
        <w:adjustRightInd w:val="0"/>
        <w:spacing w:line="300" w:lineRule="auto"/>
        <w:jc w:val="left"/>
        <w:rPr>
          <w:rFonts w:ascii="宋体" w:hAnsi="宋体" w:cs="宋体"/>
          <w:szCs w:val="21"/>
        </w:rPr>
      </w:pPr>
      <w:r>
        <w:rPr>
          <w:rFonts w:hint="eastAsia" w:ascii="宋体" w:hAnsi="宋体" w:cs="宋体"/>
          <w:szCs w:val="21"/>
        </w:rPr>
        <w:t xml:space="preserve">14.  </w:t>
      </w:r>
      <w:r>
        <w:rPr>
          <w:rFonts w:hint="eastAsia" w:ascii="宋体" w:hAnsi="宋体" w:cs="宋体"/>
          <w:color w:val="FF0000"/>
          <w:szCs w:val="21"/>
        </w:rPr>
        <w:t>★</w:t>
      </w:r>
      <w:r>
        <w:rPr>
          <w:rFonts w:hint="eastAsia" w:ascii="宋体" w:hAnsi="宋体" w:cs="宋体"/>
          <w:szCs w:val="21"/>
        </w:rPr>
        <w:t>回路泄漏量不应超过65ml/min。</w:t>
      </w:r>
    </w:p>
    <w:p>
      <w:pPr>
        <w:pStyle w:val="51"/>
        <w:autoSpaceDE w:val="0"/>
        <w:autoSpaceDN w:val="0"/>
        <w:adjustRightInd w:val="0"/>
        <w:spacing w:line="300" w:lineRule="auto"/>
        <w:jc w:val="left"/>
        <w:rPr>
          <w:rFonts w:hint="eastAsia" w:ascii="宋体" w:hAnsi="宋体" w:cs="宋体"/>
          <w:szCs w:val="21"/>
        </w:rPr>
      </w:pPr>
      <w:r>
        <w:rPr>
          <w:rFonts w:hint="eastAsia" w:ascii="宋体" w:hAnsi="宋体" w:cs="宋体"/>
          <w:szCs w:val="21"/>
        </w:rPr>
        <w:t xml:space="preserve">15.  </w:t>
      </w:r>
      <w:r>
        <w:rPr>
          <w:rFonts w:hint="eastAsia" w:ascii="宋体" w:hAnsi="宋体" w:cs="宋体"/>
          <w:color w:val="FF0000"/>
          <w:szCs w:val="21"/>
        </w:rPr>
        <w:t>★</w:t>
      </w:r>
      <w:r>
        <w:rPr>
          <w:rFonts w:hint="eastAsia" w:ascii="宋体" w:hAnsi="宋体" w:cs="宋体"/>
          <w:szCs w:val="21"/>
        </w:rPr>
        <w:t>双挥发罐罐位，具备互锁功能，标配进口七氟醚和异氟醚挥发罐各1只，挥发罐容量不小于300ml，挥发罐具备安全运输模式-T模式，转运更换无需排空麻醉药。</w:t>
      </w:r>
    </w:p>
    <w:p/>
    <w:p>
      <w:pPr>
        <w:rPr>
          <w:rFonts w:hint="eastAsia"/>
          <w:lang w:val="en-US" w:eastAsia="zh-CN"/>
        </w:rPr>
      </w:pPr>
    </w:p>
    <w:p>
      <w:pPr>
        <w:rPr>
          <w:rFonts w:hint="eastAsia"/>
          <w:lang w:val="en-US" w:eastAsia="zh-CN"/>
        </w:rPr>
      </w:pPr>
      <w:r>
        <w:rPr>
          <w:rFonts w:hint="eastAsia"/>
          <w:lang w:val="en-US" w:eastAsia="zh-CN"/>
        </w:rPr>
        <w:br w:type="page"/>
      </w:r>
    </w:p>
    <w:p>
      <w:pPr>
        <w:jc w:val="center"/>
        <w:outlineLvl w:val="1"/>
        <w:rPr>
          <w:rFonts w:asciiTheme="minorEastAsia" w:hAnsiTheme="minorEastAsia" w:eastAsiaTheme="minorEastAsia" w:cstheme="minorEastAsia"/>
          <w:b/>
          <w:bCs/>
          <w:sz w:val="31"/>
          <w:szCs w:val="31"/>
        </w:rPr>
      </w:pPr>
      <w:r>
        <w:rPr>
          <w:rFonts w:hint="eastAsia" w:asciiTheme="minorEastAsia" w:hAnsiTheme="minorEastAsia" w:eastAsiaTheme="minorEastAsia" w:cstheme="minorEastAsia"/>
          <w:b/>
          <w:bCs/>
          <w:spacing w:val="18"/>
          <w:sz w:val="31"/>
          <w:szCs w:val="31"/>
        </w:rPr>
        <w:t>第</w:t>
      </w:r>
      <w:r>
        <w:rPr>
          <w:rFonts w:hint="eastAsia" w:asciiTheme="minorEastAsia" w:hAnsiTheme="minorEastAsia" w:eastAsiaTheme="minorEastAsia" w:cstheme="minorEastAsia"/>
          <w:b/>
          <w:bCs/>
          <w:spacing w:val="9"/>
          <w:sz w:val="31"/>
          <w:szCs w:val="31"/>
        </w:rPr>
        <w:t>四部分 投标人须知正文部分</w:t>
      </w:r>
      <w:bookmarkEnd w:id="6"/>
    </w:p>
    <w:p>
      <w:pPr>
        <w:spacing w:line="262" w:lineRule="auto"/>
        <w:rPr>
          <w:rFonts w:asciiTheme="minorEastAsia" w:hAnsiTheme="minorEastAsia" w:eastAsiaTheme="minorEastAsia" w:cstheme="minorEastAsia"/>
        </w:rPr>
      </w:pP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一、总则</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1.1、适用法律</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本次招标采购适用的主要法律法规为《中华人民共和国政府采购法》、《中华人民共和国民法典》、《中华人民共和国政府采购法实施条例》等。</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1.2、定义</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1.2.1 “采购人(招标人)”：指本项目采购单位；</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1.2.2 “代理机构”：指受采购人委托的有代理资质的第三方机构；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1.2.3 “供应商(投标人)”系指向招标采购单位提交投标文件的供应商；</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1.2.4 “中标人(成交人)”系指被确定为承接本项目并负责其实施的投标人(供应商)；</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1.2.5“货物”系指供应商按招标文件要求，须向采购人提供的货物内容及相应资料；包括手册及其它有关技术资料；</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1.2.6“服务”指招标文件中规定的供应商须承担的服务内容。</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1.3、合格的货物和服务：</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供应商须提供符合国家质量标准，相关行业强制执行标准的全新货物及采购人要求的与采购货物相配套的技术服务。</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1.4、投标人应具</w:t>
      </w:r>
      <w:r>
        <w:rPr>
          <w:rFonts w:hint="eastAsia" w:ascii="宋体" w:hAnsi="宋体" w:eastAsia="宋体" w:cs="宋体"/>
          <w:sz w:val="24"/>
          <w:szCs w:val="24"/>
        </w:rPr>
        <w:t>备的条件：见投标人须知前附表</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1.5、投标人不</w:t>
      </w:r>
      <w:r>
        <w:rPr>
          <w:rFonts w:hint="eastAsia" w:ascii="宋体" w:hAnsi="宋体" w:eastAsia="宋体" w:cs="宋体"/>
          <w:sz w:val="24"/>
          <w:szCs w:val="24"/>
        </w:rPr>
        <w:t>得存在下列情形之一</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1.5.1 为招标人不具有独立法人资格的附属机构(单位) ；</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1.5.2 为本项目前期准备提供咨询服务的；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1.5.3 为本项目提供招标代理服务的；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1.5.4 被责令停业的；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1.5.5 被暂停或取消投标资格的；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1.5.6 财产被接管或冻结的；</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1.5.7 在最近三年内有骗取中标或严重违约或重大质量问题的。</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1.6、费</w:t>
      </w:r>
      <w:r>
        <w:rPr>
          <w:rFonts w:hint="eastAsia" w:ascii="宋体" w:hAnsi="宋体" w:eastAsia="宋体" w:cs="宋体"/>
          <w:spacing w:val="-1"/>
          <w:sz w:val="24"/>
          <w:szCs w:val="24"/>
        </w:rPr>
        <w:t>用承担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投标人准备和参加投标活动发生的一切费用自理，不论投标结果如何，招标人概不负责。</w:t>
      </w:r>
    </w:p>
    <w:p>
      <w:pPr>
        <w:spacing w:line="360" w:lineRule="auto"/>
        <w:ind w:firstLine="464" w:firstLineChars="200"/>
        <w:jc w:val="both"/>
        <w:rPr>
          <w:rFonts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7、保密</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参与</w:t>
      </w:r>
      <w:r>
        <w:rPr>
          <w:rFonts w:hint="eastAsia" w:ascii="宋体" w:hAnsi="宋体" w:eastAsia="宋体" w:cs="宋体"/>
          <w:sz w:val="24"/>
          <w:szCs w:val="24"/>
        </w:rPr>
        <w:t>招标投标活动的各方应对招标文件和投标文件中的商业和技术等秘密保密，违者应对由此造成的</w:t>
      </w:r>
      <w:r>
        <w:rPr>
          <w:rFonts w:hint="eastAsia" w:ascii="宋体" w:hAnsi="宋体" w:eastAsia="宋体" w:cs="宋体"/>
          <w:spacing w:val="-4"/>
          <w:sz w:val="24"/>
          <w:szCs w:val="24"/>
        </w:rPr>
        <w:t>后果</w:t>
      </w:r>
      <w:r>
        <w:rPr>
          <w:rFonts w:hint="eastAsia" w:ascii="宋体" w:hAnsi="宋体" w:eastAsia="宋体" w:cs="宋体"/>
          <w:spacing w:val="-2"/>
          <w:sz w:val="24"/>
          <w:szCs w:val="24"/>
        </w:rPr>
        <w:t>承担法律责任。</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1.8、语言文字</w:t>
      </w:r>
    </w:p>
    <w:p>
      <w:pPr>
        <w:spacing w:line="360" w:lineRule="auto"/>
        <w:ind w:firstLine="456" w:firstLineChars="200"/>
        <w:jc w:val="both"/>
        <w:rPr>
          <w:rFonts w:ascii="宋体" w:hAnsi="宋体" w:eastAsia="宋体" w:cs="宋体"/>
          <w:sz w:val="24"/>
          <w:szCs w:val="24"/>
        </w:rPr>
      </w:pPr>
      <w:r>
        <w:rPr>
          <w:rFonts w:hint="eastAsia" w:ascii="宋体" w:hAnsi="宋体" w:eastAsia="宋体" w:cs="宋体"/>
          <w:spacing w:val="-6"/>
          <w:sz w:val="24"/>
          <w:szCs w:val="24"/>
        </w:rPr>
        <w:t>除专用术语</w:t>
      </w:r>
      <w:r>
        <w:rPr>
          <w:rFonts w:hint="eastAsia" w:ascii="宋体" w:hAnsi="宋体" w:eastAsia="宋体" w:cs="宋体"/>
          <w:spacing w:val="-4"/>
          <w:sz w:val="24"/>
          <w:szCs w:val="24"/>
        </w:rPr>
        <w:t>外</w:t>
      </w:r>
      <w:r>
        <w:rPr>
          <w:rFonts w:hint="eastAsia" w:ascii="宋体" w:hAnsi="宋体" w:eastAsia="宋体" w:cs="宋体"/>
          <w:spacing w:val="-3"/>
          <w:sz w:val="24"/>
          <w:szCs w:val="24"/>
        </w:rPr>
        <w:t>，与招标投标有关的语言均使用中文。必要时专用术语应附有中文注释。</w:t>
      </w:r>
    </w:p>
    <w:p>
      <w:pPr>
        <w:spacing w:line="360" w:lineRule="auto"/>
        <w:ind w:firstLine="468" w:firstLineChars="200"/>
        <w:jc w:val="both"/>
        <w:rPr>
          <w:rFonts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.9、计量单位</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所有计</w:t>
      </w:r>
      <w:r>
        <w:rPr>
          <w:rFonts w:hint="eastAsia" w:ascii="宋体" w:hAnsi="宋体" w:eastAsia="宋体" w:cs="宋体"/>
          <w:sz w:val="24"/>
          <w:szCs w:val="24"/>
        </w:rPr>
        <w:t>量均采用中华人民共和国法定计量单位。</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1.10、踏勘现场</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本项目不组织现场踏勘</w:t>
      </w:r>
      <w:r>
        <w:rPr>
          <w:rFonts w:hint="eastAsia" w:ascii="宋体" w:hAnsi="宋体" w:eastAsia="宋体" w:cs="宋体"/>
          <w:spacing w:val="-1"/>
          <w:sz w:val="24"/>
          <w:szCs w:val="24"/>
        </w:rPr>
        <w:t>。</w:t>
      </w:r>
    </w:p>
    <w:p>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1.11、</w:t>
      </w:r>
      <w:r>
        <w:rPr>
          <w:rFonts w:hint="eastAsia" w:ascii="宋体" w:hAnsi="宋体" w:eastAsia="宋体" w:cs="宋体"/>
          <w:sz w:val="24"/>
          <w:szCs w:val="24"/>
        </w:rPr>
        <w:t>投标预备会</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本项目不召开预备会。</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1.12、分包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本项目不接受任何分包。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1.13、偏离</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投标文件对招标文件的全部偏差，均应在投标文件的商务和技术偏差表中列明。</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二、招标文件</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.1、招标文件构成</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要求提供的货物和服务、招标过程、合同条件和技术要求在招标文件中均有说明。招标文件的内容如下：</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第一部分 招标公告</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第二部分 投标人须知</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第三部分 投标人须知正文部分</w:t>
      </w:r>
    </w:p>
    <w:p>
      <w:pPr>
        <w:spacing w:line="360" w:lineRule="auto"/>
        <w:ind w:firstLine="476" w:firstLineChars="200"/>
        <w:jc w:val="both"/>
        <w:rPr>
          <w:rFonts w:eastAsia="宋体"/>
        </w:rPr>
      </w:pPr>
      <w:r>
        <w:rPr>
          <w:rFonts w:hint="eastAsia" w:ascii="宋体" w:hAnsi="宋体" w:eastAsia="宋体" w:cs="宋体"/>
          <w:spacing w:val="-1"/>
          <w:sz w:val="24"/>
          <w:szCs w:val="24"/>
        </w:rPr>
        <w:t>第四部分 项目采购内容及技术要求</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第五部分 合同格式</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第六部分 标投标文件格式</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2.2、招标文件的澄清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2.2.1 投标人应仔细阅读和检查招标文件的全部内容。如发现缺页或附件不全或者有其他疑问，应及时向招标人(或代理机构)提出，以便补齐。如有疑问，</w:t>
      </w:r>
      <w:r>
        <w:rPr>
          <w:rFonts w:ascii="宋体" w:hAnsi="宋体" w:eastAsia="宋体" w:cs="宋体"/>
          <w:sz w:val="24"/>
          <w:szCs w:val="24"/>
        </w:rPr>
        <w:t>应按</w:t>
      </w:r>
      <w:r>
        <w:rPr>
          <w:rFonts w:hint="eastAsia" w:ascii="宋体" w:hAnsi="宋体" w:eastAsia="宋体" w:cs="宋体"/>
          <w:sz w:val="24"/>
          <w:szCs w:val="24"/>
        </w:rPr>
        <w:t>投标人</w:t>
      </w:r>
      <w:r>
        <w:rPr>
          <w:rFonts w:ascii="宋体" w:hAnsi="宋体" w:eastAsia="宋体" w:cs="宋体"/>
          <w:sz w:val="24"/>
          <w:szCs w:val="24"/>
        </w:rPr>
        <w:t>须知前附表规定的时间</w:t>
      </w:r>
      <w:r>
        <w:rPr>
          <w:rFonts w:hint="eastAsia" w:ascii="宋体" w:hAnsi="宋体" w:eastAsia="宋体" w:cs="宋体"/>
          <w:sz w:val="24"/>
          <w:szCs w:val="24"/>
        </w:rPr>
        <w:t>以书面形式(加盖单位公章且法人签字)由法定代表人或其原授权代表携带企业营业执照副本(原件)及本人身份证件(原件)向招标人和招标代理机构提出(邮件、传真件不予受理)，要求招标人(或代理机构)对招标文件予以澄清。投标人在规定时间内未对招标文件提出澄清要求，视为投标人全部认同招标文件。</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2.2.2 招标文件的澄清将在投标人须知前附表规定的投标截止时间15天前以公告形式通知投标人，但不指明澄清问题的来源。澄清发出的时间距投标截止时间不足 15 日的，并且澄清内容可能影响投标文件编制的，将相应延长投标截止时间。</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2.3、招标文件的修改</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在投标截止时间15天前，招标人可以书面形式修改招标文件，并以公告形式通知投标人。</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2.4、质疑</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潜在供应商已依法获取其可质疑的采购文件的，可以对该文件提出质疑。对采购文件提出质疑的，应当在获取采购文件或者采购文件公告期限届满之日起7个工作日内提出，供应商在法定质疑期内一次性提出针对同一采购程序环节的质疑。质疑函须按照财政部发布的质疑函范本格式提交，不符合格式要求的将被拒绝接收。</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采购人、采购代理机构不得拒收质疑供应商在法定质疑期内发出的质疑函，应当在收到质疑函后7个工作日内作出答复，并以书面形式通知质疑供应商和其他有关供应商。具体参照中华人民共和国财政部令第94号--《政府采购质疑和投诉办法》。超出法定质疑期的、重复提出的、分次提出的或内容、形式不符合《政府采购质疑和投诉办法》的，质疑供应商将依法承担不利后果。</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2.5、政府采购项目实行网上受理，开标前所有信息保密。因此，发布的一切公告信息（ 包括采购公告、变更公告、澄清公告等）均在“河南省政府采购网”、“唐河县公共资源交 易中心网”等媒体发布，请潜在投标供应商随时查询有关公告信息。若因潜在投标供应商没 有及时查看到公告信息而造成的投标失误，责任自负。</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三</w:t>
      </w:r>
      <w:r>
        <w:rPr>
          <w:rFonts w:hint="eastAsia" w:ascii="宋体" w:hAnsi="宋体" w:eastAsia="宋体" w:cs="宋体"/>
          <w:sz w:val="24"/>
          <w:szCs w:val="24"/>
        </w:rPr>
        <w:t>、投标文件</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3.1、投标的语言</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投标人提交的投标文件以及投标人与招标人就有关投标的所有来往函电均应使用中文书写。</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3.2、投标文件构成</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投标人编写的投标文件应包括下列内容(不限于)：</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1）投标函</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2）法定代表人身份证明</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3）授权委托书</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4）项目清单报价表</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5）售后服务计划</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6）供货安装方案及培训方案</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7）其他资料</w:t>
      </w:r>
    </w:p>
    <w:p>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3.3、投标文件的编制</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3.3.1 投标文件应按招标文件提供的“投标文件格式”进行编写，如有必要，可以增加附页，作为投标文件的组成部分。其中，投标文件中的开标一览表在满足招标文件实质性要求的基础上，可以提出比招标文件要求更有利于招标人的承诺。</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3.3.2 投标文件应当对招标文件有关供货期、投标有效期、质量要求、技术标准和要求、招标范围等实质性内容作出响应。</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3.3.3 投标文件电子签章的具体要求见投标人须知前附表。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3.3.4 投标文件份数详见投标人须知前附表。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3.3.5 不允许递交备选投标方案。</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z w:val="24"/>
          <w:szCs w:val="24"/>
        </w:rPr>
        <w:t>、投标报价</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3.4.1 投标人根据招标人提供的有关资料、招标文件及招标文件补充答疑，结合本项目实际情况和市场行情自主合理报价,投标人在预算价的基础上确定投标报价，投标报价不得低于企业实际成本。</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3.4.2 本次投标报价为采购范围内固定总价方式。投标报价包括全部费用，应计算的项目若无计取，则视为包含在报价内。</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3.4.3 投标报价应包含全部货物及服务正式交付使用所发生的一切费用。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3.4.4 如投标人报价表中的大写金额和小写金额不一致的，以大写金额为准；总金额与单价金额不一致的，以单价金额为准。全部报价均以人民币为计量币种，并以人民币进行结算。</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3.4.5 投标人应仔细审阅招标文件中的全部内容，如有不明确的，须在答疑时以书面形式提出，由招标人明确；否则视为投标人在投标报价中已完善计入。</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3.5、</w:t>
      </w:r>
      <w:r>
        <w:rPr>
          <w:rFonts w:hint="eastAsia" w:ascii="宋体" w:hAnsi="宋体" w:eastAsia="宋体" w:cs="宋体"/>
          <w:sz w:val="24"/>
          <w:szCs w:val="24"/>
        </w:rPr>
        <w:t>投标保证金</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本项</w:t>
      </w:r>
      <w:r>
        <w:rPr>
          <w:rFonts w:hint="eastAsia" w:ascii="宋体" w:hAnsi="宋体" w:eastAsia="宋体" w:cs="宋体"/>
          <w:sz w:val="24"/>
          <w:szCs w:val="24"/>
        </w:rPr>
        <w:t>目不收取投标保证金。</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3.6、投标</w:t>
      </w:r>
      <w:r>
        <w:rPr>
          <w:rFonts w:hint="eastAsia" w:ascii="宋体" w:hAnsi="宋体" w:eastAsia="宋体" w:cs="宋体"/>
          <w:sz w:val="24"/>
          <w:szCs w:val="24"/>
        </w:rPr>
        <w:t>有效期</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3.6.1 投标有效期为投标截止之日起60天。</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3.6.2 如遇特殊情况，招标方可在投标有效期期满前，要求供应商延长其投标有效期。供应商可以拒绝或同意上述要求，延长有效期的要求与答复均为书面形式。不同意上述要求的供应商将视为自动放弃投标。</w:t>
      </w:r>
    </w:p>
    <w:p>
      <w:pPr>
        <w:spacing w:line="360" w:lineRule="auto"/>
        <w:ind w:firstLine="456" w:firstLineChars="200"/>
        <w:jc w:val="both"/>
        <w:rPr>
          <w:rFonts w:ascii="宋体" w:hAnsi="宋体" w:eastAsia="宋体" w:cs="宋体"/>
          <w:sz w:val="24"/>
          <w:szCs w:val="24"/>
        </w:rPr>
      </w:pPr>
      <w:r>
        <w:rPr>
          <w:rFonts w:hint="eastAsia" w:ascii="宋体" w:hAnsi="宋体" w:eastAsia="宋体" w:cs="宋体"/>
          <w:spacing w:val="-6"/>
          <w:sz w:val="24"/>
          <w:szCs w:val="24"/>
        </w:rPr>
        <w:t>四</w:t>
      </w:r>
      <w:r>
        <w:rPr>
          <w:rFonts w:hint="eastAsia" w:ascii="宋体" w:hAnsi="宋体" w:eastAsia="宋体" w:cs="宋体"/>
          <w:spacing w:val="-4"/>
          <w:sz w:val="24"/>
          <w:szCs w:val="24"/>
        </w:rPr>
        <w:t>、投标</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4.1、</w:t>
      </w:r>
      <w:r>
        <w:rPr>
          <w:rFonts w:hint="eastAsia" w:ascii="宋体" w:hAnsi="宋体" w:eastAsia="宋体" w:cs="宋体"/>
          <w:color w:val="0C0C0C"/>
          <w:sz w:val="24"/>
          <w:szCs w:val="24"/>
        </w:rPr>
        <w:t>投标文件的递交</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4.1.1 电子投标文件备份 U 盘的要求:见投标人须知前附表。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4.1.2 电子投标文件的递交：见投标人须知前附表。</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4.2、电子投</w:t>
      </w:r>
      <w:r>
        <w:rPr>
          <w:rFonts w:hint="eastAsia" w:ascii="宋体" w:hAnsi="宋体" w:eastAsia="宋体" w:cs="宋体"/>
          <w:color w:val="0C0C0C"/>
          <w:sz w:val="24"/>
          <w:szCs w:val="24"/>
        </w:rPr>
        <w:t>标文件的修改与撤回</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4.2.1 投标人可以在投标截止期之前修改电子</w:t>
      </w:r>
      <w:r>
        <w:rPr>
          <w:rFonts w:hint="eastAsia" w:ascii="宋体" w:hAnsi="宋体" w:eastAsia="宋体" w:cs="宋体"/>
          <w:color w:val="0C0C0C"/>
          <w:sz w:val="24"/>
          <w:szCs w:val="24"/>
        </w:rPr>
        <w:t>投标文件。</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4.2.2 在投标截止期后不能修改及撤回其电子</w:t>
      </w:r>
      <w:r>
        <w:rPr>
          <w:rFonts w:hint="eastAsia" w:ascii="宋体" w:hAnsi="宋体" w:eastAsia="宋体" w:cs="宋体"/>
          <w:color w:val="0C0C0C"/>
          <w:sz w:val="24"/>
          <w:szCs w:val="24"/>
        </w:rPr>
        <w:t>投标文件。</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五、开</w:t>
      </w:r>
      <w:r>
        <w:rPr>
          <w:rFonts w:hint="eastAsia" w:ascii="宋体" w:hAnsi="宋体" w:eastAsia="宋体" w:cs="宋体"/>
          <w:sz w:val="24"/>
          <w:szCs w:val="24"/>
        </w:rPr>
        <w:t>标与评标</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z w:val="24"/>
          <w:szCs w:val="24"/>
        </w:rPr>
        <w:t>1、开标时间及地点</w:t>
      </w:r>
    </w:p>
    <w:p>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5.1.1 开标时间：详见投标人须知前附表</w:t>
      </w:r>
    </w:p>
    <w:p>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5.1.2 开标地点：详见投标人须知前附表</w:t>
      </w:r>
    </w:p>
    <w:p>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5.1.3 供应商应派法定代表人或授权委托人持本公司 CA 数字证书可在不见面开标大厅中参加开标会议。</w:t>
      </w:r>
    </w:p>
    <w:p>
      <w:pPr>
        <w:spacing w:line="360" w:lineRule="auto"/>
        <w:ind w:firstLine="476"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5.2、</w:t>
      </w:r>
      <w:r>
        <w:rPr>
          <w:rFonts w:hint="eastAsia" w:ascii="宋体" w:hAnsi="宋体" w:eastAsia="宋体" w:cs="宋体"/>
          <w:color w:val="0C0C0C"/>
          <w:sz w:val="24"/>
          <w:szCs w:val="24"/>
        </w:rPr>
        <w:t>开标程序</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5.2.1、投标人代表持本单位 CA 数字证书提前登录不见面开标系统。</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5.2.2、开标时间到，在线公布投标人、招标人代表、监标人等有关名单。</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5.2.3、开标顺序：按电子投标文件到达交易系统的先后顺序，分标段进行开标。</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5.2.4、投标单位在线确认开标结果并提交电子签章，在规定时限内（30分钟内）未作确认的视为默认开标结果。采购人代表、监督人、记录人等有关人员在开标记录上签字确认。</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5.2.5、代理机构在开标结束后将招标文件和有效电子投标文件导入评标系统。</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5.2.6、评标委员会将审查每一份投标文件是否对招标文件提出的所有实质性要求和条件作出响应。未能在实质上响应的投标，将作为无效标处理。实质上未响应是指：</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未按招标文件规定签章的；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未按招标文件规定的格式填写，内容不完整或无法辨认的；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投标人资格条件不符合国家规定和招标文件要求的；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 违反国家强制性标准的；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投标文件附有招标人不能接受的条件的；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 对同一标段递交内容不同的投标文件(一标多投)，或在一份投标文件中对同一标段报有两个(含两个)以上报价的；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 以他人名义投标、串通投标、弄虚作假的；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 投标人名称、组织机构等重要人员与报名时不一致的；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(9) 超出招标文件规定及违反国家有关规定的；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(10) 投标报价高出本标段最高投标限价的；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(11) 招标文件规定的其它情况。</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5.2.7、评标和决标过程的保密</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开标后至招标人公布中标结果之前，有关投标文件的检查、澄清、评比和定标等信息对与本过程无关的投标人及其他人员保密。投标人不应对招标人或有关人员施加影响和试图获取评标信息，违者导致被取消中标资格。</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5.2.8、投标文件的澄清</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为了有助于投标文件的检查和评审，招标人可以单独要求投标人澄清其投标文件。招标的澄清要求和投标人的答复均应采用书面形式。除了规定改正算术错误外，投标人不得修改投标报价和投标文件中的其它实质性内容。</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投标人以书面形式澄清的问题，需由投标人法定代表人或其委托代理人签字确认后作为投标文件的组成部分，提交一式两份。投标人未按评标委员会的澄清要求进行澄清的，评标委员会可以不对其投标文件继续评审。</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5.2.9、投标文件的检查和响应性评定</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在评审时，招标人将首先审定投标文件是否在实质上影响了招标文件的要求。招标人对投标响应性的鉴定将基于投标文件的本身内容。</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实质上响应招标文件要求的投标文件应该与招标文件所有条款、条件和规范相符，无重大偏关或保留。所谓重大偏差和保留是指：</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①、对投标范围和内容有实质性的偏离；</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②、对设备质量或使用性能产生不利影响；</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③、对合同中规定的双方的权利和义务作实质性的修改；</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④、纠正这种偏差或保留，将会对其他响应要求的投标人竞争产生不公正的影响。</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5.2.10、如果投标文件实质上没有响应招标文件的要求，招标人将予以拒绝。也不再允许投标人改正或撤回这些不符合要求的偏差与保留。</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5.2.11、在评标过程中评标委员会发现投标人以他人的名义投标、串通投标、以行贿手段谋取中标或者以其他弄虚作假方式投标的，该投标人的投标文件作无效标处理。</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5.2.12、在评标过程中，评标委员会发现投标人的报价明显低于其他投标报价或者明显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5.2.13 投标人资格条件不符合国家有关规定和招标文件要求的，或者拒不按照要求对投标文件进行澄清、说明或者补正的，评标委员会将否决其投标。</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5.3、</w:t>
      </w:r>
      <w:r>
        <w:rPr>
          <w:rFonts w:hint="eastAsia" w:ascii="宋体" w:hAnsi="宋体" w:eastAsia="宋体" w:cs="宋体"/>
          <w:color w:val="0C0C0C"/>
          <w:sz w:val="24"/>
          <w:szCs w:val="24"/>
        </w:rPr>
        <w:t>开标异议</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投标人对开标有异议的，应当在开标现场提出，招标人当场作出答复，并制作记录。</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评标</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.1、评标委员会</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6.1.2 评标委员会成员有下列情形之一的，应当回避：</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投标人或投标人主要负责人的近亲属；</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项目主管部门或者行政监督部门的人员；</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与投标人有经济利益关系；</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(4)曾因在招标、评标以及其他与招标投标有关活动中从事违法行为而受过行政处罚或刑事处罚的；</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与投标人有其他利害关系。</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2评标原则</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评标活动遵循公平、公正、科学和择优的原则。</w:t>
      </w:r>
    </w:p>
    <w:p>
      <w:pPr>
        <w:spacing w:line="360" w:lineRule="auto"/>
        <w:ind w:firstLine="476"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6.3、</w:t>
      </w:r>
      <w:r>
        <w:rPr>
          <w:rFonts w:hint="eastAsia" w:ascii="宋体" w:hAnsi="宋体" w:eastAsia="宋体" w:cs="宋体"/>
          <w:color w:val="0C0C0C"/>
          <w:sz w:val="24"/>
          <w:szCs w:val="24"/>
        </w:rPr>
        <w:t>评标</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评标委员会按照“评标办法”规定的方法、评审因素、标准和程序对投标文件进行评审。“评标办法”没有规定的方法、评审因素和标准，不作为评标依据。</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7.合同授予</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7.1、定标原则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根据《中华人民共和国政府采购法》的规定，评标委员会应推荐得分最高的为第一中标候选人。若供应商评审得分相同的，推荐报价较低的投标人为第一中标候选人。若投标报价也相等的，按技术得分高者为第一中标候选人。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7.2、定标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7.2.1 通过对各投标文件进行详细评审并完成评分后，向采购人提交书面评标报告。评标报告中按照投标文件最终得分由高到低进行排序，并向采购人推荐3名作为中标候选人。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7.2.2 采购人对评标小组推荐的</w:t>
      </w:r>
      <w:r>
        <w:rPr>
          <w:rFonts w:hint="eastAsia" w:ascii="宋体" w:hAnsi="宋体" w:eastAsia="宋体" w:cs="宋体"/>
          <w:sz w:val="24"/>
          <w:szCs w:val="24"/>
        </w:rPr>
        <w:t>中标</w:t>
      </w:r>
      <w:r>
        <w:rPr>
          <w:rFonts w:hint="eastAsia" w:ascii="宋体" w:hAnsi="宋体" w:eastAsia="宋体" w:cs="宋体"/>
          <w:color w:val="0C0C0C"/>
          <w:sz w:val="24"/>
          <w:szCs w:val="24"/>
        </w:rPr>
        <w:t>候选人进行选择，原则上第一名</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，如第一名提出不能履行合同或者放弃中标资格，向下顺延确定一名中标人。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7.2.3 当送达的投标文件不足3份或评标结果全为无效标时；及经过评审，若所有的供应商均未能通过符合性审查，招标方可在取得采购监督人同意后宣布本次招标失败，并通知各供应商。采购人根据相关规定重新组织招标。 </w:t>
      </w:r>
    </w:p>
    <w:p>
      <w:pPr>
        <w:spacing w:line="360" w:lineRule="auto"/>
        <w:ind w:firstLine="484"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 xml:space="preserve">7.3、其他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7.3.1 除投标报价外的其他项内容的评审首先由评标小组的各成员自主打分，汇总时在自主打分的记分结果中，进行算术平均，以算术平均值作为该项的最终加、减分值。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7.3.2 计分按四舍五入取至小数点后二位。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7.3.3 在评标过程中，如发现本办法中条款与供应商须知中相关条款不一致，以本办法中的相关条款为准。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7.3.4 供应商必须对所提供资料的真实性负责，被推荐为</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候选人后，经采购人证实为提供虚假证明材料骗取中标的，除取消其中标资格外，还应赔偿采购人及代理机构的相关损失。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7.3.5 无论供应商</w:t>
      </w:r>
      <w:r>
        <w:rPr>
          <w:rFonts w:hint="eastAsia" w:ascii="宋体" w:hAnsi="宋体" w:eastAsia="宋体" w:cs="宋体"/>
          <w:sz w:val="24"/>
          <w:szCs w:val="24"/>
        </w:rPr>
        <w:t>中标</w:t>
      </w:r>
      <w:r>
        <w:rPr>
          <w:rFonts w:hint="eastAsia" w:ascii="宋体" w:hAnsi="宋体" w:eastAsia="宋体" w:cs="宋体"/>
          <w:color w:val="0C0C0C"/>
          <w:sz w:val="24"/>
          <w:szCs w:val="24"/>
        </w:rPr>
        <w:t xml:space="preserve">与否，评标委员会、采购人、采购代理机构和有关监督部门就评标过程中涉及的有关内容和细节均不予以解释、澄清和透露，否则当事人应承担相应的后果。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7.3.6 本办法仅适用于</w:t>
      </w:r>
      <w:r>
        <w:rPr>
          <w:rFonts w:hint="eastAsia" w:ascii="宋体" w:hAnsi="宋体" w:eastAsia="宋体" w:cs="宋体"/>
          <w:color w:val="0C0C0C"/>
          <w:sz w:val="24"/>
          <w:szCs w:val="24"/>
          <w:lang w:eastAsia="zh-CN"/>
        </w:rPr>
        <w:t>唐河县妇幼保健院购置四维彩超、麻醉机等医疗设备项目</w:t>
      </w:r>
      <w:r>
        <w:rPr>
          <w:rFonts w:hint="eastAsia" w:ascii="宋体" w:hAnsi="宋体" w:eastAsia="宋体" w:cs="宋体"/>
          <w:color w:val="0C0C0C"/>
          <w:sz w:val="24"/>
          <w:szCs w:val="24"/>
        </w:rPr>
        <w:t xml:space="preserve">的招标工作。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7.3.7 本招标文件未尽事宜按现行招标投标的有关法律法规和规定执行。如投标单位在本次投标活动中有违反相关法律法规的将根据相关法律法规和规定对其进行处罚。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7.3.8 本招标文件时根据国家有关规定和参照国际惯例编制，解释权属采购人。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7.4、中标通知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7.4.1 中标供应商确定后，由招标方向其签发《中标通知书》。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7.4.2 《中标通知书》将作为签订合同的重要依据，对采购人与中标供应商具有法律效力。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7.5、签订合同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7.5.1 、招标人和中标人应当自中标通知书发出之日起1个工作</w:t>
      </w:r>
      <w:r>
        <w:rPr>
          <w:rFonts w:ascii="宋体" w:hAnsi="宋体" w:eastAsia="宋体" w:cs="宋体"/>
          <w:color w:val="0C0C0C"/>
          <w:sz w:val="24"/>
          <w:szCs w:val="24"/>
        </w:rPr>
        <w:t>日内</w:t>
      </w:r>
      <w:r>
        <w:rPr>
          <w:rFonts w:hint="eastAsia" w:ascii="宋体" w:hAnsi="宋体" w:eastAsia="宋体" w:cs="宋体"/>
          <w:color w:val="0C0C0C"/>
          <w:sz w:val="24"/>
          <w:szCs w:val="24"/>
        </w:rPr>
        <w:t>，根据招标文件和中标人的投标文件订立书面合同。中标人无正当理由拒签合同的，招标人取消其中标资格，给招标人造成的损失，中标人还应予以赔偿。</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7.5.2 招标文件、投标文件、供应商在开标过程中的补充确认材料以及《</w:t>
      </w:r>
      <w:r>
        <w:rPr>
          <w:rFonts w:hint="eastAsia" w:ascii="宋体" w:hAnsi="宋体" w:eastAsia="宋体" w:cs="宋体"/>
          <w:sz w:val="24"/>
          <w:szCs w:val="24"/>
        </w:rPr>
        <w:t>中标</w:t>
      </w:r>
      <w:r>
        <w:rPr>
          <w:rFonts w:hint="eastAsia" w:ascii="宋体" w:hAnsi="宋体" w:eastAsia="宋体" w:cs="宋体"/>
          <w:color w:val="0C0C0C"/>
          <w:sz w:val="24"/>
          <w:szCs w:val="24"/>
        </w:rPr>
        <w:t xml:space="preserve">通知书》，均作为合同签订的依据。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7.5.3 如果中标人不按其响应性文件承诺和招标文件要求签订合同，招标方将取消其中标资格，并另定中标供应商。 </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7.6、履约保证金：无</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color w:val="0C0C0C"/>
          <w:sz w:val="24"/>
          <w:szCs w:val="24"/>
        </w:rPr>
        <w:t>8.纪律和监督</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8.1、</w:t>
      </w:r>
      <w:r>
        <w:rPr>
          <w:rFonts w:hint="eastAsia" w:ascii="宋体" w:hAnsi="宋体" w:eastAsia="宋体" w:cs="宋体"/>
          <w:color w:val="0C0C0C"/>
          <w:sz w:val="24"/>
          <w:szCs w:val="24"/>
        </w:rPr>
        <w:t>对招标人的纪律要求</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招标人不得泄漏招标投标活动中应当保密的情况和资料，不得与投标人串通损害国家利益、社会公共利益或者他人合法权益。</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8.2、</w:t>
      </w:r>
      <w:r>
        <w:rPr>
          <w:rFonts w:hint="eastAsia" w:ascii="宋体" w:hAnsi="宋体" w:eastAsia="宋体" w:cs="宋体"/>
          <w:color w:val="0C0C0C"/>
          <w:sz w:val="24"/>
          <w:szCs w:val="24"/>
        </w:rPr>
        <w:t>对投标人的纪律要求</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8.3、对评标</w:t>
      </w:r>
      <w:r>
        <w:rPr>
          <w:rFonts w:hint="eastAsia" w:ascii="宋体" w:hAnsi="宋体" w:eastAsia="宋体" w:cs="宋体"/>
          <w:color w:val="0C0C0C"/>
          <w:sz w:val="24"/>
          <w:szCs w:val="24"/>
        </w:rPr>
        <w:t>委员会成员的纪律要求</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spacing w:line="360" w:lineRule="auto"/>
        <w:ind w:firstLine="484"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8.</w:t>
      </w:r>
      <w:r>
        <w:rPr>
          <w:rFonts w:hint="eastAsia" w:ascii="宋体" w:hAnsi="宋体" w:eastAsia="宋体" w:cs="宋体"/>
          <w:color w:val="0C0C0C"/>
          <w:sz w:val="24"/>
          <w:szCs w:val="24"/>
        </w:rPr>
        <w:t>4、对与评标活动有关的工作人员的纪律要求</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与评标活动有关的工作人员不得收受他人的财物或者其他好处，不得向他人透漏对投标文件的评审和 比较、中标候选人的推荐情况以及评标有关的其他情况。在评标活动中，与评标活动有关的工作人员不得擅离职守，影响评标程序正常进行。</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8.5、投诉</w:t>
      </w:r>
    </w:p>
    <w:p>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投标人和其他利害关系人认为本次招标活动违反法律、法规和规章规定的，有权向有关行政监督部门投诉。</w:t>
      </w:r>
    </w:p>
    <w:p>
      <w:pPr>
        <w:spacing w:line="360" w:lineRule="auto"/>
        <w:ind w:firstLine="468" w:firstLineChars="200"/>
        <w:jc w:val="both"/>
        <w:rPr>
          <w:rFonts w:ascii="宋体" w:hAnsi="宋体" w:eastAsia="宋体" w:cs="宋体"/>
          <w:sz w:val="24"/>
          <w:szCs w:val="24"/>
        </w:rPr>
      </w:pPr>
      <w:r>
        <w:rPr>
          <w:rFonts w:hint="eastAsia" w:ascii="宋体" w:hAnsi="宋体" w:eastAsia="宋体" w:cs="宋体"/>
          <w:color w:val="0C0C0C"/>
          <w:spacing w:val="-3"/>
          <w:sz w:val="24"/>
          <w:szCs w:val="24"/>
        </w:rPr>
        <w:t>9.需要补充的其他内容：</w:t>
      </w:r>
    </w:p>
    <w:p>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见投标人须知前附</w:t>
      </w:r>
      <w:r>
        <w:rPr>
          <w:rFonts w:hint="eastAsia" w:ascii="宋体" w:hAnsi="宋体" w:eastAsia="宋体" w:cs="宋体"/>
          <w:color w:val="0C0C0C"/>
          <w:sz w:val="24"/>
          <w:szCs w:val="24"/>
        </w:rPr>
        <w:t>表。</w:t>
      </w:r>
    </w:p>
    <w:p>
      <w:pPr>
        <w:spacing w:line="360" w:lineRule="auto"/>
        <w:ind w:firstLine="464" w:firstLineChars="200"/>
        <w:jc w:val="both"/>
        <w:rPr>
          <w:rFonts w:ascii="宋体" w:hAnsi="宋体" w:eastAsia="宋体" w:cs="宋体"/>
          <w:sz w:val="24"/>
          <w:szCs w:val="24"/>
        </w:rPr>
      </w:pPr>
      <w:r>
        <w:rPr>
          <w:rFonts w:hint="eastAsia" w:ascii="宋体" w:hAnsi="宋体" w:eastAsia="宋体" w:cs="宋体"/>
          <w:color w:val="0C0C0C"/>
          <w:spacing w:val="-4"/>
          <w:sz w:val="24"/>
          <w:szCs w:val="24"/>
        </w:rPr>
        <w:t>10</w:t>
      </w:r>
      <w:r>
        <w:rPr>
          <w:rFonts w:hint="eastAsia" w:ascii="宋体" w:hAnsi="宋体" w:eastAsia="宋体" w:cs="宋体"/>
          <w:color w:val="0C0C0C"/>
          <w:spacing w:val="-3"/>
          <w:sz w:val="24"/>
          <w:szCs w:val="24"/>
        </w:rPr>
        <w:t>．</w:t>
      </w:r>
      <w:r>
        <w:rPr>
          <w:rFonts w:hint="eastAsia" w:ascii="宋体" w:hAnsi="宋体" w:eastAsia="宋体" w:cs="宋体"/>
          <w:color w:val="0C0C0C"/>
          <w:spacing w:val="-2"/>
          <w:sz w:val="24"/>
          <w:szCs w:val="24"/>
        </w:rPr>
        <w:t>电子招标投标</w:t>
      </w:r>
    </w:p>
    <w:p>
      <w:pPr>
        <w:spacing w:line="360" w:lineRule="auto"/>
        <w:ind w:firstLine="488" w:firstLineChars="200"/>
        <w:jc w:val="both"/>
        <w:rPr>
          <w:rFonts w:ascii="宋体" w:hAnsi="宋体" w:eastAsia="宋体" w:cs="宋体"/>
          <w:color w:val="0C0C0C"/>
          <w:spacing w:val="-9"/>
          <w:sz w:val="24"/>
          <w:szCs w:val="24"/>
        </w:rPr>
      </w:pPr>
      <w:r>
        <w:rPr>
          <w:rFonts w:hint="eastAsia" w:ascii="宋体" w:hAnsi="宋体" w:eastAsia="宋体" w:cs="宋体"/>
          <w:color w:val="0C0C0C"/>
          <w:spacing w:val="2"/>
          <w:sz w:val="24"/>
          <w:szCs w:val="24"/>
        </w:rPr>
        <w:t>采用电子招标投标，对投标文件的编制、密封和标记、递交、开标等的具体要求，见投标</w:t>
      </w:r>
      <w:r>
        <w:rPr>
          <w:rFonts w:hint="eastAsia" w:ascii="宋体" w:hAnsi="宋体" w:eastAsia="宋体" w:cs="宋体"/>
          <w:color w:val="0C0C0C"/>
          <w:spacing w:val="1"/>
          <w:sz w:val="24"/>
          <w:szCs w:val="24"/>
        </w:rPr>
        <w:t>人</w:t>
      </w:r>
      <w:r>
        <w:rPr>
          <w:rFonts w:hint="eastAsia" w:ascii="宋体" w:hAnsi="宋体" w:eastAsia="宋体" w:cs="宋体"/>
          <w:color w:val="0C0C0C"/>
          <w:sz w:val="24"/>
          <w:szCs w:val="24"/>
        </w:rPr>
        <w:t>须知前附</w:t>
      </w:r>
      <w:r>
        <w:rPr>
          <w:rFonts w:hint="eastAsia" w:ascii="宋体" w:hAnsi="宋体" w:eastAsia="宋体" w:cs="宋体"/>
          <w:color w:val="0C0C0C"/>
          <w:spacing w:val="-10"/>
          <w:sz w:val="24"/>
          <w:szCs w:val="24"/>
        </w:rPr>
        <w:t>表</w:t>
      </w:r>
      <w:r>
        <w:rPr>
          <w:rFonts w:hint="eastAsia" w:ascii="宋体" w:hAnsi="宋体" w:eastAsia="宋体" w:cs="宋体"/>
          <w:color w:val="0C0C0C"/>
          <w:spacing w:val="-9"/>
          <w:sz w:val="24"/>
          <w:szCs w:val="24"/>
        </w:rPr>
        <w:t>。</w:t>
      </w:r>
    </w:p>
    <w:p>
      <w:pPr>
        <w:spacing w:line="360" w:lineRule="auto"/>
        <w:ind w:firstLine="466" w:firstLineChars="200"/>
        <w:jc w:val="both"/>
        <w:rPr>
          <w:rFonts w:ascii="宋体" w:hAnsi="宋体" w:eastAsia="宋体" w:cs="宋体"/>
          <w:b/>
          <w:bCs/>
          <w:color w:val="0C0C0C"/>
          <w:spacing w:val="-4"/>
          <w:sz w:val="24"/>
          <w:szCs w:val="24"/>
        </w:rPr>
      </w:pPr>
      <w:r>
        <w:rPr>
          <w:rFonts w:hint="eastAsia" w:ascii="宋体" w:hAnsi="宋体" w:eastAsia="宋体" w:cs="宋体"/>
          <w:b/>
          <w:bCs/>
          <w:color w:val="0C0C0C"/>
          <w:spacing w:val="-4"/>
          <w:sz w:val="24"/>
          <w:szCs w:val="24"/>
        </w:rPr>
        <w:t>六、评标办法(综合评分法)</w:t>
      </w:r>
    </w:p>
    <w:p>
      <w:pPr>
        <w:spacing w:line="360" w:lineRule="auto"/>
        <w:ind w:firstLine="466" w:firstLineChars="200"/>
        <w:jc w:val="both"/>
        <w:rPr>
          <w:rFonts w:ascii="宋体" w:hAnsi="宋体" w:eastAsia="宋体" w:cs="宋体"/>
          <w:b/>
          <w:bCs/>
          <w:color w:val="0C0C0C"/>
          <w:spacing w:val="-4"/>
          <w:sz w:val="24"/>
          <w:szCs w:val="24"/>
        </w:rPr>
      </w:pPr>
      <w:r>
        <w:rPr>
          <w:rFonts w:hint="eastAsia" w:ascii="宋体" w:hAnsi="宋体" w:eastAsia="宋体" w:cs="宋体"/>
          <w:b/>
          <w:bCs/>
          <w:color w:val="0C0C0C"/>
          <w:spacing w:val="-4"/>
          <w:sz w:val="24"/>
          <w:szCs w:val="24"/>
        </w:rPr>
        <w:t>评标办法前附表</w:t>
      </w:r>
    </w:p>
    <w:p>
      <w:pPr>
        <w:spacing w:line="25" w:lineRule="exact"/>
      </w:pPr>
    </w:p>
    <w:tbl>
      <w:tblPr>
        <w:tblStyle w:val="30"/>
        <w:tblpPr w:leftFromText="180" w:rightFromText="180" w:vertAnchor="text" w:tblpX="10964" w:tblpY="-127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85" w:type="dxa"/>
          </w:tcPr>
          <w:p>
            <w:pPr>
              <w:widowControl w:val="0"/>
              <w:jc w:val="both"/>
            </w:pPr>
          </w:p>
        </w:tc>
      </w:tr>
    </w:tbl>
    <w:tbl>
      <w:tblPr>
        <w:tblStyle w:val="30"/>
        <w:tblpPr w:leftFromText="180" w:rightFromText="180" w:vertAnchor="text" w:tblpX="10964" w:tblpY="-127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30" w:hRule="atLeast"/>
        </w:trPr>
        <w:tc>
          <w:tcPr>
            <w:tcW w:w="190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945" w:type="dxa"/>
            <w:gridSpan w:val="2"/>
          </w:tcPr>
          <w:p>
            <w:pPr>
              <w:widowControl w:val="0"/>
              <w:jc w:val="both"/>
            </w:pPr>
          </w:p>
        </w:tc>
      </w:tr>
    </w:tbl>
    <w:tbl>
      <w:tblPr>
        <w:tblStyle w:val="30"/>
        <w:tblpPr w:leftFromText="180" w:rightFromText="180" w:vertAnchor="text" w:tblpX="10964" w:tblpY="-10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70" w:type="dxa"/>
          </w:tcPr>
          <w:p>
            <w:pPr>
              <w:widowControl w:val="0"/>
              <w:spacing w:line="25" w:lineRule="exact"/>
              <w:jc w:val="both"/>
            </w:pPr>
          </w:p>
        </w:tc>
      </w:tr>
    </w:tbl>
    <w:tbl>
      <w:tblPr>
        <w:tblStyle w:val="30"/>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614"/>
        <w:gridCol w:w="2214"/>
        <w:gridCol w:w="6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gridSpan w:val="2"/>
            <w:vAlign w:val="center"/>
          </w:tcPr>
          <w:p>
            <w:pPr>
              <w:widowControl/>
              <w:kinsoku/>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条款号</w:t>
            </w:r>
          </w:p>
        </w:tc>
        <w:tc>
          <w:tcPr>
            <w:tcW w:w="2207" w:type="dxa"/>
            <w:vAlign w:val="center"/>
          </w:tcPr>
          <w:p>
            <w:pPr>
              <w:widowControl/>
              <w:kinsoku/>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评审因素</w:t>
            </w:r>
          </w:p>
        </w:tc>
        <w:tc>
          <w:tcPr>
            <w:tcW w:w="6131" w:type="dxa"/>
            <w:vAlign w:val="center"/>
          </w:tcPr>
          <w:p>
            <w:pPr>
              <w:widowControl/>
              <w:kinsoku/>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4"/>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b/>
                <w:bCs/>
              </w:rPr>
              <w:t>2.1 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80"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2.1.1</w:t>
            </w:r>
          </w:p>
        </w:tc>
        <w:tc>
          <w:tcPr>
            <w:tcW w:w="612"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形式评审</w:t>
            </w:r>
            <w:r>
              <w:rPr>
                <w:rFonts w:hint="eastAsia" w:ascii="宋体" w:hAnsi="宋体" w:cs="宋体"/>
              </w:rPr>
              <w:t>标准</w:t>
            </w: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供应商名称</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与企业法人营业执照一致</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 xml:space="preserve">企业诚信库“基本信息”中上传的原件扫描件为准）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pStyle w:val="15"/>
              <w:widowControl w:val="0"/>
              <w:kinsoku/>
              <w:adjustRightInd/>
              <w:snapToGrid/>
              <w:spacing w:line="360" w:lineRule="exact"/>
              <w:jc w:val="center"/>
              <w:textAlignment w:val="auto"/>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cs="宋体"/>
              </w:rPr>
              <w:t>投标</w:t>
            </w:r>
            <w:r>
              <w:rPr>
                <w:rFonts w:hint="eastAsia" w:ascii="宋体" w:hAnsi="宋体" w:eastAsia="宋体" w:cs="宋体"/>
              </w:rPr>
              <w:t>文件签字盖章</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按照</w:t>
            </w:r>
            <w:r>
              <w:rPr>
                <w:rFonts w:hint="eastAsia" w:cs="宋体"/>
              </w:rPr>
              <w:t>招标</w:t>
            </w:r>
            <w:r>
              <w:rPr>
                <w:rFonts w:hint="eastAsia" w:ascii="宋体" w:hAnsi="宋体" w:eastAsia="宋体" w:cs="宋体"/>
              </w:rPr>
              <w:t>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pStyle w:val="15"/>
              <w:widowControl w:val="0"/>
              <w:kinsoku/>
              <w:adjustRightInd/>
              <w:snapToGrid/>
              <w:spacing w:line="360" w:lineRule="exact"/>
              <w:jc w:val="center"/>
              <w:textAlignment w:val="auto"/>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报价唯一</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只有一个有效报价且不超过最高限价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pStyle w:val="15"/>
              <w:widowControl w:val="0"/>
              <w:kinsoku/>
              <w:adjustRightInd/>
              <w:snapToGrid/>
              <w:spacing w:line="360" w:lineRule="exact"/>
              <w:jc w:val="center"/>
              <w:textAlignment w:val="auto"/>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cs="宋体"/>
              </w:rPr>
              <w:t>投标</w:t>
            </w:r>
            <w:r>
              <w:rPr>
                <w:rFonts w:hint="eastAsia" w:ascii="宋体" w:hAnsi="宋体" w:eastAsia="宋体" w:cs="宋体"/>
              </w:rPr>
              <w:t>文件格式</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符合第六部分“投标文件格式”的要求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80"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2.1.2</w:t>
            </w:r>
          </w:p>
        </w:tc>
        <w:tc>
          <w:tcPr>
            <w:tcW w:w="612"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资格评审标准</w:t>
            </w: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营业执照</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具备有效的营业执照</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widowControl/>
              <w:kinsoku/>
              <w:adjustRightInd/>
              <w:snapToGrid/>
              <w:spacing w:line="360" w:lineRule="exact"/>
              <w:jc w:val="center"/>
              <w:textAlignment w:val="auto"/>
              <w:rPr>
                <w:rFonts w:ascii="宋体" w:hAnsi="宋体" w:eastAsia="宋体" w:cs="宋体"/>
              </w:rPr>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信用查询</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未被列入失信被执行人、重大税收违法失信主体、政府采购严重违法失信行为记录名单</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widowControl/>
              <w:kinsoku/>
              <w:adjustRightInd/>
              <w:snapToGrid/>
              <w:spacing w:line="360" w:lineRule="exact"/>
              <w:jc w:val="center"/>
              <w:textAlignment w:val="auto"/>
              <w:rPr>
                <w:rFonts w:ascii="宋体" w:hAnsi="宋体" w:eastAsia="宋体" w:cs="宋体"/>
              </w:rPr>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其他要求</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详见</w:t>
            </w:r>
            <w:r>
              <w:rPr>
                <w:rFonts w:hint="eastAsia" w:cs="宋体"/>
              </w:rPr>
              <w:t>招标</w:t>
            </w:r>
            <w:r>
              <w:rPr>
                <w:rFonts w:hint="eastAsia" w:ascii="宋体" w:hAnsi="宋体" w:eastAsia="宋体" w:cs="宋体"/>
              </w:rPr>
              <w:t>公告中“二、</w:t>
            </w:r>
            <w:r>
              <w:rPr>
                <w:rFonts w:hint="eastAsia" w:ascii="宋体" w:hAnsi="宋体" w:eastAsia="宋体" w:cs="宋体"/>
                <w:b/>
                <w:bCs/>
              </w:rPr>
              <w:t>申请人资格要求</w:t>
            </w:r>
            <w:r>
              <w:rPr>
                <w:rFonts w:hint="eastAsia" w:ascii="宋体" w:hAnsi="宋体" w:eastAsia="宋体" w:cs="宋体"/>
              </w:rPr>
              <w:t>”</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80" w:type="dxa"/>
            <w:vMerge w:val="restart"/>
            <w:vAlign w:val="center"/>
          </w:tcPr>
          <w:p>
            <w:pPr>
              <w:pStyle w:val="15"/>
              <w:widowControl w:val="0"/>
              <w:kinsoku/>
              <w:adjustRightInd/>
              <w:snapToGrid/>
              <w:spacing w:line="360" w:lineRule="exact"/>
              <w:jc w:val="center"/>
              <w:textAlignment w:val="auto"/>
            </w:pPr>
            <w:r>
              <w:rPr>
                <w:rFonts w:hint="eastAsia"/>
              </w:rPr>
              <w:t>2.1.3</w:t>
            </w:r>
          </w:p>
        </w:tc>
        <w:tc>
          <w:tcPr>
            <w:tcW w:w="612" w:type="dxa"/>
            <w:vMerge w:val="restart"/>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响应性评审标准</w:t>
            </w: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投标内容</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符合第二部分“投标人须知前附表”第6项规定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pStyle w:val="26"/>
              <w:widowControl w:val="0"/>
              <w:spacing w:line="360" w:lineRule="exact"/>
              <w:jc w:val="center"/>
              <w:rPr>
                <w:rFonts w:ascii="宋体" w:hAnsi="宋体" w:cs="宋体"/>
                <w:color w:val="FF0000"/>
                <w:sz w:val="21"/>
              </w:rPr>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供货期</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符合第二部分“投标人须知前附表”第7项规定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pStyle w:val="26"/>
              <w:widowControl w:val="0"/>
              <w:spacing w:line="360" w:lineRule="exact"/>
              <w:jc w:val="center"/>
              <w:rPr>
                <w:rFonts w:ascii="宋体" w:hAnsi="宋体" w:cs="宋体"/>
                <w:color w:val="FF0000"/>
                <w:sz w:val="21"/>
              </w:rPr>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质量要求</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符合第二部分“投标人须知前附表”第8项规定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pStyle w:val="26"/>
              <w:widowControl w:val="0"/>
              <w:spacing w:line="360" w:lineRule="exact"/>
              <w:jc w:val="center"/>
              <w:rPr>
                <w:rFonts w:ascii="宋体" w:hAnsi="宋体" w:cs="宋体"/>
                <w:color w:val="FF0000"/>
                <w:sz w:val="21"/>
              </w:rPr>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投标有效期</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符合第二部分“投标人须知前附表”第22项规定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80" w:type="dxa"/>
            <w:vMerge w:val="continue"/>
            <w:vAlign w:val="center"/>
          </w:tcPr>
          <w:p>
            <w:pPr>
              <w:pStyle w:val="15"/>
              <w:widowControl w:val="0"/>
              <w:kinsoku/>
              <w:adjustRightInd/>
              <w:snapToGrid/>
              <w:spacing w:line="360" w:lineRule="exact"/>
              <w:jc w:val="center"/>
              <w:textAlignment w:val="auto"/>
            </w:pPr>
          </w:p>
        </w:tc>
        <w:tc>
          <w:tcPr>
            <w:tcW w:w="612" w:type="dxa"/>
            <w:vMerge w:val="continue"/>
            <w:vAlign w:val="center"/>
          </w:tcPr>
          <w:p>
            <w:pPr>
              <w:pStyle w:val="26"/>
              <w:widowControl w:val="0"/>
              <w:spacing w:line="360" w:lineRule="exact"/>
              <w:jc w:val="center"/>
              <w:rPr>
                <w:rFonts w:ascii="宋体" w:hAnsi="宋体" w:cs="宋体"/>
                <w:color w:val="FF0000"/>
                <w:sz w:val="21"/>
              </w:rPr>
            </w:pPr>
          </w:p>
        </w:tc>
        <w:tc>
          <w:tcPr>
            <w:tcW w:w="2207"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投标报价</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不高于第二部分“投标人须知前附表”第17项载明的招标控制价并满足招标文件的相关要求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4"/>
          </w:tcPr>
          <w:p>
            <w:pPr>
              <w:widowControl/>
              <w:kinsoku/>
              <w:adjustRightInd/>
              <w:snapToGrid/>
              <w:spacing w:line="360" w:lineRule="exact"/>
              <w:jc w:val="both"/>
              <w:textAlignment w:val="auto"/>
              <w:rPr>
                <w:rFonts w:ascii="宋体" w:hAnsi="宋体" w:eastAsia="宋体" w:cs="宋体"/>
              </w:rPr>
            </w:pPr>
            <w:r>
              <w:rPr>
                <w:rFonts w:hint="eastAsia" w:ascii="宋体" w:hAnsi="宋体" w:cs="黑体"/>
                <w:b/>
                <w:color w:val="auto"/>
              </w:rPr>
              <w:t>以上所需证件审查由评标专家依据投标企业在南阳市公共资源交易中心网站诚信库填报的信息资料扫描件为准。所有资质、证书、业绩、荣誉等原件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条款号</w:t>
            </w:r>
          </w:p>
        </w:tc>
        <w:tc>
          <w:tcPr>
            <w:tcW w:w="2819" w:type="dxa"/>
            <w:gridSpan w:val="2"/>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综合因素</w:t>
            </w:r>
          </w:p>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条款内容</w:t>
            </w:r>
          </w:p>
        </w:tc>
        <w:tc>
          <w:tcPr>
            <w:tcW w:w="6131"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综合因素编列内容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4"/>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b/>
                <w:bCs/>
              </w:rPr>
              <w:t xml:space="preserve">2.2 </w:t>
            </w:r>
            <w:r>
              <w:rPr>
                <w:rFonts w:hint="eastAsia" w:ascii="宋体" w:hAnsi="宋体" w:eastAsia="宋体" w:cs="宋体"/>
                <w:b/>
                <w:bCs/>
                <w:lang w:val="en-US" w:eastAsia="zh-CN"/>
              </w:rPr>
              <w:t>二标段</w:t>
            </w:r>
            <w:r>
              <w:rPr>
                <w:rFonts w:hint="eastAsia" w:ascii="宋体" w:hAnsi="宋体" w:eastAsia="宋体" w:cs="宋体"/>
                <w:b/>
                <w:bCs/>
              </w:rPr>
              <w:t xml:space="preserve">详细评审（综合计分法分值构成与评分标准）：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2.2.1</w:t>
            </w:r>
          </w:p>
        </w:tc>
        <w:tc>
          <w:tcPr>
            <w:tcW w:w="2819" w:type="dxa"/>
            <w:gridSpan w:val="2"/>
            <w:vAlign w:val="center"/>
          </w:tcPr>
          <w:p>
            <w:pPr>
              <w:pStyle w:val="48"/>
              <w:widowControl w:val="0"/>
              <w:kinsoku/>
              <w:adjustRightInd/>
              <w:snapToGrid/>
              <w:spacing w:line="360" w:lineRule="exact"/>
              <w:jc w:val="center"/>
              <w:textAlignment w:val="auto"/>
            </w:pPr>
            <w:r>
              <w:rPr>
                <w:rFonts w:hint="eastAsia"/>
              </w:rPr>
              <w:t>分值构成</w:t>
            </w:r>
          </w:p>
          <w:p>
            <w:pPr>
              <w:pStyle w:val="48"/>
              <w:widowControl w:val="0"/>
              <w:kinsoku/>
              <w:adjustRightInd/>
              <w:snapToGrid/>
              <w:spacing w:line="360" w:lineRule="exact"/>
              <w:jc w:val="center"/>
              <w:textAlignment w:val="auto"/>
            </w:pPr>
            <w:r>
              <w:rPr>
                <w:rFonts w:hint="eastAsia"/>
              </w:rPr>
              <w:t>(总分100分)</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（1）投标报价：30 分 </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（2）商务标部分：</w:t>
            </w:r>
            <w:r>
              <w:rPr>
                <w:rFonts w:hint="eastAsia" w:ascii="宋体" w:hAnsi="宋体" w:eastAsia="宋体" w:cs="宋体"/>
                <w:lang w:val="en-US" w:eastAsia="zh-CN"/>
              </w:rPr>
              <w:t>36</w:t>
            </w:r>
            <w:r>
              <w:rPr>
                <w:rFonts w:hint="eastAsia" w:ascii="宋体" w:hAnsi="宋体" w:eastAsia="宋体" w:cs="宋体"/>
              </w:rPr>
              <w:t xml:space="preserve">分 </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（3）技术标部分：</w:t>
            </w:r>
            <w:r>
              <w:rPr>
                <w:rFonts w:hint="eastAsia" w:ascii="宋体" w:hAnsi="宋体" w:eastAsia="宋体" w:cs="宋体"/>
                <w:lang w:val="en-US" w:eastAsia="zh-CN"/>
              </w:rPr>
              <w:t>34</w:t>
            </w:r>
            <w:r>
              <w:rPr>
                <w:rFonts w:hint="eastAsia" w:ascii="宋体" w:hAnsi="宋体" w:eastAsia="宋体" w:cs="宋体"/>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2.2.2</w:t>
            </w:r>
          </w:p>
        </w:tc>
        <w:tc>
          <w:tcPr>
            <w:tcW w:w="2819" w:type="dxa"/>
            <w:gridSpan w:val="2"/>
            <w:vAlign w:val="center"/>
          </w:tcPr>
          <w:p>
            <w:pPr>
              <w:pStyle w:val="48"/>
              <w:widowControl w:val="0"/>
              <w:kinsoku/>
              <w:adjustRightInd/>
              <w:snapToGrid/>
              <w:spacing w:line="360" w:lineRule="exact"/>
              <w:jc w:val="center"/>
              <w:textAlignment w:val="auto"/>
            </w:pPr>
            <w:r>
              <w:rPr>
                <w:rFonts w:hint="eastAsia"/>
              </w:rPr>
              <w:t>评标基准价</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kinsoku/>
              <w:adjustRightInd/>
              <w:snapToGrid/>
              <w:spacing w:line="360" w:lineRule="exact"/>
              <w:jc w:val="center"/>
              <w:textAlignment w:val="auto"/>
              <w:rPr>
                <w:rFonts w:ascii="宋体" w:hAnsi="宋体" w:eastAsia="宋体" w:cs="宋体"/>
              </w:rPr>
            </w:pPr>
            <w:r>
              <w:rPr>
                <w:rFonts w:hint="eastAsia" w:ascii="宋体" w:hAnsi="宋体" w:eastAsia="宋体" w:cs="宋体"/>
              </w:rPr>
              <w:t>2.2.3</w:t>
            </w:r>
          </w:p>
          <w:p>
            <w:pPr>
              <w:pStyle w:val="15"/>
              <w:widowControl w:val="0"/>
              <w:kinsoku/>
              <w:adjustRightInd/>
              <w:snapToGrid/>
              <w:spacing w:line="360" w:lineRule="exact"/>
              <w:jc w:val="center"/>
              <w:textAlignment w:val="auto"/>
            </w:pPr>
          </w:p>
        </w:tc>
        <w:tc>
          <w:tcPr>
            <w:tcW w:w="2819" w:type="dxa"/>
            <w:gridSpan w:val="2"/>
            <w:vAlign w:val="center"/>
          </w:tcPr>
          <w:p>
            <w:pPr>
              <w:pStyle w:val="48"/>
              <w:widowControl w:val="0"/>
              <w:kinsoku/>
              <w:adjustRightInd/>
              <w:snapToGrid/>
              <w:spacing w:line="360" w:lineRule="exact"/>
              <w:jc w:val="center"/>
              <w:textAlignment w:val="auto"/>
            </w:pPr>
            <w:r>
              <w:rPr>
                <w:rFonts w:hint="eastAsia"/>
              </w:rPr>
              <w:t>投标报价</w:t>
            </w:r>
          </w:p>
          <w:p>
            <w:pPr>
              <w:pStyle w:val="48"/>
              <w:widowControl w:val="0"/>
              <w:kinsoku/>
              <w:adjustRightInd/>
              <w:snapToGrid/>
              <w:spacing w:line="360" w:lineRule="exact"/>
              <w:jc w:val="center"/>
              <w:textAlignment w:val="auto"/>
            </w:pPr>
            <w:r>
              <w:rPr>
                <w:rFonts w:hint="eastAsia"/>
              </w:rPr>
              <w:t>（30分）</w:t>
            </w:r>
          </w:p>
        </w:tc>
        <w:tc>
          <w:tcPr>
            <w:tcW w:w="6131" w:type="dxa"/>
          </w:tcPr>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采用低价优先法计算，即满足招标文件要求且投标价格最低的投标报价为评标基准价，其价格分为满分。其他供应商的价格分统一按照下列公式计算：</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投标报价得分=（评标基准价/投标报价）×30</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价格优惠说明：</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1、为贯彻落实《政府采购促进中小企业发展管理办法》财库[2022]19号，本项目鼓励中小企业参与，中小型企业须提交《中小企业声明函》原件（声明函格式详见附件）及相应的中小企业证明材料。</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2、中小企业划型标准以工信部联企业〔2011〕300 号《工业和信息化部国家统计局国家发展和改革委财政部关于印发中小企业划型标准规定的通知》及《政府采购促进中小企业发展管理办法》财库〔2020〕46号为依据。</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3、评审时给予小型和微型企业20%的价格扣除，用扣除后的价格参与评审。即小微型企业优惠后报价=投标报价*（1-20%）。</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4、监狱企业及残疾人福利性单位视同小微企业。</w:t>
            </w:r>
          </w:p>
          <w:p>
            <w:pPr>
              <w:widowControl/>
              <w:kinsoku/>
              <w:adjustRightInd/>
              <w:snapToGrid/>
              <w:spacing w:line="360" w:lineRule="exact"/>
              <w:jc w:val="both"/>
              <w:textAlignment w:val="auto"/>
              <w:rPr>
                <w:rFonts w:ascii="宋体" w:hAnsi="宋体" w:eastAsia="宋体" w:cs="宋体"/>
              </w:rPr>
            </w:pPr>
            <w:r>
              <w:rPr>
                <w:rFonts w:hint="eastAsia" w:ascii="宋体" w:hAnsi="宋体" w:eastAsia="宋体" w:cs="宋体"/>
              </w:rPr>
              <w:t>没有提供有效材料的投标人将被视为不接受投标总价的扣除，用原投标总价参与评审。</w:t>
            </w:r>
          </w:p>
        </w:tc>
      </w:tr>
    </w:tbl>
    <w:tbl>
      <w:tblPr>
        <w:tblStyle w:val="29"/>
        <w:tblW w:w="97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5"/>
        <w:gridCol w:w="920"/>
        <w:gridCol w:w="1930"/>
        <w:gridCol w:w="6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75" w:type="dxa"/>
            <w:vMerge w:val="restart"/>
            <w:noWrap w:val="0"/>
            <w:vAlign w:val="center"/>
          </w:tcPr>
          <w:p>
            <w:pPr>
              <w:jc w:val="center"/>
              <w:rPr>
                <w:rFonts w:hint="default" w:eastAsia="宋体"/>
                <w:sz w:val="21"/>
                <w:szCs w:val="21"/>
                <w:lang w:val="en-US" w:eastAsia="zh-CN"/>
              </w:rPr>
            </w:pPr>
            <w:r>
              <w:rPr>
                <w:rFonts w:hint="eastAsia" w:eastAsia="宋体"/>
                <w:sz w:val="21"/>
                <w:szCs w:val="21"/>
                <w:lang w:val="en-US" w:eastAsia="zh-CN"/>
              </w:rPr>
              <w:t>2.2.4</w:t>
            </w:r>
          </w:p>
        </w:tc>
        <w:tc>
          <w:tcPr>
            <w:tcW w:w="920" w:type="dxa"/>
            <w:vMerge w:val="restart"/>
            <w:noWrap w:val="0"/>
            <w:vAlign w:val="center"/>
          </w:tcPr>
          <w:p>
            <w:pPr>
              <w:jc w:val="center"/>
              <w:rPr>
                <w:rFonts w:hint="default" w:eastAsia="宋体"/>
                <w:sz w:val="21"/>
                <w:szCs w:val="21"/>
                <w:lang w:val="en-US" w:eastAsia="zh-CN"/>
              </w:rPr>
            </w:pPr>
            <w:r>
              <w:rPr>
                <w:rFonts w:hint="eastAsia" w:eastAsia="宋体"/>
                <w:sz w:val="21"/>
                <w:szCs w:val="21"/>
                <w:lang w:val="en-US" w:eastAsia="zh-CN"/>
              </w:rPr>
              <w:t>商务标部分（36分）</w:t>
            </w:r>
          </w:p>
        </w:tc>
        <w:tc>
          <w:tcPr>
            <w:tcW w:w="1930" w:type="dxa"/>
            <w:noWrap w:val="0"/>
            <w:vAlign w:val="center"/>
          </w:tcPr>
          <w:p>
            <w:pPr>
              <w:pStyle w:val="48"/>
              <w:spacing w:before="146" w:line="324" w:lineRule="auto"/>
              <w:ind w:right="121"/>
              <w:jc w:val="center"/>
              <w:rPr>
                <w:szCs w:val="21"/>
                <w:highlight w:val="none"/>
              </w:rPr>
            </w:pPr>
            <w:r>
              <w:rPr>
                <w:rFonts w:hint="eastAsia"/>
                <w:szCs w:val="21"/>
                <w:highlight w:val="none"/>
              </w:rPr>
              <w:t>企业业绩（</w:t>
            </w:r>
            <w:r>
              <w:rPr>
                <w:rFonts w:hint="eastAsia"/>
                <w:szCs w:val="21"/>
                <w:highlight w:val="none"/>
                <w:lang w:eastAsia="zh-CN"/>
              </w:rPr>
              <w:t>2</w:t>
            </w:r>
            <w:r>
              <w:rPr>
                <w:rFonts w:hint="eastAsia"/>
                <w:szCs w:val="21"/>
                <w:highlight w:val="none"/>
              </w:rPr>
              <w:t>分）</w:t>
            </w:r>
          </w:p>
        </w:tc>
        <w:tc>
          <w:tcPr>
            <w:tcW w:w="6150" w:type="dxa"/>
            <w:noWrap w:val="0"/>
            <w:vAlign w:val="center"/>
          </w:tcPr>
          <w:p>
            <w:pPr>
              <w:pStyle w:val="48"/>
              <w:spacing w:before="2"/>
              <w:ind w:left="106"/>
              <w:rPr>
                <w:szCs w:val="21"/>
                <w:highlight w:val="none"/>
                <w:lang w:eastAsia="zh-CN"/>
              </w:rPr>
            </w:pPr>
            <w:r>
              <w:rPr>
                <w:rFonts w:hint="eastAsia" w:ascii="宋体" w:hAnsi="宋体" w:cs="宋体"/>
                <w:szCs w:val="21"/>
                <w:highlight w:val="none"/>
                <w:lang w:eastAsia="zh-CN"/>
              </w:rPr>
              <w:t xml:space="preserve">自 </w:t>
            </w:r>
            <w:r>
              <w:rPr>
                <w:rFonts w:hint="eastAsia" w:cs="宋体"/>
                <w:szCs w:val="21"/>
                <w:highlight w:val="none"/>
                <w:lang w:val="en-US" w:eastAsia="zh-CN"/>
              </w:rPr>
              <w:t>2020</w:t>
            </w:r>
            <w:r>
              <w:rPr>
                <w:rFonts w:hint="eastAsia" w:ascii="宋体" w:hAnsi="宋体" w:cs="宋体"/>
                <w:szCs w:val="21"/>
                <w:highlight w:val="none"/>
                <w:lang w:eastAsia="zh-CN"/>
              </w:rPr>
              <w:t>年1月1日以来投标产品类似业绩每提供1 个合同 得 1 分；本项最多提供2份合同，最多得2分。（完整的合同包含：中标通知书和合同协议）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75" w:type="dxa"/>
            <w:vMerge w:val="continue"/>
            <w:noWrap w:val="0"/>
            <w:vAlign w:val="top"/>
          </w:tcPr>
          <w:p>
            <w:pPr>
              <w:rPr>
                <w:sz w:val="21"/>
                <w:szCs w:val="21"/>
                <w:lang w:eastAsia="zh-CN"/>
              </w:rPr>
            </w:pPr>
          </w:p>
        </w:tc>
        <w:tc>
          <w:tcPr>
            <w:tcW w:w="920" w:type="dxa"/>
            <w:vMerge w:val="continue"/>
            <w:noWrap w:val="0"/>
            <w:vAlign w:val="top"/>
          </w:tcPr>
          <w:p>
            <w:pPr>
              <w:rPr>
                <w:sz w:val="21"/>
                <w:szCs w:val="21"/>
                <w:lang w:eastAsia="zh-CN"/>
              </w:rPr>
            </w:pPr>
          </w:p>
        </w:tc>
        <w:tc>
          <w:tcPr>
            <w:tcW w:w="1930" w:type="dxa"/>
            <w:noWrap w:val="0"/>
            <w:vAlign w:val="center"/>
          </w:tcPr>
          <w:p>
            <w:pPr>
              <w:pStyle w:val="48"/>
              <w:jc w:val="center"/>
              <w:rPr>
                <w:szCs w:val="21"/>
              </w:rPr>
            </w:pPr>
            <w:r>
              <w:rPr>
                <w:rFonts w:hint="eastAsia"/>
                <w:szCs w:val="21"/>
              </w:rPr>
              <w:t>售后服务计划(3</w:t>
            </w:r>
            <w:r>
              <w:rPr>
                <w:rFonts w:hint="eastAsia"/>
                <w:szCs w:val="21"/>
                <w:lang w:eastAsia="zh-CN"/>
              </w:rPr>
              <w:t>0</w:t>
            </w:r>
            <w:r>
              <w:rPr>
                <w:rFonts w:hint="eastAsia"/>
                <w:szCs w:val="21"/>
              </w:rPr>
              <w:t>分)</w:t>
            </w:r>
          </w:p>
        </w:tc>
        <w:tc>
          <w:tcPr>
            <w:tcW w:w="6150" w:type="dxa"/>
            <w:noWrap w:val="0"/>
            <w:vAlign w:val="center"/>
          </w:tcPr>
          <w:p>
            <w:pPr>
              <w:textAlignment w:val="center"/>
              <w:rPr>
                <w:rFonts w:ascii="宋体" w:hAnsi="宋体" w:cs="宋体"/>
                <w:sz w:val="21"/>
                <w:szCs w:val="21"/>
                <w:lang w:eastAsia="zh-CN"/>
              </w:rPr>
            </w:pPr>
            <w:r>
              <w:rPr>
                <w:rFonts w:hint="eastAsia" w:ascii="宋体" w:hAnsi="宋体" w:cs="宋体"/>
                <w:sz w:val="21"/>
                <w:szCs w:val="21"/>
                <w:lang w:eastAsia="zh-CN"/>
              </w:rPr>
              <w:t>1）有完善的售后服务计划、稳定的售后服务队伍,评委会根据供应商提供的方案优劣打分,方案全面、有针对性、合理、可行得5分，方案较全面、较合理得2分，方案一般得1分。</w:t>
            </w:r>
          </w:p>
          <w:p>
            <w:pPr>
              <w:textAlignment w:val="center"/>
              <w:rPr>
                <w:rFonts w:ascii="宋体" w:hAnsi="宋体" w:cs="宋体"/>
                <w:sz w:val="21"/>
                <w:szCs w:val="21"/>
                <w:lang w:eastAsia="zh-CN"/>
              </w:rPr>
            </w:pPr>
            <w:r>
              <w:rPr>
                <w:rFonts w:hint="eastAsia" w:ascii="宋体" w:hAnsi="宋体" w:cs="宋体"/>
                <w:sz w:val="21"/>
                <w:szCs w:val="21"/>
                <w:lang w:eastAsia="zh-CN"/>
              </w:rPr>
              <w:t>2）有良好的服务信誉、24小时服务热线、质保期外的服务承诺，评委会根据供应商提供的方案优劣打分方案全面、有针对性、合理、可行得5分，方案较全面、较合理得2分，方案一般得1分。</w:t>
            </w:r>
          </w:p>
          <w:p>
            <w:pPr>
              <w:textAlignment w:val="center"/>
              <w:rPr>
                <w:rFonts w:ascii="宋体" w:hAnsi="宋体" w:cs="宋体"/>
                <w:sz w:val="21"/>
                <w:szCs w:val="21"/>
                <w:lang w:eastAsia="zh-CN"/>
              </w:rPr>
            </w:pPr>
            <w:r>
              <w:rPr>
                <w:rFonts w:hint="eastAsia" w:ascii="宋体" w:hAnsi="宋体" w:cs="宋体"/>
                <w:sz w:val="21"/>
                <w:szCs w:val="21"/>
                <w:lang w:eastAsia="zh-CN"/>
              </w:rPr>
              <w:t>3）根据供应商提供的故障响应及修复时间、服务方式及保障措施打分，方案全面、有针对性、合理、可行得5分，方案较全面、较合理得2分，方案一般得1分。</w:t>
            </w:r>
          </w:p>
          <w:p>
            <w:pPr>
              <w:textAlignment w:val="center"/>
              <w:rPr>
                <w:rFonts w:ascii="宋体" w:hAnsi="宋体" w:cs="宋体"/>
                <w:sz w:val="21"/>
                <w:szCs w:val="21"/>
                <w:lang w:eastAsia="zh-CN"/>
              </w:rPr>
            </w:pPr>
            <w:r>
              <w:rPr>
                <w:rFonts w:hint="eastAsia" w:ascii="宋体" w:hAnsi="宋体" w:cs="宋体"/>
                <w:sz w:val="21"/>
                <w:szCs w:val="21"/>
                <w:lang w:eastAsia="zh-CN"/>
              </w:rPr>
              <w:t>4）供应商针对本项目后期使用、维护等方面提出的切实可行的合理化建议与措施打分，方案全面、有针对性、合理、可行得5分，方案较全面、较合理得2分，方案一般得1分。</w:t>
            </w:r>
          </w:p>
          <w:p>
            <w:pPr>
              <w:textAlignment w:val="center"/>
              <w:rPr>
                <w:rFonts w:ascii="宋体" w:hAnsi="宋体" w:cs="宋体"/>
                <w:sz w:val="21"/>
                <w:szCs w:val="21"/>
                <w:lang w:eastAsia="zh-CN"/>
              </w:rPr>
            </w:pPr>
            <w:r>
              <w:rPr>
                <w:rFonts w:hint="eastAsia" w:ascii="宋体" w:hAnsi="宋体" w:cs="宋体"/>
                <w:sz w:val="21"/>
                <w:szCs w:val="21"/>
                <w:lang w:eastAsia="zh-CN"/>
              </w:rPr>
              <w:t xml:space="preserve">5)售后保障体系：评委会根据售后服务安排、问题处理的反应速度打分，方案全面、有针对性、合理、可行得5分，方案较全面、较合理得2分，方案一般得1分。 </w:t>
            </w:r>
          </w:p>
          <w:p>
            <w:pPr>
              <w:pStyle w:val="48"/>
              <w:spacing w:before="40"/>
              <w:ind w:left="106"/>
              <w:rPr>
                <w:spacing w:val="-26"/>
                <w:szCs w:val="21"/>
                <w:lang w:eastAsia="zh-CN"/>
              </w:rPr>
            </w:pPr>
            <w:r>
              <w:rPr>
                <w:rFonts w:hint="eastAsia" w:ascii="宋体" w:hAnsi="宋体" w:cs="宋体"/>
                <w:szCs w:val="21"/>
                <w:lang w:eastAsia="zh-CN"/>
              </w:rPr>
              <w:t>6)其他优惠承诺：针对本项目提出的其他实质性优惠条款，具有实质性内容并符合本项目需求的承诺打分，方案全面、有针对性、合理、可行得5分，方案较全面、较合理得2分，方案一般得1分。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775" w:type="dxa"/>
            <w:vMerge w:val="continue"/>
            <w:noWrap w:val="0"/>
            <w:vAlign w:val="top"/>
          </w:tcPr>
          <w:p>
            <w:pPr>
              <w:rPr>
                <w:sz w:val="21"/>
                <w:szCs w:val="21"/>
                <w:lang w:eastAsia="zh-CN"/>
              </w:rPr>
            </w:pPr>
          </w:p>
        </w:tc>
        <w:tc>
          <w:tcPr>
            <w:tcW w:w="920" w:type="dxa"/>
            <w:vMerge w:val="continue"/>
            <w:noWrap w:val="0"/>
            <w:vAlign w:val="top"/>
          </w:tcPr>
          <w:p>
            <w:pPr>
              <w:rPr>
                <w:sz w:val="21"/>
                <w:szCs w:val="21"/>
                <w:lang w:eastAsia="zh-CN"/>
              </w:rPr>
            </w:pPr>
          </w:p>
        </w:tc>
        <w:tc>
          <w:tcPr>
            <w:tcW w:w="1930" w:type="dxa"/>
            <w:noWrap w:val="0"/>
            <w:vAlign w:val="center"/>
          </w:tcPr>
          <w:p>
            <w:pPr>
              <w:pStyle w:val="48"/>
              <w:jc w:val="center"/>
              <w:rPr>
                <w:szCs w:val="21"/>
                <w:lang w:eastAsia="zh-CN"/>
              </w:rPr>
            </w:pPr>
            <w:r>
              <w:rPr>
                <w:rFonts w:hint="eastAsia" w:ascii="宋体" w:hAnsi="宋体" w:cs="黑体"/>
                <w:szCs w:val="21"/>
              </w:rPr>
              <w:t>培训方案（</w:t>
            </w:r>
            <w:r>
              <w:rPr>
                <w:rFonts w:hint="eastAsia" w:ascii="宋体" w:hAnsi="宋体" w:cs="黑体"/>
                <w:szCs w:val="21"/>
                <w:lang w:eastAsia="zh-CN"/>
              </w:rPr>
              <w:t>4</w:t>
            </w:r>
            <w:r>
              <w:rPr>
                <w:rFonts w:hint="eastAsia" w:ascii="宋体" w:hAnsi="宋体" w:cs="黑体"/>
                <w:szCs w:val="21"/>
              </w:rPr>
              <w:t>分）</w:t>
            </w:r>
          </w:p>
        </w:tc>
        <w:tc>
          <w:tcPr>
            <w:tcW w:w="6150" w:type="dxa"/>
            <w:noWrap w:val="0"/>
            <w:vAlign w:val="center"/>
          </w:tcPr>
          <w:p>
            <w:pPr>
              <w:pStyle w:val="48"/>
              <w:spacing w:before="40"/>
              <w:ind w:left="106"/>
              <w:rPr>
                <w:szCs w:val="21"/>
                <w:lang w:eastAsia="zh-CN"/>
              </w:rPr>
            </w:pPr>
            <w:r>
              <w:rPr>
                <w:rFonts w:hint="eastAsia" w:ascii="宋体" w:hAnsi="宋体" w:cs="黑体"/>
                <w:szCs w:val="21"/>
                <w:lang w:eastAsia="zh-CN"/>
              </w:rPr>
              <w:t>根据供应商提供的培训课程包括设备的安装、维护及操作人员的操作培训及培训内容、培训方式的优劣打分，培训方案全面、有针对性、合理、可行得4分，方案较全面、较合理得2分，方案一般得1分。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75" w:type="dxa"/>
            <w:vMerge w:val="restart"/>
            <w:noWrap w:val="0"/>
            <w:vAlign w:val="center"/>
          </w:tcPr>
          <w:p>
            <w:pPr>
              <w:pStyle w:val="48"/>
              <w:jc w:val="center"/>
              <w:rPr>
                <w:szCs w:val="21"/>
              </w:rPr>
            </w:pPr>
            <w:r>
              <w:rPr>
                <w:rFonts w:hint="eastAsia"/>
                <w:szCs w:val="21"/>
              </w:rPr>
              <w:t>2.</w:t>
            </w:r>
            <w:r>
              <w:rPr>
                <w:rFonts w:hint="eastAsia"/>
                <w:szCs w:val="21"/>
                <w:lang w:val="en-US" w:eastAsia="zh-CN"/>
              </w:rPr>
              <w:t>2</w:t>
            </w:r>
            <w:r>
              <w:rPr>
                <w:rFonts w:hint="eastAsia"/>
                <w:szCs w:val="21"/>
              </w:rPr>
              <w:t>.5</w:t>
            </w:r>
          </w:p>
        </w:tc>
        <w:tc>
          <w:tcPr>
            <w:tcW w:w="920" w:type="dxa"/>
            <w:vMerge w:val="restart"/>
            <w:noWrap w:val="0"/>
            <w:vAlign w:val="center"/>
          </w:tcPr>
          <w:p>
            <w:pPr>
              <w:pStyle w:val="48"/>
              <w:jc w:val="center"/>
              <w:rPr>
                <w:szCs w:val="21"/>
              </w:rPr>
            </w:pPr>
            <w:r>
              <w:rPr>
                <w:rFonts w:hint="eastAsia"/>
                <w:szCs w:val="21"/>
              </w:rPr>
              <w:t>技术标部分（</w:t>
            </w:r>
            <w:r>
              <w:rPr>
                <w:rFonts w:hint="eastAsia"/>
                <w:szCs w:val="21"/>
                <w:lang w:eastAsia="zh-CN"/>
              </w:rPr>
              <w:t>34</w:t>
            </w:r>
            <w:r>
              <w:rPr>
                <w:rFonts w:hint="eastAsia"/>
                <w:szCs w:val="21"/>
              </w:rPr>
              <w:t>分）</w:t>
            </w:r>
          </w:p>
        </w:tc>
        <w:tc>
          <w:tcPr>
            <w:tcW w:w="1930" w:type="dxa"/>
            <w:noWrap w:val="0"/>
            <w:vAlign w:val="center"/>
          </w:tcPr>
          <w:p>
            <w:pPr>
              <w:pStyle w:val="48"/>
              <w:jc w:val="center"/>
              <w:rPr>
                <w:szCs w:val="21"/>
              </w:rPr>
            </w:pPr>
            <w:r>
              <w:rPr>
                <w:rFonts w:hint="eastAsia" w:ascii="宋体" w:hAnsi="宋体" w:cs="宋体"/>
                <w:szCs w:val="21"/>
              </w:rPr>
              <w:t>技术参数（</w:t>
            </w:r>
            <w:r>
              <w:rPr>
                <w:rFonts w:hint="eastAsia" w:ascii="宋体" w:hAnsi="宋体" w:cs="宋体"/>
                <w:szCs w:val="21"/>
                <w:lang w:eastAsia="zh-CN"/>
              </w:rPr>
              <w:t>30</w:t>
            </w:r>
            <w:r>
              <w:rPr>
                <w:rFonts w:hint="eastAsia" w:ascii="宋体" w:hAnsi="宋体" w:cs="宋体"/>
                <w:szCs w:val="21"/>
              </w:rPr>
              <w:t>分）</w:t>
            </w:r>
          </w:p>
        </w:tc>
        <w:tc>
          <w:tcPr>
            <w:tcW w:w="6150" w:type="dxa"/>
            <w:noWrap w:val="0"/>
            <w:vAlign w:val="center"/>
          </w:tcPr>
          <w:p>
            <w:pPr>
              <w:pStyle w:val="48"/>
              <w:widowControl w:val="0"/>
              <w:autoSpaceDE w:val="0"/>
              <w:autoSpaceDN w:val="0"/>
              <w:spacing w:line="360" w:lineRule="atLeast"/>
              <w:rPr>
                <w:rFonts w:ascii="宋体" w:hAnsi="宋体" w:cs="宋体"/>
                <w:szCs w:val="21"/>
                <w:lang w:eastAsia="zh-CN"/>
              </w:rPr>
            </w:pPr>
            <w:r>
              <w:rPr>
                <w:rFonts w:hint="eastAsia" w:ascii="宋体" w:hAnsi="宋体" w:cs="宋体"/>
                <w:szCs w:val="21"/>
                <w:lang w:eastAsia="zh-CN"/>
              </w:rPr>
              <w:t>投标货物技术性能及产品功能全部满足招标文件要求得基本分30分，招标文件技术指标中加“★”</w:t>
            </w:r>
            <w:r>
              <w:rPr>
                <w:rFonts w:hint="eastAsia" w:cs="宋体"/>
                <w:szCs w:val="21"/>
                <w:lang w:val="en-US" w:eastAsia="zh-CN"/>
              </w:rPr>
              <w:t>和“</w:t>
            </w:r>
            <w:r>
              <w:rPr>
                <w:rFonts w:hint="eastAsia" w:ascii="宋体" w:hAnsi="宋体" w:eastAsia="宋体" w:cs="宋体"/>
                <w:color w:val="auto"/>
                <w:sz w:val="24"/>
                <w:szCs w:val="24"/>
                <w:highlight w:val="none"/>
                <w:lang w:val="en-US" w:eastAsia="zh-CN"/>
              </w:rPr>
              <w:t>*</w:t>
            </w:r>
            <w:r>
              <w:rPr>
                <w:rFonts w:hint="eastAsia" w:cs="宋体"/>
                <w:szCs w:val="21"/>
                <w:lang w:val="en-US" w:eastAsia="zh-CN"/>
              </w:rPr>
              <w:t>”</w:t>
            </w:r>
            <w:r>
              <w:rPr>
                <w:rFonts w:hint="eastAsia" w:ascii="宋体" w:hAnsi="宋体" w:cs="宋体"/>
                <w:szCs w:val="21"/>
                <w:lang w:eastAsia="zh-CN"/>
              </w:rPr>
              <w:t>的项（若有的话）为重要技术指标，若投标人每负偏离一处扣2分；若投标人所投标产品的技术指标与招标文件要求有偏差的，但不影响到实质性响应，每负偏离一处扣1分，扣完为止；。</w:t>
            </w:r>
          </w:p>
          <w:p>
            <w:pPr>
              <w:pStyle w:val="48"/>
              <w:spacing w:before="2" w:line="310" w:lineRule="atLeast"/>
              <w:ind w:left="106" w:right="4"/>
              <w:rPr>
                <w:szCs w:val="21"/>
                <w:lang w:eastAsia="zh-CN"/>
              </w:rPr>
            </w:pPr>
            <w:r>
              <w:rPr>
                <w:rFonts w:hint="eastAsia"/>
                <w:b/>
                <w:bCs/>
                <w:szCs w:val="21"/>
                <w:lang w:eastAsia="zh-CN"/>
              </w:rPr>
              <w:t>注：投标人须提供由相关机构出具的产品彩页、技术白皮书或检测报告作为参数支撑材料。无资料支持的参数将不予认定，其技术分为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775" w:type="dxa"/>
            <w:vMerge w:val="continue"/>
            <w:noWrap w:val="0"/>
            <w:vAlign w:val="center"/>
          </w:tcPr>
          <w:p>
            <w:pPr>
              <w:pStyle w:val="48"/>
              <w:jc w:val="center"/>
              <w:rPr>
                <w:szCs w:val="21"/>
                <w:lang w:eastAsia="zh-CN"/>
              </w:rPr>
            </w:pPr>
          </w:p>
        </w:tc>
        <w:tc>
          <w:tcPr>
            <w:tcW w:w="920" w:type="dxa"/>
            <w:vMerge w:val="continue"/>
            <w:noWrap w:val="0"/>
            <w:vAlign w:val="center"/>
          </w:tcPr>
          <w:p>
            <w:pPr>
              <w:pStyle w:val="48"/>
              <w:jc w:val="center"/>
              <w:rPr>
                <w:szCs w:val="21"/>
                <w:lang w:eastAsia="zh-CN"/>
              </w:rPr>
            </w:pPr>
          </w:p>
        </w:tc>
        <w:tc>
          <w:tcPr>
            <w:tcW w:w="1930" w:type="dxa"/>
            <w:noWrap w:val="0"/>
            <w:vAlign w:val="center"/>
          </w:tcPr>
          <w:p>
            <w:pPr>
              <w:pStyle w:val="48"/>
              <w:jc w:val="center"/>
              <w:rPr>
                <w:szCs w:val="21"/>
                <w:lang w:eastAsia="zh-CN"/>
              </w:rPr>
            </w:pPr>
            <w:r>
              <w:rPr>
                <w:rFonts w:hint="eastAsia"/>
                <w:szCs w:val="21"/>
                <w:lang w:eastAsia="zh-CN"/>
              </w:rPr>
              <w:t>投标文件完整性（4分）</w:t>
            </w:r>
          </w:p>
        </w:tc>
        <w:tc>
          <w:tcPr>
            <w:tcW w:w="6150" w:type="dxa"/>
            <w:noWrap w:val="0"/>
            <w:vAlign w:val="center"/>
          </w:tcPr>
          <w:p>
            <w:pPr>
              <w:pStyle w:val="48"/>
              <w:spacing w:before="41" w:line="324" w:lineRule="auto"/>
              <w:ind w:left="106" w:right="93"/>
              <w:rPr>
                <w:spacing w:val="6"/>
                <w:szCs w:val="21"/>
                <w:lang w:eastAsia="zh-CN"/>
              </w:rPr>
            </w:pPr>
            <w:r>
              <w:rPr>
                <w:rFonts w:hint="eastAsia" w:ascii="宋体" w:hAnsi="宋体" w:cs="黑体"/>
                <w:szCs w:val="21"/>
                <w:lang w:eastAsia="zh-CN"/>
              </w:rPr>
              <w:t>评委会根据投标人的投标文件完整性打分，投标文件完整全面得4分，投标文件较完整、较全面得2分，投标文件一般得1分。</w:t>
            </w:r>
          </w:p>
        </w:tc>
      </w:tr>
    </w:tbl>
    <w:p>
      <w:pPr>
        <w:spacing w:line="600" w:lineRule="exact"/>
        <w:rPr>
          <w:rFonts w:ascii="宋体" w:hAnsi="宋体" w:eastAsia="宋体" w:cs="宋体"/>
          <w:b/>
          <w:bCs/>
          <w:color w:val="auto"/>
          <w:sz w:val="24"/>
          <w:szCs w:val="24"/>
        </w:rPr>
      </w:pPr>
    </w:p>
    <w:p>
      <w:pPr>
        <w:spacing w:line="600" w:lineRule="exact"/>
        <w:rPr>
          <w:rFonts w:ascii="宋体" w:hAnsi="宋体" w:eastAsia="宋体" w:cs="宋体"/>
          <w:b/>
          <w:bCs/>
          <w:color w:val="auto"/>
          <w:sz w:val="24"/>
          <w:szCs w:val="24"/>
        </w:rPr>
      </w:pPr>
      <w:r>
        <w:rPr>
          <w:rFonts w:hint="eastAsia" w:ascii="宋体" w:hAnsi="宋体" w:eastAsia="宋体" w:cs="宋体"/>
          <w:b/>
          <w:bCs/>
          <w:color w:val="auto"/>
          <w:sz w:val="24"/>
          <w:szCs w:val="24"/>
        </w:rPr>
        <w:t>1.评标方法</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本次评标采用综合评分法。评标委员会对满足招标文件实质性要求的投标文件，按照本章规定的评分标准进行打分，并按得分由高到低顺序推荐中标候选人。综合评分相等时，以投标报价低的优先；投标报价也相等的，由招标人自行确定。</w:t>
      </w:r>
    </w:p>
    <w:p>
      <w:pPr>
        <w:spacing w:line="600" w:lineRule="exact"/>
        <w:rPr>
          <w:rFonts w:ascii="宋体" w:hAnsi="宋体" w:eastAsia="宋体" w:cs="宋体"/>
          <w:b/>
          <w:bCs/>
          <w:color w:val="auto"/>
          <w:sz w:val="24"/>
          <w:szCs w:val="24"/>
        </w:rPr>
      </w:pPr>
      <w:bookmarkStart w:id="7" w:name="_Toc22835_WPSOffice_Level2"/>
      <w:bookmarkStart w:id="8" w:name="_Toc26936"/>
      <w:bookmarkStart w:id="9" w:name="_Toc577"/>
      <w:bookmarkStart w:id="10" w:name="_Toc477422629"/>
      <w:bookmarkStart w:id="11" w:name="_Toc12197_WPSOffice_Level2"/>
      <w:bookmarkStart w:id="12" w:name="_Toc30551"/>
      <w:bookmarkStart w:id="13" w:name="_Toc12563"/>
      <w:bookmarkStart w:id="14" w:name="_Toc18653_WPSOffice_Level2"/>
      <w:bookmarkStart w:id="15" w:name="_Toc32427_WPSOffice_Level2"/>
      <w:bookmarkStart w:id="16" w:name="_Toc12207_WPSOffice_Level2"/>
      <w:bookmarkStart w:id="17" w:name="_Toc477422816"/>
      <w:bookmarkStart w:id="18" w:name="_Toc4687_WPSOffice_Level2"/>
      <w:bookmarkStart w:id="19" w:name="_Toc6943"/>
      <w:r>
        <w:rPr>
          <w:rFonts w:hint="eastAsia" w:ascii="宋体" w:hAnsi="宋体" w:eastAsia="宋体" w:cs="宋体"/>
          <w:b/>
          <w:bCs/>
          <w:color w:val="auto"/>
          <w:sz w:val="24"/>
          <w:szCs w:val="24"/>
        </w:rPr>
        <w:t>2.评审标准</w:t>
      </w:r>
      <w:bookmarkEnd w:id="7"/>
      <w:bookmarkEnd w:id="8"/>
      <w:bookmarkEnd w:id="9"/>
      <w:bookmarkEnd w:id="10"/>
      <w:bookmarkEnd w:id="11"/>
      <w:bookmarkEnd w:id="12"/>
      <w:bookmarkEnd w:id="13"/>
      <w:bookmarkEnd w:id="14"/>
      <w:bookmarkEnd w:id="15"/>
      <w:bookmarkEnd w:id="16"/>
      <w:bookmarkEnd w:id="17"/>
      <w:bookmarkEnd w:id="18"/>
      <w:bookmarkEnd w:id="19"/>
    </w:p>
    <w:p>
      <w:pPr>
        <w:spacing w:line="600" w:lineRule="exact"/>
        <w:rPr>
          <w:rFonts w:ascii="宋体" w:hAnsi="宋体" w:eastAsia="宋体" w:cs="宋体"/>
          <w:color w:val="auto"/>
          <w:sz w:val="24"/>
          <w:szCs w:val="24"/>
        </w:rPr>
      </w:pPr>
      <w:bookmarkStart w:id="20" w:name="_Toc840"/>
      <w:bookmarkStart w:id="21" w:name="_Toc3924"/>
      <w:r>
        <w:rPr>
          <w:rFonts w:hint="eastAsia" w:ascii="宋体" w:hAnsi="宋体" w:eastAsia="宋体" w:cs="宋体"/>
          <w:color w:val="auto"/>
          <w:sz w:val="24"/>
          <w:szCs w:val="24"/>
        </w:rPr>
        <w:t xml:space="preserve">    </w:t>
      </w:r>
      <w:bookmarkStart w:id="22" w:name="_Toc25207"/>
      <w:bookmarkStart w:id="23" w:name="_Toc477422630"/>
      <w:bookmarkStart w:id="24" w:name="_Toc24404"/>
      <w:bookmarkStart w:id="25" w:name="_Toc477422817"/>
      <w:bookmarkStart w:id="26" w:name="_Toc5146"/>
      <w:r>
        <w:rPr>
          <w:rFonts w:hint="eastAsia" w:ascii="宋体" w:hAnsi="宋体" w:eastAsia="宋体" w:cs="宋体"/>
          <w:color w:val="auto"/>
          <w:sz w:val="24"/>
          <w:szCs w:val="24"/>
        </w:rPr>
        <w:t>1）初步评审标准</w:t>
      </w:r>
      <w:bookmarkEnd w:id="20"/>
      <w:bookmarkEnd w:id="21"/>
      <w:bookmarkEnd w:id="22"/>
      <w:bookmarkEnd w:id="23"/>
      <w:bookmarkEnd w:id="24"/>
      <w:bookmarkEnd w:id="25"/>
      <w:bookmarkEnd w:id="26"/>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（1)形式评审标准：见评标办法前附表；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（2)资格评审标准：见评标办法前附表；</w:t>
      </w:r>
    </w:p>
    <w:p>
      <w:pPr>
        <w:spacing w:line="600" w:lineRule="exact"/>
        <w:ind w:firstLine="480" w:firstLineChars="200"/>
        <w:rPr>
          <w:rFonts w:ascii="宋体" w:hAnsi="宋体" w:eastAsia="宋体" w:cs="宋体"/>
          <w:color w:val="auto"/>
          <w:sz w:val="24"/>
          <w:szCs w:val="24"/>
          <w:lang w:bidi="ar"/>
        </w:rPr>
      </w:pPr>
      <w:r>
        <w:rPr>
          <w:rFonts w:hint="eastAsia" w:ascii="宋体" w:hAnsi="宋体" w:eastAsia="宋体" w:cs="宋体"/>
          <w:color w:val="auto"/>
          <w:sz w:val="24"/>
          <w:szCs w:val="24"/>
          <w:lang w:bidi="ar"/>
        </w:rPr>
        <w:t>（3)响应性评审标准：见评标办法前附表。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rPr>
        <w:t>符合下列条件的投标文件，其投标将被否决，不再进入详细的评审阶段；</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●投标文件未按规定编写，未按要求加盖单位电子签章或法定代表人或被授权委托人签字或盖章的；</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●投标文件无报价，报价出现负数或投标报价高于招标控制价的；</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●投标文件无合同履约期限或大于招标文件规定的合同履约期限；</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●投标文件附有采购人不能接受的条件的；</w:t>
      </w:r>
    </w:p>
    <w:p>
      <w:pPr>
        <w:spacing w:line="600" w:lineRule="exact"/>
        <w:ind w:left="178" w:leftChars="8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●有关法律、法规规章规定的其他情况。</w:t>
      </w:r>
    </w:p>
    <w:p>
      <w:pPr>
        <w:spacing w:line="600" w:lineRule="exact"/>
        <w:rPr>
          <w:rFonts w:ascii="宋体" w:hAnsi="宋体" w:eastAsia="宋体" w:cs="宋体"/>
          <w:color w:val="auto"/>
          <w:sz w:val="24"/>
          <w:szCs w:val="24"/>
        </w:rPr>
      </w:pPr>
      <w:bookmarkStart w:id="27" w:name="_Toc25490"/>
      <w:bookmarkStart w:id="28" w:name="_Toc27677"/>
      <w:r>
        <w:rPr>
          <w:rFonts w:hint="eastAsia" w:ascii="宋体" w:hAnsi="宋体" w:eastAsia="宋体" w:cs="宋体"/>
          <w:color w:val="auto"/>
          <w:sz w:val="24"/>
          <w:szCs w:val="24"/>
        </w:rPr>
        <w:t xml:space="preserve">    </w:t>
      </w:r>
      <w:bookmarkStart w:id="29" w:name="_Toc11835"/>
      <w:bookmarkStart w:id="30" w:name="_Toc477422818"/>
      <w:bookmarkStart w:id="31" w:name="_Toc564"/>
      <w:bookmarkStart w:id="32" w:name="_Toc477422631"/>
      <w:bookmarkStart w:id="33" w:name="_Toc26256"/>
      <w:r>
        <w:rPr>
          <w:rFonts w:hint="eastAsia" w:ascii="宋体" w:hAnsi="宋体" w:eastAsia="宋体" w:cs="宋体"/>
          <w:color w:val="auto"/>
          <w:sz w:val="24"/>
          <w:szCs w:val="24"/>
        </w:rPr>
        <w:t>2）分值构成与评分标准</w:t>
      </w:r>
      <w:bookmarkEnd w:id="27"/>
      <w:bookmarkEnd w:id="28"/>
      <w:bookmarkEnd w:id="29"/>
      <w:bookmarkEnd w:id="30"/>
      <w:bookmarkEnd w:id="31"/>
      <w:bookmarkEnd w:id="32"/>
      <w:bookmarkEnd w:id="33"/>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（1)分值构成</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a投标报价：见评标办法前附表；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b商务标：见评标办法前附表；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c技术标：见评标办法前附表。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（2)评标基准价计算</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a评标基准价计算方法：见评标办法前附表；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b投标报价评审方法：见评标办法前附表。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（3)评分标准</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a投标报价评分标准：见评标办法前附表；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b商务标评分标准：见评标办法前附表；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 c技术标评分标准：见评标办法前附表。</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（4）最终得分的确定</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a投标人最终得分=投标报价部分得分+商务标部分得分+技术标部分得分；</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b评标委员会完成对投标报价、商务标和技术标的汇总后，取平均值作为该投标人的最终得分；</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c最终得分计算分值保留两位小数。</w:t>
      </w:r>
    </w:p>
    <w:p>
      <w:pPr>
        <w:spacing w:line="600" w:lineRule="exact"/>
        <w:rPr>
          <w:rFonts w:ascii="宋体" w:hAnsi="宋体" w:eastAsia="宋体" w:cs="宋体"/>
          <w:color w:val="auto"/>
          <w:sz w:val="24"/>
          <w:szCs w:val="24"/>
        </w:rPr>
      </w:pPr>
      <w:bookmarkStart w:id="34" w:name="_Toc477422819"/>
      <w:bookmarkStart w:id="35" w:name="_Toc7042_WPSOffice_Level2"/>
      <w:bookmarkStart w:id="36" w:name="_Toc477422632"/>
      <w:bookmarkStart w:id="37" w:name="_Toc24226_WPSOffice_Level2"/>
      <w:bookmarkStart w:id="38" w:name="_Toc20979_WPSOffice_Level2"/>
      <w:bookmarkStart w:id="39" w:name="_Toc30927_WPSOffice_Level2"/>
      <w:bookmarkStart w:id="40" w:name="_Toc15252"/>
      <w:bookmarkStart w:id="41" w:name="_Toc24745"/>
      <w:bookmarkStart w:id="42" w:name="_Toc13498_WPSOffice_Level2"/>
      <w:bookmarkStart w:id="43" w:name="_Toc22390"/>
      <w:bookmarkStart w:id="44" w:name="_Toc21125"/>
      <w:bookmarkStart w:id="45" w:name="_Toc29002"/>
      <w:bookmarkStart w:id="46" w:name="_Toc22286_WPSOffice_Level2"/>
      <w:r>
        <w:rPr>
          <w:rFonts w:hint="eastAsia" w:ascii="宋体" w:hAnsi="宋体" w:eastAsia="宋体" w:cs="宋体"/>
          <w:color w:val="auto"/>
          <w:sz w:val="24"/>
          <w:szCs w:val="24"/>
        </w:rPr>
        <w:t>3投标文件的澄清和补正</w:t>
      </w:r>
      <w:bookmarkEnd w:id="34"/>
      <w:bookmarkEnd w:id="35"/>
      <w:bookmarkEnd w:id="36"/>
      <w:bookmarkEnd w:id="37"/>
      <w:bookmarkEnd w:id="38"/>
      <w:bookmarkEnd w:id="39"/>
      <w:bookmarkEnd w:id="40"/>
      <w:bookmarkEnd w:id="41"/>
      <w:bookmarkEnd w:id="42"/>
      <w:bookmarkEnd w:id="43"/>
      <w:bookmarkEnd w:id="44"/>
      <w:bookmarkEnd w:id="45"/>
      <w:bookmarkEnd w:id="46"/>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1) 在评标过程中，评标委员会可以书面形式要求投标人对所提交投标文件中不明确的内容进行书面澄清或说明，或者对细微偏差进行补正。评标委员会不接受投标人主动提出的澄清、说明或补正；</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2）澄清、说明和补正不得改变投标文件的实质性内容（算术性错误修正的除外）。投标人的书面澄清、说明和补正属于投标文件的组成部分；</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 xml:space="preserve">3）评标委员会对投标人提交的澄清、说明或补正有疑问的，可以要求投标人进一步澄清、说明或补正，直至满足评标委员会的要求。 </w:t>
      </w:r>
    </w:p>
    <w:p>
      <w:pPr>
        <w:spacing w:line="600" w:lineRule="exact"/>
        <w:rPr>
          <w:rFonts w:ascii="宋体" w:hAnsi="宋体" w:eastAsia="宋体" w:cs="宋体"/>
          <w:b/>
          <w:bCs/>
          <w:color w:val="auto"/>
          <w:sz w:val="24"/>
          <w:szCs w:val="24"/>
          <w:lang w:bidi="ar"/>
        </w:rPr>
      </w:pPr>
      <w:bookmarkStart w:id="47" w:name="_Toc24590"/>
      <w:r>
        <w:rPr>
          <w:rFonts w:hint="eastAsia" w:ascii="宋体" w:hAnsi="宋体" w:eastAsia="宋体" w:cs="宋体"/>
          <w:b/>
          <w:bCs/>
          <w:color w:val="auto"/>
          <w:sz w:val="24"/>
          <w:szCs w:val="24"/>
          <w:lang w:bidi="ar"/>
        </w:rPr>
        <w:t>七、授予合同</w:t>
      </w:r>
      <w:bookmarkEnd w:id="47"/>
    </w:p>
    <w:p>
      <w:pPr>
        <w:spacing w:line="600" w:lineRule="exact"/>
        <w:ind w:firstLine="567"/>
        <w:rPr>
          <w:rFonts w:ascii="宋体" w:hAnsi="宋体" w:eastAsia="宋体" w:cs="宋体"/>
          <w:b/>
          <w:color w:val="auto"/>
          <w:sz w:val="24"/>
          <w:szCs w:val="24"/>
        </w:rPr>
      </w:pPr>
      <w:bookmarkStart w:id="48" w:name="_Toc30490"/>
      <w:r>
        <w:rPr>
          <w:rFonts w:hint="eastAsia" w:ascii="宋体" w:hAnsi="宋体" w:eastAsia="宋体" w:cs="宋体"/>
          <w:b/>
          <w:color w:val="auto"/>
          <w:sz w:val="24"/>
          <w:szCs w:val="24"/>
        </w:rPr>
        <w:t>7.1 定标</w:t>
      </w:r>
      <w:bookmarkEnd w:id="48"/>
    </w:p>
    <w:p>
      <w:pPr>
        <w:spacing w:line="600" w:lineRule="exact"/>
        <w:ind w:firstLine="633" w:firstLineChars="264"/>
        <w:rPr>
          <w:rFonts w:ascii="宋体" w:hAnsi="宋体" w:eastAsia="宋体" w:cs="宋体"/>
          <w:color w:val="auto"/>
          <w:sz w:val="24"/>
          <w:szCs w:val="24"/>
        </w:rPr>
      </w:pPr>
      <w:bookmarkStart w:id="49" w:name="_Toc413069769"/>
      <w:r>
        <w:rPr>
          <w:rFonts w:hint="eastAsia" w:ascii="宋体" w:hAnsi="宋体" w:eastAsia="宋体" w:cs="宋体"/>
          <w:color w:val="auto"/>
          <w:sz w:val="24"/>
          <w:szCs w:val="24"/>
        </w:rPr>
        <w:t>7.1.1评委委员会通过对各投标文件进行详细评审并完成评标后，向采购人提交书面评标报告。评标报告中按照投标文件最终得分由高到低进行排序，并向采购人推荐1-3名作为中标候选人。</w:t>
      </w:r>
    </w:p>
    <w:p>
      <w:pPr>
        <w:spacing w:line="600" w:lineRule="exact"/>
        <w:ind w:firstLine="633" w:firstLineChars="264"/>
        <w:rPr>
          <w:rFonts w:ascii="宋体" w:hAnsi="宋体" w:eastAsia="宋体" w:cs="宋体"/>
          <w:color w:val="auto"/>
          <w:sz w:val="24"/>
          <w:szCs w:val="24"/>
        </w:rPr>
      </w:pPr>
      <w:r>
        <w:rPr>
          <w:rFonts w:hint="eastAsia" w:ascii="宋体" w:hAnsi="宋体" w:eastAsia="宋体" w:cs="宋体"/>
          <w:color w:val="auto"/>
          <w:sz w:val="24"/>
          <w:szCs w:val="24"/>
        </w:rPr>
        <w:t>7.1.2、采购人对评标委员会推荐的中标候选人进行选择，原则上第一名中标，如第一名提出不能履行合同或者放弃中标资格，向下顺延确定一名中标人。</w:t>
      </w:r>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7.1.3、当送达的投标文件不足3份或评标结果全为无效标时；及经过评审，若所有的供应商均未能通过符合性审查，招标方可在取得评标监督人同意后宣布招标失败，并通知各供应商。采购人根据相关规定重新组织招标。</w:t>
      </w:r>
    </w:p>
    <w:p>
      <w:pPr>
        <w:spacing w:line="600" w:lineRule="exact"/>
        <w:rPr>
          <w:rFonts w:ascii="宋体" w:hAnsi="宋体" w:eastAsia="宋体" w:cs="宋体"/>
          <w:b/>
          <w:color w:val="auto"/>
          <w:sz w:val="24"/>
          <w:szCs w:val="24"/>
        </w:rPr>
      </w:pPr>
      <w:r>
        <w:rPr>
          <w:rFonts w:hint="eastAsia" w:ascii="宋体" w:hAnsi="宋体" w:eastAsia="宋体" w:cs="宋体"/>
          <w:b/>
          <w:color w:val="auto"/>
          <w:sz w:val="24"/>
          <w:szCs w:val="24"/>
          <w:lang w:bidi="ar"/>
        </w:rPr>
        <w:t>7.2其他</w:t>
      </w:r>
    </w:p>
    <w:p>
      <w:pPr>
        <w:spacing w:line="600" w:lineRule="exact"/>
        <w:ind w:firstLine="633" w:firstLineChars="264"/>
        <w:rPr>
          <w:rFonts w:ascii="宋体" w:hAnsi="宋体" w:eastAsia="宋体" w:cs="宋体"/>
          <w:color w:val="auto"/>
          <w:sz w:val="24"/>
          <w:szCs w:val="24"/>
        </w:rPr>
      </w:pPr>
      <w:r>
        <w:rPr>
          <w:rFonts w:hint="eastAsia" w:ascii="宋体" w:hAnsi="宋体" w:eastAsia="宋体" w:cs="宋体"/>
          <w:color w:val="auto"/>
          <w:sz w:val="24"/>
          <w:szCs w:val="24"/>
        </w:rPr>
        <w:t>7.2.1、除投标报价外的其他项内容的评审首先由评标委员会的各成员自主打分，汇总时在自主打分的记分结果中，进行算术平均，以算术平均值作为该项的最终加、减分值。</w:t>
      </w:r>
    </w:p>
    <w:p>
      <w:pPr>
        <w:spacing w:line="60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7.2.2、计分按四舍五入取至小数点后二位。</w:t>
      </w:r>
    </w:p>
    <w:p>
      <w:pPr>
        <w:spacing w:line="60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7.2.3、在评标过程中，如发现本办法中条款与投标须知中相关条款不一致，以本办法中的相关条款为准。</w:t>
      </w:r>
    </w:p>
    <w:p>
      <w:pPr>
        <w:spacing w:line="600" w:lineRule="exact"/>
        <w:ind w:firstLine="633" w:firstLineChars="264"/>
        <w:rPr>
          <w:rFonts w:ascii="宋体" w:hAnsi="宋体" w:eastAsia="宋体" w:cs="宋体"/>
          <w:color w:val="auto"/>
          <w:sz w:val="24"/>
          <w:szCs w:val="24"/>
        </w:rPr>
      </w:pPr>
      <w:r>
        <w:rPr>
          <w:rFonts w:hint="eastAsia" w:ascii="宋体" w:hAnsi="宋体" w:eastAsia="宋体" w:cs="宋体"/>
          <w:color w:val="auto"/>
          <w:sz w:val="24"/>
          <w:szCs w:val="24"/>
        </w:rPr>
        <w:t>7.2.4、供应商必须对所提供资料的真实性负责，被推荐为中标候选人后，经采购人证实为提供虚假证明材料骗取中标的，除取消其中标资格外，还应赔偿采购人及代理机构的相关损失。</w:t>
      </w:r>
    </w:p>
    <w:p>
      <w:pPr>
        <w:spacing w:line="6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7.2.5、本办法仅适用于</w:t>
      </w:r>
      <w:r>
        <w:rPr>
          <w:rFonts w:hint="eastAsia" w:ascii="宋体" w:hAnsi="宋体" w:eastAsia="宋体" w:cs="宋体"/>
          <w:color w:val="auto"/>
          <w:sz w:val="24"/>
          <w:szCs w:val="24"/>
          <w:lang w:eastAsia="zh-CN"/>
        </w:rPr>
        <w:t>唐河县妇幼保健院购置四维彩超、麻醉机等医疗设备项目</w:t>
      </w:r>
      <w:r>
        <w:rPr>
          <w:rFonts w:hint="eastAsia" w:ascii="宋体" w:hAnsi="宋体" w:eastAsia="宋体" w:cs="宋体"/>
          <w:color w:val="auto"/>
          <w:sz w:val="24"/>
          <w:szCs w:val="24"/>
        </w:rPr>
        <w:t>招标的评标工作。</w:t>
      </w:r>
    </w:p>
    <w:p>
      <w:pPr>
        <w:spacing w:line="6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lang w:bidi="ar"/>
        </w:rPr>
        <w:t>7.2.6本招标文件未尽事宜按现行招标投标的有关法律法规和规定执行。如投标单位在本次投标活动中有违反相关法律法规的将根据相关法律法规和规定对其进行处罚。</w:t>
      </w:r>
    </w:p>
    <w:p>
      <w:pPr>
        <w:spacing w:line="600" w:lineRule="exact"/>
        <w:ind w:firstLine="567"/>
        <w:rPr>
          <w:rFonts w:ascii="宋体" w:hAnsi="宋体" w:eastAsia="宋体" w:cs="宋体"/>
          <w:b/>
          <w:color w:val="auto"/>
          <w:sz w:val="24"/>
          <w:szCs w:val="24"/>
        </w:rPr>
      </w:pPr>
      <w:bookmarkStart w:id="50" w:name="_Toc29503"/>
      <w:bookmarkStart w:id="51" w:name="_Toc17752"/>
      <w:r>
        <w:rPr>
          <w:rFonts w:hint="eastAsia" w:ascii="宋体" w:hAnsi="宋体" w:eastAsia="宋体" w:cs="宋体"/>
          <w:b/>
          <w:color w:val="auto"/>
          <w:sz w:val="24"/>
          <w:szCs w:val="24"/>
        </w:rPr>
        <w:t>7.3、中标通知</w:t>
      </w:r>
      <w:bookmarkEnd w:id="49"/>
      <w:bookmarkEnd w:id="50"/>
      <w:bookmarkEnd w:id="51"/>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7.3.1、中标供应商确定后，由招标方向其签发中标通知书。</w:t>
      </w:r>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7.3.2、中标通知书将作为签订合同的重要依据，对采购人与中标供应商具有法律效力。</w:t>
      </w:r>
    </w:p>
    <w:p>
      <w:pPr>
        <w:spacing w:line="600" w:lineRule="exact"/>
        <w:ind w:firstLine="567"/>
        <w:rPr>
          <w:rFonts w:ascii="宋体" w:hAnsi="宋体" w:eastAsia="宋体" w:cs="宋体"/>
          <w:b/>
          <w:color w:val="auto"/>
          <w:sz w:val="24"/>
          <w:szCs w:val="24"/>
        </w:rPr>
      </w:pPr>
      <w:bookmarkStart w:id="52" w:name="_Toc413069771"/>
      <w:bookmarkStart w:id="53" w:name="_Toc11501"/>
      <w:bookmarkStart w:id="54" w:name="_Toc22244"/>
      <w:r>
        <w:rPr>
          <w:rFonts w:hint="eastAsia" w:ascii="宋体" w:hAnsi="宋体" w:eastAsia="宋体" w:cs="宋体"/>
          <w:b/>
          <w:color w:val="auto"/>
          <w:sz w:val="24"/>
          <w:szCs w:val="24"/>
        </w:rPr>
        <w:t>7.4、签订合同</w:t>
      </w:r>
      <w:bookmarkEnd w:id="52"/>
      <w:bookmarkEnd w:id="53"/>
      <w:bookmarkEnd w:id="54"/>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7.4.1、中标人必须在接到中标通知书时向招标代理公司交纳招标代理服务费，接到中标通知书后应在1日内与采购人签订合同。</w:t>
      </w:r>
    </w:p>
    <w:p>
      <w:pPr>
        <w:spacing w:line="600" w:lineRule="exact"/>
        <w:ind w:firstLine="567"/>
        <w:rPr>
          <w:rFonts w:ascii="宋体" w:hAnsi="宋体" w:eastAsia="宋体" w:cs="宋体"/>
          <w:color w:val="auto"/>
          <w:sz w:val="24"/>
          <w:szCs w:val="24"/>
        </w:rPr>
      </w:pPr>
      <w:r>
        <w:rPr>
          <w:rFonts w:hint="eastAsia" w:ascii="宋体" w:hAnsi="宋体" w:eastAsia="宋体" w:cs="宋体"/>
          <w:color w:val="auto"/>
          <w:sz w:val="24"/>
          <w:szCs w:val="24"/>
        </w:rPr>
        <w:t>7.4.2、招标文件、投标文件、供应商在开标过程中的补充确认材料以及中标通知书，均作为合同签订的依据。</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7.4.3、如果中标人不按其投标文件承诺和招标文件要求签订合同，招标方将取消其中标资格另定中标供应商。</w:t>
      </w:r>
    </w:p>
    <w:p>
      <w:pPr>
        <w:pStyle w:val="45"/>
        <w:spacing w:line="600" w:lineRule="exact"/>
        <w:ind w:firstLine="482" w:firstLineChars="200"/>
        <w:rPr>
          <w:rFonts w:ascii="宋体" w:hAnsi="宋体" w:eastAsia="宋体" w:cs="宋体"/>
          <w:b/>
          <w:bCs/>
          <w:color w:val="auto"/>
          <w:sz w:val="24"/>
          <w:szCs w:val="24"/>
        </w:rPr>
        <w:sectPr>
          <w:headerReference r:id="rId8" w:type="default"/>
          <w:footerReference r:id="rId9" w:type="default"/>
          <w:pgSz w:w="11906" w:h="16838"/>
          <w:pgMar w:top="1440" w:right="1080" w:bottom="1118" w:left="1080" w:header="851" w:footer="992" w:gutter="0"/>
          <w:cols w:space="720" w:num="1"/>
          <w:docGrid w:type="lines" w:linePitch="312" w:charSpace="0"/>
        </w:sectPr>
      </w:pPr>
      <w:r>
        <w:rPr>
          <w:rFonts w:hint="eastAsia" w:ascii="宋体" w:hAnsi="宋体" w:eastAsia="宋体" w:cs="宋体"/>
          <w:b/>
          <w:bCs/>
          <w:color w:val="auto"/>
          <w:sz w:val="24"/>
          <w:szCs w:val="24"/>
        </w:rPr>
        <w:t>7.4.4、采购人应在中标通知书发出之日起1个工作日内与中标供应商尽快签订合同，在合同签订1个工作日内通过公共资源交易中心系统内合同备案进行上传后公告，在合同签订1个工作日内报财政部门备案，同时采购人要按照合同约定及时向成交供应商支付合同资金，加快合同资金支付进度。对于无故未在规定时间内签订合同、未及时进行合同公告及备案的行为，要依法处理并进行通报。</w:t>
      </w:r>
    </w:p>
    <w:p>
      <w:pPr>
        <w:rPr>
          <w:rFonts w:ascii="宋体" w:hAnsi="宋体" w:eastAsia="宋体" w:cs="宋体"/>
          <w:spacing w:val="1"/>
          <w:sz w:val="24"/>
          <w:szCs w:val="24"/>
        </w:rPr>
      </w:pPr>
    </w:p>
    <w:p>
      <w:pPr>
        <w:spacing w:before="101" w:line="360" w:lineRule="auto"/>
        <w:ind w:left="3469"/>
        <w:outlineLvl w:val="0"/>
        <w:rPr>
          <w:rFonts w:ascii="宋体" w:hAnsi="宋体" w:eastAsia="宋体" w:cs="宋体"/>
          <w:b/>
          <w:bCs/>
          <w:sz w:val="31"/>
          <w:szCs w:val="31"/>
        </w:rPr>
      </w:pPr>
      <w:bookmarkStart w:id="55" w:name="_Toc21724"/>
      <w:r>
        <w:rPr>
          <w:rFonts w:ascii="宋体" w:hAnsi="宋体" w:eastAsia="宋体" w:cs="宋体"/>
          <w:b/>
          <w:bCs/>
          <w:spacing w:val="15"/>
          <w:sz w:val="31"/>
          <w:szCs w:val="31"/>
        </w:rPr>
        <w:t>第</w:t>
      </w:r>
      <w:r>
        <w:rPr>
          <w:rFonts w:hint="eastAsia" w:ascii="宋体" w:hAnsi="宋体" w:eastAsia="宋体" w:cs="宋体"/>
          <w:b/>
          <w:bCs/>
          <w:spacing w:val="8"/>
          <w:sz w:val="31"/>
          <w:szCs w:val="31"/>
        </w:rPr>
        <w:t>五</w:t>
      </w:r>
      <w:r>
        <w:rPr>
          <w:rFonts w:ascii="宋体" w:hAnsi="宋体" w:eastAsia="宋体" w:cs="宋体"/>
          <w:b/>
          <w:bCs/>
          <w:spacing w:val="8"/>
          <w:sz w:val="31"/>
          <w:szCs w:val="31"/>
        </w:rPr>
        <w:t>部分</w:t>
      </w:r>
      <w:r>
        <w:rPr>
          <w:rFonts w:hint="eastAsia" w:ascii="宋体" w:hAnsi="宋体" w:eastAsia="宋体" w:cs="宋体"/>
          <w:b/>
          <w:bCs/>
          <w:spacing w:val="8"/>
          <w:sz w:val="31"/>
          <w:szCs w:val="31"/>
        </w:rPr>
        <w:t xml:space="preserve"> </w:t>
      </w:r>
      <w:r>
        <w:rPr>
          <w:rFonts w:ascii="宋体" w:hAnsi="宋体" w:eastAsia="宋体" w:cs="宋体"/>
          <w:b/>
          <w:bCs/>
          <w:spacing w:val="8"/>
          <w:sz w:val="31"/>
          <w:szCs w:val="31"/>
        </w:rPr>
        <w:t>合同格式</w:t>
      </w:r>
      <w:bookmarkEnd w:id="55"/>
    </w:p>
    <w:p>
      <w:pPr>
        <w:widowControl w:val="0"/>
        <w:kinsoku/>
        <w:adjustRightInd/>
        <w:snapToGrid/>
        <w:spacing w:line="360" w:lineRule="auto"/>
        <w:ind w:firstLine="640" w:firstLineChars="200"/>
        <w:jc w:val="center"/>
        <w:textAlignment w:val="auto"/>
        <w:rPr>
          <w:b/>
          <w:sz w:val="32"/>
          <w:szCs w:val="32"/>
        </w:rPr>
      </w:pPr>
      <w:r>
        <w:rPr>
          <w:rFonts w:hint="eastAsia"/>
          <w:b/>
          <w:sz w:val="32"/>
          <w:szCs w:val="32"/>
        </w:rPr>
        <w:t>（仅供参考 以签订正式合同时为准）</w:t>
      </w:r>
    </w:p>
    <w:p>
      <w:pPr>
        <w:widowControl w:val="0"/>
        <w:kinsoku/>
        <w:adjustRightInd/>
        <w:snapToGrid/>
        <w:spacing w:line="360" w:lineRule="auto"/>
        <w:ind w:firstLine="480" w:firstLineChars="200"/>
        <w:jc w:val="both"/>
        <w:textAlignment w:val="auto"/>
        <w:rPr>
          <w:sz w:val="24"/>
        </w:rPr>
      </w:pPr>
      <w:r>
        <w:rPr>
          <w:rFonts w:hint="eastAsia"/>
          <w:sz w:val="24"/>
        </w:rPr>
        <w:t>《中华人民共和国招标投标法》、《中华人民共和国政府采购法》和其他法律、法规的规定，并按照公正、平等、自愿、诚实信用的原则，同意按照以下条款和条件，签署本合同。</w:t>
      </w:r>
    </w:p>
    <w:p>
      <w:pPr>
        <w:widowControl w:val="0"/>
        <w:kinsoku/>
        <w:adjustRightInd/>
        <w:snapToGrid/>
        <w:spacing w:line="360" w:lineRule="auto"/>
        <w:ind w:firstLine="480" w:firstLineChars="200"/>
        <w:jc w:val="both"/>
        <w:textAlignment w:val="auto"/>
        <w:rPr>
          <w:sz w:val="24"/>
        </w:rPr>
      </w:pPr>
      <w:bookmarkStart w:id="56" w:name="_Toc22466_WPSOffice_Level2"/>
      <w:r>
        <w:rPr>
          <w:rFonts w:hint="eastAsia"/>
          <w:sz w:val="24"/>
        </w:rPr>
        <w:t>合同文件</w:t>
      </w:r>
      <w:bookmarkEnd w:id="56"/>
    </w:p>
    <w:p>
      <w:pPr>
        <w:widowControl w:val="0"/>
        <w:kinsoku/>
        <w:adjustRightInd/>
        <w:snapToGrid/>
        <w:spacing w:line="360" w:lineRule="auto"/>
        <w:ind w:firstLine="480" w:firstLineChars="200"/>
        <w:jc w:val="both"/>
        <w:textAlignment w:val="auto"/>
        <w:rPr>
          <w:sz w:val="24"/>
        </w:rPr>
      </w:pPr>
      <w:bookmarkStart w:id="57" w:name="_Toc25689"/>
      <w:bookmarkStart w:id="58" w:name="_Toc20611"/>
      <w:r>
        <w:rPr>
          <w:rFonts w:hint="eastAsia"/>
          <w:sz w:val="24"/>
        </w:rPr>
        <w:t>本合同所附下列文件是构成本合同不可分割的部分：</w:t>
      </w:r>
      <w:bookmarkEnd w:id="57"/>
      <w:bookmarkEnd w:id="58"/>
    </w:p>
    <w:p>
      <w:pPr>
        <w:widowControl w:val="0"/>
        <w:kinsoku/>
        <w:adjustRightInd/>
        <w:snapToGrid/>
        <w:spacing w:line="360" w:lineRule="auto"/>
        <w:ind w:firstLine="480" w:firstLineChars="200"/>
        <w:jc w:val="both"/>
        <w:textAlignment w:val="auto"/>
        <w:rPr>
          <w:sz w:val="24"/>
        </w:rPr>
      </w:pPr>
      <w:bookmarkStart w:id="59" w:name="_Toc12304"/>
      <w:bookmarkStart w:id="60" w:name="_Toc25255"/>
      <w:r>
        <w:rPr>
          <w:rFonts w:hint="eastAsia"/>
          <w:sz w:val="24"/>
        </w:rPr>
        <w:t>（一）本项目招标文件</w:t>
      </w:r>
      <w:bookmarkEnd w:id="59"/>
      <w:bookmarkEnd w:id="60"/>
    </w:p>
    <w:p>
      <w:pPr>
        <w:widowControl w:val="0"/>
        <w:kinsoku/>
        <w:adjustRightInd/>
        <w:snapToGrid/>
        <w:spacing w:line="360" w:lineRule="auto"/>
        <w:ind w:firstLine="480" w:firstLineChars="200"/>
        <w:jc w:val="both"/>
        <w:textAlignment w:val="auto"/>
        <w:rPr>
          <w:sz w:val="24"/>
        </w:rPr>
      </w:pPr>
      <w:bookmarkStart w:id="61" w:name="_Toc3310"/>
      <w:bookmarkStart w:id="62" w:name="_Toc8524"/>
      <w:r>
        <w:rPr>
          <w:rFonts w:hint="eastAsia"/>
          <w:sz w:val="24"/>
        </w:rPr>
        <w:t>（二）供应商的投标文件</w:t>
      </w:r>
      <w:bookmarkEnd w:id="61"/>
      <w:bookmarkEnd w:id="62"/>
    </w:p>
    <w:p>
      <w:pPr>
        <w:widowControl w:val="0"/>
        <w:kinsoku/>
        <w:adjustRightInd/>
        <w:snapToGrid/>
        <w:spacing w:line="360" w:lineRule="auto"/>
        <w:ind w:firstLine="480" w:firstLineChars="200"/>
        <w:jc w:val="both"/>
        <w:textAlignment w:val="auto"/>
        <w:rPr>
          <w:sz w:val="24"/>
        </w:rPr>
      </w:pPr>
      <w:bookmarkStart w:id="63" w:name="_Toc11043"/>
      <w:bookmarkStart w:id="64" w:name="_Toc13552"/>
      <w:r>
        <w:rPr>
          <w:rFonts w:hint="eastAsia"/>
          <w:sz w:val="24"/>
        </w:rPr>
        <w:t>（三）合同格式、合同条款</w:t>
      </w:r>
      <w:bookmarkEnd w:id="63"/>
      <w:bookmarkEnd w:id="64"/>
    </w:p>
    <w:p>
      <w:pPr>
        <w:widowControl w:val="0"/>
        <w:kinsoku/>
        <w:adjustRightInd/>
        <w:snapToGrid/>
        <w:spacing w:line="360" w:lineRule="auto"/>
        <w:ind w:firstLine="480" w:firstLineChars="200"/>
        <w:jc w:val="both"/>
        <w:textAlignment w:val="auto"/>
        <w:rPr>
          <w:sz w:val="24"/>
        </w:rPr>
      </w:pPr>
      <w:bookmarkStart w:id="65" w:name="_Toc3434"/>
      <w:bookmarkStart w:id="66" w:name="_Toc17684"/>
      <w:r>
        <w:rPr>
          <w:rFonts w:hint="eastAsia"/>
          <w:sz w:val="24"/>
        </w:rPr>
        <w:t>（四）中标人在评标过程中做出的有关澄清、说明或者补正文件</w:t>
      </w:r>
      <w:bookmarkEnd w:id="65"/>
      <w:bookmarkEnd w:id="66"/>
    </w:p>
    <w:p>
      <w:pPr>
        <w:widowControl w:val="0"/>
        <w:kinsoku/>
        <w:adjustRightInd/>
        <w:snapToGrid/>
        <w:spacing w:line="360" w:lineRule="auto"/>
        <w:ind w:firstLine="480" w:firstLineChars="200"/>
        <w:jc w:val="both"/>
        <w:textAlignment w:val="auto"/>
        <w:rPr>
          <w:sz w:val="24"/>
        </w:rPr>
      </w:pPr>
      <w:bookmarkStart w:id="67" w:name="_Toc17949"/>
      <w:bookmarkStart w:id="68" w:name="_Toc24029"/>
      <w:r>
        <w:rPr>
          <w:rFonts w:hint="eastAsia"/>
          <w:sz w:val="24"/>
        </w:rPr>
        <w:t>（五）</w:t>
      </w:r>
      <w:r>
        <w:rPr>
          <w:rFonts w:hint="eastAsia" w:ascii="宋体" w:hAnsi="宋体" w:eastAsia="宋体" w:cs="宋体"/>
          <w:sz w:val="24"/>
          <w:szCs w:val="24"/>
        </w:rPr>
        <w:t>中标</w:t>
      </w:r>
      <w:r>
        <w:rPr>
          <w:rFonts w:hint="eastAsia"/>
          <w:sz w:val="24"/>
        </w:rPr>
        <w:t>通知书</w:t>
      </w:r>
      <w:bookmarkEnd w:id="67"/>
      <w:bookmarkEnd w:id="68"/>
    </w:p>
    <w:p>
      <w:pPr>
        <w:widowControl w:val="0"/>
        <w:kinsoku/>
        <w:adjustRightInd/>
        <w:snapToGrid/>
        <w:spacing w:line="360" w:lineRule="auto"/>
        <w:ind w:firstLine="480" w:firstLineChars="200"/>
        <w:jc w:val="both"/>
        <w:textAlignment w:val="auto"/>
        <w:rPr>
          <w:sz w:val="24"/>
        </w:rPr>
      </w:pPr>
      <w:bookmarkStart w:id="69" w:name="_Toc25248"/>
      <w:bookmarkStart w:id="70" w:name="_Toc4313"/>
      <w:r>
        <w:rPr>
          <w:rFonts w:hint="eastAsia"/>
          <w:sz w:val="24"/>
        </w:rPr>
        <w:t>（六）本合同附件</w:t>
      </w:r>
      <w:bookmarkEnd w:id="69"/>
      <w:bookmarkEnd w:id="70"/>
    </w:p>
    <w:p>
      <w:pPr>
        <w:widowControl w:val="0"/>
        <w:kinsoku/>
        <w:adjustRightInd/>
        <w:snapToGrid/>
        <w:spacing w:line="360" w:lineRule="auto"/>
        <w:ind w:firstLine="480" w:firstLineChars="200"/>
        <w:jc w:val="both"/>
        <w:textAlignment w:val="auto"/>
        <w:rPr>
          <w:sz w:val="24"/>
        </w:rPr>
      </w:pPr>
      <w:bookmarkStart w:id="71" w:name="_Toc13630_WPSOffice_Level2"/>
      <w:bookmarkStart w:id="72" w:name="_Toc24717"/>
      <w:bookmarkStart w:id="73" w:name="_Toc7727"/>
      <w:r>
        <w:rPr>
          <w:rFonts w:hint="eastAsia"/>
          <w:sz w:val="24"/>
        </w:rPr>
        <w:t>二、合同的范围和条件</w:t>
      </w:r>
      <w:bookmarkEnd w:id="71"/>
      <w:bookmarkEnd w:id="72"/>
      <w:bookmarkEnd w:id="73"/>
    </w:p>
    <w:p>
      <w:pPr>
        <w:widowControl w:val="0"/>
        <w:kinsoku/>
        <w:adjustRightInd/>
        <w:snapToGrid/>
        <w:spacing w:line="360" w:lineRule="auto"/>
        <w:ind w:firstLine="480" w:firstLineChars="200"/>
        <w:jc w:val="both"/>
        <w:textAlignment w:val="auto"/>
        <w:rPr>
          <w:sz w:val="24"/>
        </w:rPr>
      </w:pPr>
      <w:r>
        <w:rPr>
          <w:rFonts w:hint="eastAsia"/>
          <w:sz w:val="24"/>
        </w:rPr>
        <w:t>本合同的范围和条件应与上述合同文件的规定相一致。</w:t>
      </w:r>
    </w:p>
    <w:p>
      <w:pPr>
        <w:widowControl w:val="0"/>
        <w:kinsoku/>
        <w:adjustRightInd/>
        <w:snapToGrid/>
        <w:spacing w:line="360" w:lineRule="auto"/>
        <w:ind w:firstLine="480" w:firstLineChars="200"/>
        <w:jc w:val="both"/>
        <w:textAlignment w:val="auto"/>
        <w:rPr>
          <w:sz w:val="24"/>
        </w:rPr>
      </w:pPr>
      <w:bookmarkStart w:id="74" w:name="_Toc15521_WPSOffice_Level2"/>
      <w:bookmarkStart w:id="75" w:name="_Toc18794"/>
      <w:bookmarkStart w:id="76" w:name="_Toc21864"/>
      <w:r>
        <w:rPr>
          <w:rFonts w:hint="eastAsia"/>
          <w:sz w:val="24"/>
        </w:rPr>
        <w:t>三、合同金额</w:t>
      </w:r>
      <w:bookmarkEnd w:id="74"/>
      <w:bookmarkEnd w:id="75"/>
      <w:bookmarkEnd w:id="76"/>
    </w:p>
    <w:p>
      <w:pPr>
        <w:widowControl w:val="0"/>
        <w:kinsoku/>
        <w:adjustRightInd/>
        <w:snapToGrid/>
        <w:spacing w:line="360" w:lineRule="auto"/>
        <w:ind w:firstLine="480" w:firstLineChars="200"/>
        <w:jc w:val="both"/>
        <w:textAlignment w:val="auto"/>
        <w:rPr>
          <w:sz w:val="24"/>
        </w:rPr>
      </w:pPr>
      <w:bookmarkStart w:id="77" w:name="_Toc12265"/>
      <w:bookmarkStart w:id="78" w:name="_Toc15284"/>
      <w:r>
        <w:rPr>
          <w:rFonts w:hint="eastAsia"/>
          <w:sz w:val="24"/>
        </w:rPr>
        <w:t xml:space="preserve">合同总金额：人民币： </w:t>
      </w:r>
      <w:r>
        <w:rPr>
          <w:rFonts w:hint="eastAsia"/>
          <w:sz w:val="24"/>
        </w:rPr>
        <w:tab/>
      </w:r>
      <w:r>
        <w:rPr>
          <w:rFonts w:hint="eastAsia"/>
          <w:sz w:val="24"/>
        </w:rPr>
        <w:t xml:space="preserve">元（大写） 人民币： </w:t>
      </w:r>
      <w:r>
        <w:rPr>
          <w:rFonts w:hint="eastAsia"/>
          <w:sz w:val="24"/>
        </w:rPr>
        <w:tab/>
      </w:r>
      <w:r>
        <w:rPr>
          <w:rFonts w:hint="eastAsia"/>
          <w:sz w:val="24"/>
        </w:rPr>
        <w:t>元（小写）</w:t>
      </w:r>
      <w:bookmarkEnd w:id="77"/>
      <w:bookmarkEnd w:id="78"/>
    </w:p>
    <w:p>
      <w:pPr>
        <w:widowControl w:val="0"/>
        <w:kinsoku/>
        <w:adjustRightInd/>
        <w:snapToGrid/>
        <w:spacing w:line="360" w:lineRule="auto"/>
        <w:ind w:firstLine="480" w:firstLineChars="200"/>
        <w:jc w:val="both"/>
        <w:textAlignment w:val="auto"/>
        <w:rPr>
          <w:sz w:val="24"/>
        </w:rPr>
      </w:pPr>
      <w:bookmarkStart w:id="79" w:name="_Toc26017_WPSOffice_Level2"/>
      <w:r>
        <w:rPr>
          <w:rFonts w:hint="eastAsia"/>
          <w:sz w:val="24"/>
        </w:rPr>
        <w:t>质量要求：</w:t>
      </w:r>
      <w:bookmarkEnd w:id="79"/>
    </w:p>
    <w:p>
      <w:pPr>
        <w:widowControl w:val="0"/>
        <w:kinsoku/>
        <w:adjustRightInd/>
        <w:snapToGrid/>
        <w:spacing w:line="360" w:lineRule="auto"/>
        <w:ind w:firstLine="480" w:firstLineChars="200"/>
        <w:jc w:val="both"/>
        <w:textAlignment w:val="auto"/>
        <w:rPr>
          <w:sz w:val="24"/>
        </w:rPr>
      </w:pPr>
      <w:bookmarkStart w:id="80" w:name="_Toc4377_WPSOffice_Level2"/>
      <w:r>
        <w:rPr>
          <w:rFonts w:hint="eastAsia"/>
          <w:sz w:val="24"/>
        </w:rPr>
        <w:t>付款方式</w:t>
      </w:r>
      <w:bookmarkEnd w:id="80"/>
    </w:p>
    <w:p>
      <w:pPr>
        <w:widowControl w:val="0"/>
        <w:kinsoku/>
        <w:adjustRightInd/>
        <w:snapToGrid/>
        <w:spacing w:line="360" w:lineRule="auto"/>
        <w:ind w:firstLine="480" w:firstLineChars="200"/>
        <w:jc w:val="both"/>
        <w:textAlignment w:val="auto"/>
        <w:rPr>
          <w:sz w:val="24"/>
        </w:rPr>
      </w:pPr>
      <w:r>
        <w:rPr>
          <w:rFonts w:hint="eastAsia"/>
          <w:sz w:val="24"/>
        </w:rPr>
        <w:t>付款方式：</w:t>
      </w:r>
    </w:p>
    <w:p>
      <w:pPr>
        <w:widowControl w:val="0"/>
        <w:kinsoku/>
        <w:adjustRightInd/>
        <w:snapToGrid/>
        <w:spacing w:line="360" w:lineRule="auto"/>
        <w:ind w:firstLine="480" w:firstLineChars="200"/>
        <w:jc w:val="both"/>
        <w:textAlignment w:val="auto"/>
        <w:rPr>
          <w:sz w:val="24"/>
        </w:rPr>
      </w:pPr>
      <w:bookmarkStart w:id="81" w:name="_Toc12155_WPSOffice_Level2"/>
      <w:r>
        <w:rPr>
          <w:rFonts w:hint="eastAsia"/>
          <w:sz w:val="24"/>
        </w:rPr>
        <w:t>服务日期、地点</w:t>
      </w:r>
      <w:bookmarkEnd w:id="81"/>
    </w:p>
    <w:p>
      <w:pPr>
        <w:widowControl w:val="0"/>
        <w:kinsoku/>
        <w:adjustRightInd/>
        <w:snapToGrid/>
        <w:spacing w:line="360" w:lineRule="auto"/>
        <w:ind w:firstLine="480" w:firstLineChars="200"/>
        <w:jc w:val="both"/>
        <w:textAlignment w:val="auto"/>
        <w:rPr>
          <w:sz w:val="24"/>
        </w:rPr>
      </w:pPr>
      <w:r>
        <w:rPr>
          <w:rFonts w:hint="eastAsia"/>
          <w:sz w:val="24"/>
        </w:rPr>
        <w:t xml:space="preserve">服务时间：于 </w:t>
      </w:r>
      <w:r>
        <w:rPr>
          <w:rFonts w:hint="eastAsia"/>
          <w:sz w:val="24"/>
        </w:rPr>
        <w:tab/>
      </w:r>
      <w:r>
        <w:rPr>
          <w:rFonts w:hint="eastAsia"/>
          <w:sz w:val="24"/>
        </w:rPr>
        <w:t xml:space="preserve">年 </w:t>
      </w:r>
      <w:r>
        <w:rPr>
          <w:rFonts w:hint="eastAsia"/>
          <w:sz w:val="24"/>
        </w:rPr>
        <w:tab/>
      </w:r>
      <w:r>
        <w:rPr>
          <w:rFonts w:hint="eastAsia"/>
          <w:sz w:val="24"/>
        </w:rPr>
        <w:t xml:space="preserve">月 </w:t>
      </w:r>
      <w:r>
        <w:rPr>
          <w:rFonts w:hint="eastAsia"/>
          <w:sz w:val="24"/>
        </w:rPr>
        <w:tab/>
      </w:r>
      <w:r>
        <w:rPr>
          <w:rFonts w:hint="eastAsia"/>
          <w:sz w:val="24"/>
        </w:rPr>
        <w:t>日以前完成。</w:t>
      </w:r>
    </w:p>
    <w:p>
      <w:pPr>
        <w:widowControl w:val="0"/>
        <w:kinsoku/>
        <w:adjustRightInd/>
        <w:snapToGrid/>
        <w:spacing w:line="360" w:lineRule="auto"/>
        <w:ind w:firstLine="480" w:firstLineChars="200"/>
        <w:jc w:val="both"/>
        <w:textAlignment w:val="auto"/>
        <w:rPr>
          <w:sz w:val="24"/>
        </w:rPr>
      </w:pPr>
      <w:r>
        <w:rPr>
          <w:rFonts w:hint="eastAsia"/>
          <w:sz w:val="24"/>
        </w:rPr>
        <w:t>地点：甲方指定地点。</w:t>
      </w:r>
    </w:p>
    <w:p>
      <w:pPr>
        <w:widowControl w:val="0"/>
        <w:kinsoku/>
        <w:adjustRightInd/>
        <w:snapToGrid/>
        <w:spacing w:line="360" w:lineRule="auto"/>
        <w:ind w:firstLine="480" w:firstLineChars="200"/>
        <w:jc w:val="both"/>
        <w:textAlignment w:val="auto"/>
        <w:rPr>
          <w:sz w:val="24"/>
        </w:rPr>
      </w:pPr>
      <w:bookmarkStart w:id="82" w:name="_Toc30055_WPSOffice_Level2"/>
      <w:r>
        <w:rPr>
          <w:rFonts w:hint="eastAsia"/>
          <w:sz w:val="24"/>
        </w:rPr>
        <w:t>合同保存</w:t>
      </w:r>
      <w:bookmarkEnd w:id="82"/>
    </w:p>
    <w:p>
      <w:pPr>
        <w:widowControl w:val="0"/>
        <w:kinsoku/>
        <w:adjustRightInd/>
        <w:snapToGrid/>
        <w:spacing w:line="360" w:lineRule="auto"/>
        <w:ind w:firstLine="480" w:firstLineChars="200"/>
        <w:jc w:val="both"/>
        <w:textAlignment w:val="auto"/>
        <w:rPr>
          <w:sz w:val="24"/>
        </w:rPr>
      </w:pPr>
      <w:r>
        <w:rPr>
          <w:rFonts w:hint="eastAsia"/>
          <w:sz w:val="24"/>
        </w:rPr>
        <w:t xml:space="preserve">本合同一式 </w:t>
      </w:r>
      <w:r>
        <w:rPr>
          <w:rFonts w:hint="eastAsia"/>
          <w:sz w:val="24"/>
        </w:rPr>
        <w:tab/>
      </w:r>
      <w:r>
        <w:rPr>
          <w:rFonts w:hint="eastAsia"/>
          <w:sz w:val="24"/>
        </w:rPr>
        <w:t xml:space="preserve">份，甲方 </w:t>
      </w:r>
      <w:r>
        <w:rPr>
          <w:rFonts w:hint="eastAsia"/>
          <w:sz w:val="24"/>
        </w:rPr>
        <w:tab/>
      </w:r>
      <w:r>
        <w:rPr>
          <w:rFonts w:hint="eastAsia"/>
          <w:sz w:val="24"/>
        </w:rPr>
        <w:t xml:space="preserve">份，乙方 </w:t>
      </w:r>
      <w:r>
        <w:rPr>
          <w:rFonts w:hint="eastAsia"/>
          <w:sz w:val="24"/>
        </w:rPr>
        <w:tab/>
      </w:r>
      <w:r>
        <w:rPr>
          <w:rFonts w:hint="eastAsia"/>
          <w:sz w:val="24"/>
        </w:rPr>
        <w:t xml:space="preserve">份，采购代理机构 </w:t>
      </w:r>
      <w:r>
        <w:rPr>
          <w:rFonts w:hint="eastAsia"/>
          <w:sz w:val="24"/>
        </w:rPr>
        <w:tab/>
      </w:r>
      <w:r>
        <w:rPr>
          <w:rFonts w:hint="eastAsia"/>
          <w:sz w:val="24"/>
        </w:rPr>
        <w:t>份。</w:t>
      </w:r>
    </w:p>
    <w:p>
      <w:pPr>
        <w:widowControl w:val="0"/>
        <w:kinsoku/>
        <w:adjustRightInd/>
        <w:snapToGrid/>
        <w:spacing w:line="360" w:lineRule="auto"/>
        <w:ind w:firstLine="480" w:firstLineChars="200"/>
        <w:jc w:val="both"/>
        <w:textAlignment w:val="auto"/>
        <w:rPr>
          <w:sz w:val="24"/>
        </w:rPr>
      </w:pPr>
      <w:bookmarkStart w:id="83" w:name="_Toc30238_WPSOffice_Level2"/>
      <w:r>
        <w:rPr>
          <w:rFonts w:hint="eastAsia"/>
          <w:sz w:val="24"/>
        </w:rPr>
        <w:t>违约条款</w:t>
      </w:r>
      <w:bookmarkEnd w:id="83"/>
    </w:p>
    <w:p>
      <w:pPr>
        <w:widowControl w:val="0"/>
        <w:kinsoku/>
        <w:adjustRightInd/>
        <w:snapToGrid/>
        <w:spacing w:line="360" w:lineRule="auto"/>
        <w:ind w:firstLine="480" w:firstLineChars="200"/>
        <w:jc w:val="both"/>
        <w:textAlignment w:val="auto"/>
        <w:rPr>
          <w:sz w:val="24"/>
        </w:rPr>
      </w:pPr>
      <w:r>
        <w:rPr>
          <w:rFonts w:hint="eastAsia"/>
          <w:sz w:val="24"/>
        </w:rPr>
        <w:t>（1）合同一方违约，违约方向对方支付违约金，违约金额为中标金额的 10%。乙方违约， 直接从进度款或履约保金中扣除；甲方违约，从合同款项中扣除。</w:t>
      </w:r>
    </w:p>
    <w:p>
      <w:pPr>
        <w:widowControl w:val="0"/>
        <w:kinsoku/>
        <w:adjustRightInd/>
        <w:snapToGrid/>
        <w:spacing w:line="360" w:lineRule="auto"/>
        <w:ind w:firstLine="480" w:firstLineChars="200"/>
        <w:jc w:val="both"/>
        <w:textAlignment w:val="auto"/>
        <w:rPr>
          <w:sz w:val="24"/>
        </w:rPr>
      </w:pPr>
      <w:bookmarkStart w:id="84" w:name="_Toc1630"/>
      <w:bookmarkStart w:id="85" w:name="_Toc8155"/>
      <w:r>
        <w:rPr>
          <w:rFonts w:hint="eastAsia"/>
          <w:sz w:val="24"/>
        </w:rPr>
        <w:t>（2）乙方给用户造成的实际损失高于违约金的，乙方应给用户对高出违约金的部分予以赔偿。</w:t>
      </w:r>
      <w:bookmarkEnd w:id="84"/>
      <w:bookmarkEnd w:id="85"/>
    </w:p>
    <w:p>
      <w:pPr>
        <w:widowControl w:val="0"/>
        <w:kinsoku/>
        <w:adjustRightInd/>
        <w:snapToGrid/>
        <w:spacing w:line="360" w:lineRule="auto"/>
        <w:ind w:firstLine="480" w:firstLineChars="200"/>
        <w:jc w:val="both"/>
        <w:textAlignment w:val="auto"/>
        <w:rPr>
          <w:sz w:val="24"/>
        </w:rPr>
      </w:pPr>
      <w:bookmarkStart w:id="86" w:name="_Toc15751"/>
      <w:bookmarkStart w:id="87" w:name="_Toc23941"/>
      <w:r>
        <w:rPr>
          <w:rFonts w:hint="eastAsia"/>
          <w:sz w:val="24"/>
        </w:rPr>
        <w:t>（3）乙方迟延履行合同、不完全履行合同或提供的服务不符合招标文件的要求，除支付违约金外，仍应实际履行合同或重新提供符合要求的服务。</w:t>
      </w:r>
      <w:bookmarkEnd w:id="86"/>
      <w:bookmarkEnd w:id="87"/>
    </w:p>
    <w:p>
      <w:pPr>
        <w:widowControl w:val="0"/>
        <w:kinsoku/>
        <w:adjustRightInd/>
        <w:snapToGrid/>
        <w:spacing w:line="360" w:lineRule="auto"/>
        <w:ind w:firstLine="480" w:firstLineChars="200"/>
        <w:jc w:val="both"/>
        <w:textAlignment w:val="auto"/>
        <w:rPr>
          <w:sz w:val="24"/>
        </w:rPr>
      </w:pPr>
      <w:bookmarkStart w:id="88" w:name="_Toc25387"/>
      <w:bookmarkStart w:id="89" w:name="_Toc21648"/>
      <w:r>
        <w:rPr>
          <w:rFonts w:hint="eastAsia"/>
          <w:sz w:val="24"/>
        </w:rPr>
        <w:t>（4）由于乙方原因造成的延期，每延期一天，需支付甲方损失为合同总价款的 1‰。</w:t>
      </w:r>
      <w:bookmarkEnd w:id="88"/>
      <w:bookmarkEnd w:id="89"/>
    </w:p>
    <w:p>
      <w:pPr>
        <w:widowControl w:val="0"/>
        <w:kinsoku/>
        <w:adjustRightInd/>
        <w:snapToGrid/>
        <w:spacing w:line="360" w:lineRule="auto"/>
        <w:ind w:firstLine="480" w:firstLineChars="200"/>
        <w:jc w:val="both"/>
        <w:textAlignment w:val="auto"/>
        <w:rPr>
          <w:sz w:val="24"/>
        </w:rPr>
      </w:pPr>
      <w:bookmarkStart w:id="90" w:name="_Toc5115"/>
      <w:bookmarkStart w:id="91" w:name="_Toc8408"/>
      <w:r>
        <w:rPr>
          <w:rFonts w:hint="eastAsia"/>
          <w:sz w:val="24"/>
        </w:rPr>
        <w:t>（5）甲方和乙方若需签订补充协议，补充协议与该合同具有同等法律效力。</w:t>
      </w:r>
      <w:bookmarkEnd w:id="90"/>
      <w:bookmarkEnd w:id="91"/>
    </w:p>
    <w:p>
      <w:pPr>
        <w:widowControl w:val="0"/>
        <w:kinsoku/>
        <w:adjustRightInd/>
        <w:snapToGrid/>
        <w:spacing w:line="360" w:lineRule="auto"/>
        <w:ind w:firstLine="480" w:firstLineChars="200"/>
        <w:jc w:val="both"/>
        <w:textAlignment w:val="auto"/>
        <w:rPr>
          <w:sz w:val="24"/>
        </w:rPr>
      </w:pPr>
      <w:bookmarkStart w:id="92" w:name="_Toc2579"/>
      <w:bookmarkStart w:id="93" w:name="_Toc27685"/>
      <w:r>
        <w:rPr>
          <w:rFonts w:hint="eastAsia"/>
          <w:sz w:val="24"/>
        </w:rPr>
        <w:t>（6）其它未尽事宜，以《中华人民共和国</w:t>
      </w:r>
      <w:r>
        <w:rPr>
          <w:rFonts w:hint="eastAsia" w:eastAsia="宋体"/>
          <w:sz w:val="24"/>
        </w:rPr>
        <w:t>民法典</w:t>
      </w:r>
      <w:r>
        <w:rPr>
          <w:rFonts w:hint="eastAsia"/>
          <w:sz w:val="24"/>
        </w:rPr>
        <w:t>》规定为准。 九、合同生效及其它</w:t>
      </w:r>
      <w:bookmarkEnd w:id="92"/>
      <w:bookmarkEnd w:id="93"/>
    </w:p>
    <w:p>
      <w:pPr>
        <w:widowControl w:val="0"/>
        <w:kinsoku/>
        <w:adjustRightInd/>
        <w:snapToGrid/>
        <w:spacing w:line="360" w:lineRule="auto"/>
        <w:ind w:firstLine="480" w:firstLineChars="200"/>
        <w:jc w:val="both"/>
        <w:textAlignment w:val="auto"/>
        <w:rPr>
          <w:sz w:val="24"/>
        </w:rPr>
      </w:pPr>
      <w:bookmarkStart w:id="94" w:name="_Toc27824"/>
      <w:bookmarkStart w:id="95" w:name="_Toc1264"/>
      <w:r>
        <w:rPr>
          <w:rFonts w:hint="eastAsia"/>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94"/>
      <w:bookmarkEnd w:id="95"/>
    </w:p>
    <w:p>
      <w:pPr>
        <w:widowControl w:val="0"/>
        <w:kinsoku/>
        <w:adjustRightInd/>
        <w:snapToGrid/>
        <w:spacing w:line="360" w:lineRule="auto"/>
        <w:ind w:firstLine="480" w:firstLineChars="200"/>
        <w:jc w:val="both"/>
        <w:textAlignment w:val="auto"/>
        <w:rPr>
          <w:sz w:val="24"/>
        </w:rPr>
      </w:pPr>
      <w:bookmarkStart w:id="96" w:name="_Toc20058"/>
      <w:bookmarkStart w:id="97" w:name="_Toc13678"/>
      <w:r>
        <w:rPr>
          <w:rFonts w:hint="eastAsia"/>
          <w:sz w:val="24"/>
        </w:rPr>
        <w:t>（2）合同在执行过程中出现的未尽事宜，双方在不违背本合同和招标文件的原则下协商解决，协商结果以书面形式盖章记录在案，作为本合同的附件，与本合同具有同等效力。</w:t>
      </w:r>
      <w:bookmarkEnd w:id="96"/>
      <w:bookmarkEnd w:id="97"/>
    </w:p>
    <w:p>
      <w:pPr>
        <w:spacing w:line="360" w:lineRule="auto"/>
        <w:jc w:val="both"/>
        <w:rPr>
          <w:sz w:val="24"/>
        </w:rPr>
      </w:pPr>
    </w:p>
    <w:p>
      <w:pPr>
        <w:widowControl w:val="0"/>
        <w:kinsoku/>
        <w:adjustRightInd/>
        <w:snapToGrid/>
        <w:spacing w:line="360" w:lineRule="auto"/>
        <w:jc w:val="both"/>
        <w:textAlignment w:val="auto"/>
        <w:rPr>
          <w:sz w:val="24"/>
        </w:rPr>
      </w:pPr>
      <w:bookmarkStart w:id="98" w:name="_Toc20805_WPSOffice_Level2"/>
      <w:bookmarkStart w:id="99" w:name="_Toc4045"/>
      <w:bookmarkStart w:id="100" w:name="_Toc16421_WPSOffice_Level2"/>
      <w:bookmarkStart w:id="101" w:name="_Toc26378"/>
      <w:bookmarkStart w:id="102" w:name="_Toc3081_WPSOffice_Level2"/>
      <w:bookmarkStart w:id="103" w:name="_Toc29610_WPSOffice_Level2"/>
      <w:bookmarkStart w:id="104" w:name="_Toc10619_WPSOffice_Level2"/>
      <w:bookmarkStart w:id="105" w:name="_Toc7032_WPSOffice_Level1"/>
      <w:bookmarkStart w:id="106" w:name="_Toc13056_WPSOffice_Level2"/>
      <w:r>
        <w:rPr>
          <w:rFonts w:hint="eastAsia"/>
          <w:sz w:val="24"/>
        </w:rPr>
        <w:t>甲</w:t>
      </w:r>
      <w:r>
        <w:rPr>
          <w:rFonts w:hint="eastAsia"/>
          <w:sz w:val="24"/>
        </w:rPr>
        <w:tab/>
      </w:r>
      <w:r>
        <w:rPr>
          <w:rFonts w:hint="eastAsia"/>
          <w:sz w:val="24"/>
        </w:rPr>
        <w:t>方（公章）：</w:t>
      </w:r>
      <w:r>
        <w:rPr>
          <w:rFonts w:hint="eastAsia"/>
          <w:sz w:val="24"/>
        </w:rPr>
        <w:tab/>
      </w:r>
      <w:r>
        <w:rPr>
          <w:rFonts w:hint="eastAsia" w:eastAsia="宋体"/>
          <w:sz w:val="24"/>
        </w:rPr>
        <w:t xml:space="preserve">                                   </w:t>
      </w:r>
      <w:r>
        <w:rPr>
          <w:rFonts w:hint="eastAsia"/>
          <w:sz w:val="24"/>
        </w:rPr>
        <w:t>乙</w:t>
      </w:r>
      <w:r>
        <w:rPr>
          <w:rFonts w:hint="eastAsia"/>
          <w:sz w:val="24"/>
        </w:rPr>
        <w:tab/>
      </w:r>
      <w:r>
        <w:rPr>
          <w:rFonts w:hint="eastAsia"/>
          <w:sz w:val="24"/>
        </w:rPr>
        <w:t>方（公章）：</w:t>
      </w:r>
      <w:bookmarkEnd w:id="98"/>
      <w:bookmarkEnd w:id="99"/>
      <w:bookmarkEnd w:id="100"/>
      <w:bookmarkEnd w:id="101"/>
      <w:bookmarkEnd w:id="102"/>
      <w:bookmarkEnd w:id="103"/>
      <w:bookmarkEnd w:id="104"/>
      <w:bookmarkEnd w:id="105"/>
      <w:bookmarkEnd w:id="106"/>
    </w:p>
    <w:p>
      <w:pPr>
        <w:widowControl w:val="0"/>
        <w:kinsoku/>
        <w:adjustRightInd/>
        <w:snapToGrid/>
        <w:spacing w:line="360" w:lineRule="auto"/>
        <w:jc w:val="both"/>
        <w:textAlignment w:val="auto"/>
        <w:rPr>
          <w:sz w:val="24"/>
        </w:rPr>
      </w:pPr>
      <w:bookmarkStart w:id="107" w:name="_Toc20300"/>
      <w:bookmarkStart w:id="108" w:name="_Toc11748"/>
      <w:r>
        <w:rPr>
          <w:rFonts w:hint="eastAsia"/>
          <w:sz w:val="24"/>
        </w:rPr>
        <w:t>法定代表人或授权代理人：（签字）</w:t>
      </w:r>
      <w:r>
        <w:rPr>
          <w:rFonts w:hint="eastAsia"/>
          <w:sz w:val="24"/>
        </w:rPr>
        <w:tab/>
      </w:r>
      <w:r>
        <w:rPr>
          <w:rFonts w:hint="eastAsia" w:eastAsia="宋体"/>
          <w:sz w:val="24"/>
        </w:rPr>
        <w:t xml:space="preserve">    </w:t>
      </w:r>
      <w:r>
        <w:rPr>
          <w:rFonts w:hint="eastAsia"/>
          <w:sz w:val="24"/>
        </w:rPr>
        <w:t>法定代表人或授权代理人：（签字）</w:t>
      </w:r>
      <w:bookmarkEnd w:id="107"/>
      <w:bookmarkEnd w:id="108"/>
    </w:p>
    <w:p>
      <w:pPr>
        <w:widowControl w:val="0"/>
        <w:kinsoku/>
        <w:adjustRightInd/>
        <w:snapToGrid/>
        <w:spacing w:line="360" w:lineRule="auto"/>
        <w:jc w:val="both"/>
        <w:textAlignment w:val="auto"/>
        <w:rPr>
          <w:sz w:val="24"/>
        </w:rPr>
      </w:pPr>
      <w:bookmarkStart w:id="109" w:name="_Toc2236"/>
      <w:bookmarkStart w:id="110" w:name="_Toc11893"/>
      <w:r>
        <w:rPr>
          <w:rFonts w:hint="eastAsia"/>
          <w:sz w:val="24"/>
        </w:rPr>
        <w:t>开户单位：</w:t>
      </w:r>
      <w:r>
        <w:rPr>
          <w:rFonts w:hint="eastAsia" w:eastAsia="宋体"/>
          <w:sz w:val="24"/>
        </w:rPr>
        <w:t xml:space="preserve">                                                 </w:t>
      </w:r>
      <w:r>
        <w:rPr>
          <w:rFonts w:hint="eastAsia"/>
          <w:sz w:val="24"/>
        </w:rPr>
        <w:t>开户单位：</w:t>
      </w:r>
      <w:bookmarkEnd w:id="109"/>
      <w:bookmarkEnd w:id="110"/>
    </w:p>
    <w:p>
      <w:pPr>
        <w:widowControl w:val="0"/>
        <w:kinsoku/>
        <w:adjustRightInd/>
        <w:snapToGrid/>
        <w:spacing w:line="360" w:lineRule="auto"/>
        <w:jc w:val="both"/>
        <w:textAlignment w:val="auto"/>
        <w:rPr>
          <w:sz w:val="24"/>
        </w:rPr>
      </w:pPr>
      <w:bookmarkStart w:id="111" w:name="_Toc25263"/>
      <w:bookmarkStart w:id="112" w:name="_Toc31863"/>
      <w:r>
        <w:rPr>
          <w:rFonts w:hint="eastAsia"/>
          <w:sz w:val="24"/>
        </w:rPr>
        <w:t>开户银行：</w:t>
      </w:r>
      <w:r>
        <w:rPr>
          <w:rFonts w:hint="eastAsia" w:eastAsia="宋体"/>
          <w:sz w:val="24"/>
        </w:rPr>
        <w:t xml:space="preserve">                                                 </w:t>
      </w:r>
      <w:r>
        <w:rPr>
          <w:rFonts w:hint="eastAsia"/>
          <w:sz w:val="24"/>
        </w:rPr>
        <w:t>开户银行：</w:t>
      </w:r>
      <w:bookmarkEnd w:id="111"/>
      <w:bookmarkEnd w:id="112"/>
    </w:p>
    <w:p>
      <w:pPr>
        <w:widowControl w:val="0"/>
        <w:kinsoku/>
        <w:adjustRightInd/>
        <w:snapToGrid/>
        <w:spacing w:line="360" w:lineRule="auto"/>
        <w:jc w:val="both"/>
        <w:textAlignment w:val="auto"/>
        <w:rPr>
          <w:sz w:val="24"/>
        </w:rPr>
      </w:pPr>
      <w:bookmarkStart w:id="113" w:name="_Toc27472"/>
      <w:bookmarkStart w:id="114" w:name="_Toc17067"/>
      <w:r>
        <w:rPr>
          <w:rFonts w:hint="eastAsia"/>
          <w:sz w:val="24"/>
        </w:rPr>
        <w:t>帐</w:t>
      </w:r>
      <w:r>
        <w:rPr>
          <w:rFonts w:hint="eastAsia"/>
          <w:sz w:val="24"/>
        </w:rPr>
        <w:tab/>
      </w:r>
      <w:r>
        <w:rPr>
          <w:rFonts w:hint="eastAsia"/>
          <w:sz w:val="24"/>
        </w:rPr>
        <w:t>号：</w:t>
      </w:r>
      <w:r>
        <w:rPr>
          <w:rFonts w:hint="eastAsia"/>
          <w:sz w:val="24"/>
        </w:rPr>
        <w:tab/>
      </w:r>
      <w:r>
        <w:rPr>
          <w:rFonts w:hint="eastAsia" w:eastAsia="宋体"/>
          <w:sz w:val="24"/>
        </w:rPr>
        <w:t xml:space="preserve">                                                </w:t>
      </w:r>
      <w:r>
        <w:rPr>
          <w:rFonts w:hint="eastAsia"/>
          <w:sz w:val="24"/>
        </w:rPr>
        <w:t>帐</w:t>
      </w:r>
      <w:r>
        <w:rPr>
          <w:rFonts w:hint="eastAsia"/>
          <w:sz w:val="24"/>
        </w:rPr>
        <w:tab/>
      </w:r>
      <w:r>
        <w:rPr>
          <w:rFonts w:hint="eastAsia"/>
          <w:sz w:val="24"/>
        </w:rPr>
        <w:t>号：</w:t>
      </w:r>
      <w:bookmarkEnd w:id="113"/>
      <w:bookmarkEnd w:id="114"/>
    </w:p>
    <w:p>
      <w:pPr>
        <w:widowControl w:val="0"/>
        <w:kinsoku/>
        <w:adjustRightInd/>
        <w:snapToGrid/>
        <w:spacing w:line="360" w:lineRule="auto"/>
        <w:jc w:val="both"/>
        <w:textAlignment w:val="auto"/>
        <w:rPr>
          <w:sz w:val="24"/>
        </w:rPr>
      </w:pPr>
      <w:bookmarkStart w:id="115" w:name="_Toc19503"/>
      <w:bookmarkStart w:id="116" w:name="_Toc18260"/>
      <w:r>
        <w:rPr>
          <w:rFonts w:hint="eastAsia"/>
          <w:sz w:val="24"/>
        </w:rPr>
        <w:t>地</w:t>
      </w:r>
      <w:r>
        <w:rPr>
          <w:rFonts w:hint="eastAsia"/>
          <w:sz w:val="24"/>
        </w:rPr>
        <w:tab/>
      </w:r>
      <w:r>
        <w:rPr>
          <w:rFonts w:hint="eastAsia"/>
          <w:sz w:val="24"/>
        </w:rPr>
        <w:t>址：</w:t>
      </w:r>
      <w:r>
        <w:rPr>
          <w:rFonts w:hint="eastAsia"/>
          <w:sz w:val="24"/>
        </w:rPr>
        <w:tab/>
      </w:r>
      <w:r>
        <w:rPr>
          <w:rFonts w:hint="eastAsia" w:eastAsia="宋体"/>
          <w:sz w:val="24"/>
        </w:rPr>
        <w:t xml:space="preserve">                                                </w:t>
      </w:r>
      <w:r>
        <w:rPr>
          <w:rFonts w:hint="eastAsia"/>
          <w:sz w:val="24"/>
        </w:rPr>
        <w:t>地</w:t>
      </w:r>
      <w:r>
        <w:rPr>
          <w:rFonts w:hint="eastAsia"/>
          <w:sz w:val="24"/>
        </w:rPr>
        <w:tab/>
      </w:r>
      <w:r>
        <w:rPr>
          <w:rFonts w:hint="eastAsia"/>
          <w:sz w:val="24"/>
        </w:rPr>
        <w:t>址：</w:t>
      </w:r>
      <w:bookmarkEnd w:id="115"/>
      <w:bookmarkEnd w:id="116"/>
    </w:p>
    <w:p>
      <w:pPr>
        <w:widowControl w:val="0"/>
        <w:kinsoku/>
        <w:adjustRightInd/>
        <w:snapToGrid/>
        <w:spacing w:line="360" w:lineRule="auto"/>
        <w:jc w:val="both"/>
        <w:textAlignment w:val="auto"/>
        <w:rPr>
          <w:sz w:val="24"/>
        </w:rPr>
      </w:pPr>
      <w:bookmarkStart w:id="117" w:name="_Toc16058"/>
      <w:bookmarkStart w:id="118" w:name="_Toc15291"/>
      <w:r>
        <w:rPr>
          <w:rFonts w:hint="eastAsia"/>
          <w:sz w:val="24"/>
        </w:rPr>
        <w:t>电</w:t>
      </w:r>
      <w:r>
        <w:rPr>
          <w:rFonts w:hint="eastAsia"/>
          <w:sz w:val="24"/>
        </w:rPr>
        <w:tab/>
      </w:r>
      <w:r>
        <w:rPr>
          <w:rFonts w:hint="eastAsia"/>
          <w:sz w:val="24"/>
        </w:rPr>
        <w:t>话：</w:t>
      </w:r>
      <w:r>
        <w:rPr>
          <w:rFonts w:hint="eastAsia"/>
          <w:sz w:val="24"/>
        </w:rPr>
        <w:tab/>
      </w:r>
      <w:r>
        <w:rPr>
          <w:rFonts w:hint="eastAsia" w:eastAsia="宋体"/>
          <w:sz w:val="24"/>
        </w:rPr>
        <w:t xml:space="preserve">                                               </w:t>
      </w:r>
      <w:r>
        <w:rPr>
          <w:rFonts w:hint="eastAsia"/>
          <w:sz w:val="24"/>
        </w:rPr>
        <w:t>电</w:t>
      </w:r>
      <w:r>
        <w:rPr>
          <w:rFonts w:hint="eastAsia"/>
          <w:sz w:val="24"/>
        </w:rPr>
        <w:tab/>
      </w:r>
      <w:r>
        <w:rPr>
          <w:rFonts w:hint="eastAsia"/>
          <w:sz w:val="24"/>
        </w:rPr>
        <w:t>话：</w:t>
      </w:r>
      <w:bookmarkEnd w:id="117"/>
      <w:bookmarkEnd w:id="118"/>
    </w:p>
    <w:p>
      <w:pPr>
        <w:widowControl w:val="0"/>
        <w:kinsoku/>
        <w:adjustRightInd/>
        <w:snapToGrid/>
        <w:spacing w:line="360" w:lineRule="auto"/>
        <w:jc w:val="both"/>
        <w:textAlignment w:val="auto"/>
        <w:rPr>
          <w:sz w:val="24"/>
        </w:rPr>
      </w:pPr>
      <w:bookmarkStart w:id="119" w:name="_Toc22352"/>
      <w:bookmarkStart w:id="120" w:name="_Toc32463"/>
      <w:r>
        <w:rPr>
          <w:rFonts w:hint="eastAsia"/>
          <w:sz w:val="24"/>
        </w:rPr>
        <w:t>签订时间：</w:t>
      </w:r>
      <w:r>
        <w:rPr>
          <w:rFonts w:hint="eastAsia" w:eastAsia="宋体"/>
          <w:sz w:val="24"/>
        </w:rPr>
        <w:t xml:space="preserve">                                                </w:t>
      </w:r>
      <w:r>
        <w:rPr>
          <w:rFonts w:hint="eastAsia"/>
          <w:sz w:val="24"/>
        </w:rPr>
        <w:t>签订时间：</w:t>
      </w:r>
      <w:bookmarkEnd w:id="119"/>
      <w:bookmarkEnd w:id="120"/>
    </w:p>
    <w:p>
      <w:pPr>
        <w:rPr>
          <w:sz w:val="24"/>
        </w:rPr>
      </w:pPr>
      <w:r>
        <w:rPr>
          <w:sz w:val="24"/>
        </w:rPr>
        <w:br w:type="page"/>
      </w:r>
    </w:p>
    <w:p>
      <w:pPr>
        <w:spacing w:before="101" w:line="225" w:lineRule="auto"/>
        <w:jc w:val="center"/>
        <w:outlineLvl w:val="0"/>
        <w:rPr>
          <w:rFonts w:ascii="宋体" w:hAnsi="宋体" w:eastAsia="宋体" w:cs="宋体"/>
          <w:b/>
          <w:bCs/>
          <w:sz w:val="31"/>
          <w:szCs w:val="31"/>
        </w:rPr>
      </w:pPr>
      <w:bookmarkStart w:id="121" w:name="_Toc5387"/>
      <w:r>
        <w:rPr>
          <w:rFonts w:ascii="宋体" w:hAnsi="宋体" w:eastAsia="宋体" w:cs="宋体"/>
          <w:b/>
          <w:bCs/>
          <w:spacing w:val="10"/>
          <w:sz w:val="31"/>
          <w:szCs w:val="31"/>
        </w:rPr>
        <w:t>第</w:t>
      </w:r>
      <w:r>
        <w:rPr>
          <w:rFonts w:hint="eastAsia" w:ascii="宋体" w:hAnsi="宋体" w:eastAsia="宋体" w:cs="宋体"/>
          <w:b/>
          <w:bCs/>
          <w:spacing w:val="9"/>
          <w:sz w:val="31"/>
          <w:szCs w:val="31"/>
        </w:rPr>
        <w:t>六</w:t>
      </w:r>
      <w:r>
        <w:rPr>
          <w:rFonts w:ascii="宋体" w:hAnsi="宋体" w:eastAsia="宋体" w:cs="宋体"/>
          <w:b/>
          <w:bCs/>
          <w:spacing w:val="9"/>
          <w:sz w:val="31"/>
          <w:szCs w:val="31"/>
        </w:rPr>
        <w:t>部分</w:t>
      </w:r>
      <w:r>
        <w:rPr>
          <w:rFonts w:hint="eastAsia" w:ascii="宋体" w:hAnsi="宋体" w:eastAsia="宋体" w:cs="宋体"/>
          <w:b/>
          <w:bCs/>
          <w:spacing w:val="9"/>
          <w:sz w:val="31"/>
          <w:szCs w:val="31"/>
        </w:rPr>
        <w:t xml:space="preserve"> </w:t>
      </w:r>
      <w:r>
        <w:rPr>
          <w:rFonts w:ascii="宋体" w:hAnsi="宋体" w:eastAsia="宋体" w:cs="宋体"/>
          <w:b/>
          <w:bCs/>
          <w:spacing w:val="9"/>
          <w:sz w:val="31"/>
          <w:szCs w:val="31"/>
        </w:rPr>
        <w:t>投标文件格式</w:t>
      </w:r>
      <w:bookmarkEnd w:id="121"/>
    </w:p>
    <w:p>
      <w:pPr>
        <w:spacing w:line="274" w:lineRule="auto"/>
      </w:pPr>
    </w:p>
    <w:p>
      <w:pPr>
        <w:spacing w:before="78" w:line="220" w:lineRule="auto"/>
        <w:ind w:left="41"/>
        <w:rPr>
          <w:rFonts w:ascii="宋体" w:hAnsi="宋体" w:eastAsia="宋体" w:cs="宋体"/>
          <w:sz w:val="24"/>
          <w:szCs w:val="24"/>
        </w:rPr>
      </w:pPr>
      <w:r>
        <w:rPr>
          <w:rFonts w:ascii="宋体" w:hAnsi="宋体" w:eastAsia="宋体" w:cs="宋体"/>
          <w:spacing w:val="-2"/>
          <w:sz w:val="24"/>
          <w:szCs w:val="24"/>
        </w:rPr>
        <w:t>投标文</w:t>
      </w:r>
      <w:r>
        <w:rPr>
          <w:rFonts w:ascii="宋体" w:hAnsi="宋体" w:eastAsia="宋体" w:cs="宋体"/>
          <w:spacing w:val="-1"/>
          <w:sz w:val="24"/>
          <w:szCs w:val="24"/>
        </w:rPr>
        <w:t>件封面格式</w:t>
      </w:r>
    </w:p>
    <w:p>
      <w:pPr>
        <w:spacing w:line="248" w:lineRule="auto"/>
      </w:pPr>
    </w:p>
    <w:p>
      <w:pPr>
        <w:spacing w:line="248" w:lineRule="auto"/>
      </w:pPr>
    </w:p>
    <w:p>
      <w:pPr>
        <w:spacing w:line="249" w:lineRule="auto"/>
      </w:pPr>
    </w:p>
    <w:p>
      <w:pPr>
        <w:spacing w:line="249" w:lineRule="auto"/>
      </w:pPr>
    </w:p>
    <w:p>
      <w:pPr>
        <w:tabs>
          <w:tab w:val="left" w:pos="6732"/>
        </w:tabs>
        <w:spacing w:before="130" w:line="221" w:lineRule="auto"/>
        <w:ind w:left="2292"/>
        <w:rPr>
          <w:rFonts w:ascii="宋体" w:hAnsi="宋体" w:eastAsia="宋体" w:cs="宋体"/>
          <w:sz w:val="40"/>
          <w:szCs w:val="40"/>
        </w:rPr>
      </w:pPr>
      <w:r>
        <w:rPr>
          <w:rFonts w:ascii="宋体" w:hAnsi="宋体" w:eastAsia="宋体" w:cs="宋体"/>
          <w:sz w:val="40"/>
          <w:szCs w:val="40"/>
          <w:u w:val="single"/>
        </w:rPr>
        <w:tab/>
      </w:r>
      <w:r>
        <w:rPr>
          <w:rFonts w:ascii="宋体" w:hAnsi="宋体" w:eastAsia="宋体" w:cs="宋体"/>
          <w:spacing w:val="-5"/>
          <w:sz w:val="40"/>
          <w:szCs w:val="40"/>
        </w:rPr>
        <w:t>项目</w:t>
      </w: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6" w:lineRule="auto"/>
      </w:pPr>
    </w:p>
    <w:p>
      <w:pPr>
        <w:spacing w:before="234" w:line="220" w:lineRule="auto"/>
        <w:ind w:left="3498"/>
        <w:rPr>
          <w:rFonts w:ascii="宋体" w:hAnsi="宋体" w:eastAsia="宋体" w:cs="宋体"/>
          <w:sz w:val="72"/>
          <w:szCs w:val="72"/>
        </w:rPr>
      </w:pPr>
      <w:r>
        <w:rPr>
          <w:rFonts w:ascii="宋体" w:hAnsi="宋体" w:eastAsia="宋体" w:cs="宋体"/>
          <w:spacing w:val="-7"/>
          <w:sz w:val="72"/>
          <w:szCs w:val="72"/>
        </w:rPr>
        <w:t>投标文件</w:t>
      </w:r>
    </w:p>
    <w:p>
      <w:pPr>
        <w:spacing w:before="168" w:line="219" w:lineRule="auto"/>
        <w:ind w:left="4310"/>
        <w:rPr>
          <w:rFonts w:ascii="宋体" w:hAnsi="宋体" w:eastAsia="宋体" w:cs="宋体"/>
          <w:spacing w:val="-10"/>
          <w:sz w:val="24"/>
          <w:szCs w:val="24"/>
        </w:rPr>
      </w:pPr>
    </w:p>
    <w:p>
      <w:pPr>
        <w:spacing w:before="168" w:line="219" w:lineRule="auto"/>
        <w:ind w:firstLine="2970" w:firstLineChars="1350"/>
        <w:rPr>
          <w:rFonts w:ascii="宋体" w:hAnsi="宋体" w:eastAsia="宋体" w:cs="宋体"/>
          <w:sz w:val="24"/>
          <w:szCs w:val="24"/>
        </w:rPr>
      </w:pPr>
      <w:r>
        <w:rPr>
          <w:rFonts w:hint="eastAsia" w:ascii="宋体" w:hAnsi="宋体" w:eastAsia="宋体" w:cs="宋体"/>
          <w:spacing w:val="-10"/>
          <w:sz w:val="24"/>
          <w:szCs w:val="24"/>
        </w:rPr>
        <w:t>项目</w:t>
      </w:r>
      <w:r>
        <w:rPr>
          <w:rFonts w:ascii="宋体" w:hAnsi="宋体" w:eastAsia="宋体" w:cs="宋体"/>
          <w:spacing w:val="-9"/>
          <w:sz w:val="24"/>
          <w:szCs w:val="24"/>
        </w:rPr>
        <w:t>编号：</w:t>
      </w:r>
    </w:p>
    <w:p>
      <w:pPr>
        <w:spacing w:line="249" w:lineRule="auto"/>
      </w:pPr>
    </w:p>
    <w:p>
      <w:pPr>
        <w:spacing w:line="249" w:lineRule="auto"/>
        <w:rPr>
          <w:rFonts w:eastAsiaTheme="minorEastAsia"/>
        </w:rPr>
      </w:pPr>
      <w:r>
        <w:rPr>
          <w:rFonts w:hint="eastAsia" w:eastAsiaTheme="minorEastAsia"/>
        </w:rPr>
        <w:t xml:space="preserve">                                                                      </w:t>
      </w: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before="91" w:line="219" w:lineRule="auto"/>
        <w:ind w:left="3236"/>
        <w:rPr>
          <w:rFonts w:ascii="宋体" w:hAnsi="宋体" w:eastAsia="宋体" w:cs="宋体"/>
          <w:sz w:val="28"/>
          <w:szCs w:val="28"/>
        </w:rPr>
      </w:pPr>
      <w:r>
        <w:rPr>
          <w:rFonts w:ascii="宋体" w:hAnsi="宋体" w:eastAsia="宋体" w:cs="宋体"/>
          <w:spacing w:val="17"/>
          <w:sz w:val="28"/>
          <w:szCs w:val="28"/>
        </w:rPr>
        <w:t>投</w:t>
      </w:r>
      <w:r>
        <w:rPr>
          <w:rFonts w:ascii="宋体" w:hAnsi="宋体" w:eastAsia="宋体" w:cs="宋体"/>
          <w:spacing w:val="10"/>
          <w:sz w:val="28"/>
          <w:szCs w:val="28"/>
        </w:rPr>
        <w:t>标人名称：(电子签章)</w:t>
      </w:r>
    </w:p>
    <w:p>
      <w:pPr>
        <w:spacing w:line="373" w:lineRule="auto"/>
      </w:pPr>
    </w:p>
    <w:p>
      <w:pPr>
        <w:spacing w:before="92" w:line="219" w:lineRule="auto"/>
        <w:ind w:left="2002"/>
        <w:rPr>
          <w:rFonts w:ascii="宋体" w:hAnsi="宋体" w:eastAsia="宋体" w:cs="宋体"/>
          <w:sz w:val="28"/>
          <w:szCs w:val="28"/>
        </w:rPr>
      </w:pPr>
      <w:r>
        <w:rPr>
          <w:rFonts w:ascii="宋体" w:hAnsi="宋体" w:eastAsia="宋体" w:cs="宋体"/>
          <w:spacing w:val="12"/>
          <w:sz w:val="28"/>
          <w:szCs w:val="28"/>
        </w:rPr>
        <w:t>法定</w:t>
      </w:r>
      <w:r>
        <w:rPr>
          <w:rFonts w:ascii="宋体" w:hAnsi="宋体" w:eastAsia="宋体" w:cs="宋体"/>
          <w:spacing w:val="8"/>
          <w:sz w:val="28"/>
          <w:szCs w:val="28"/>
        </w:rPr>
        <w:t>代</w:t>
      </w:r>
      <w:r>
        <w:rPr>
          <w:rFonts w:ascii="宋体" w:hAnsi="宋体" w:eastAsia="宋体" w:cs="宋体"/>
          <w:spacing w:val="6"/>
          <w:sz w:val="28"/>
          <w:szCs w:val="28"/>
        </w:rPr>
        <w:t>表人</w:t>
      </w:r>
      <w:r>
        <w:rPr>
          <w:rFonts w:hint="eastAsia" w:ascii="宋体" w:hAnsi="宋体" w:eastAsia="宋体" w:cs="宋体"/>
          <w:spacing w:val="6"/>
          <w:sz w:val="28"/>
          <w:szCs w:val="28"/>
        </w:rPr>
        <w:t>（负责人）</w:t>
      </w:r>
      <w:r>
        <w:rPr>
          <w:rFonts w:ascii="宋体" w:hAnsi="宋体" w:eastAsia="宋体" w:cs="宋体"/>
          <w:spacing w:val="6"/>
          <w:sz w:val="28"/>
          <w:szCs w:val="28"/>
        </w:rPr>
        <w:t>或其委托代理人：(电子签章)</w:t>
      </w:r>
    </w:p>
    <w:p>
      <w:pPr>
        <w:spacing w:line="373" w:lineRule="auto"/>
      </w:pPr>
    </w:p>
    <w:p>
      <w:pPr>
        <w:spacing w:before="91" w:line="220" w:lineRule="auto"/>
        <w:ind w:left="3934"/>
        <w:rPr>
          <w:rFonts w:ascii="宋体" w:hAnsi="宋体" w:eastAsia="宋体" w:cs="宋体"/>
          <w:sz w:val="28"/>
          <w:szCs w:val="28"/>
        </w:rPr>
      </w:pPr>
      <w:r>
        <w:rPr>
          <w:rFonts w:ascii="宋体" w:hAnsi="宋体" w:eastAsia="宋体" w:cs="宋体"/>
          <w:spacing w:val="8"/>
          <w:sz w:val="28"/>
          <w:szCs w:val="28"/>
        </w:rPr>
        <w:t>年</w:t>
      </w:r>
      <w:r>
        <w:rPr>
          <w:rFonts w:ascii="宋体" w:hAnsi="宋体" w:eastAsia="宋体" w:cs="宋体"/>
          <w:spacing w:val="4"/>
          <w:sz w:val="28"/>
          <w:szCs w:val="28"/>
        </w:rPr>
        <w:t xml:space="preserve">   月    日</w:t>
      </w:r>
    </w:p>
    <w:p>
      <w:pPr>
        <w:sectPr>
          <w:headerReference r:id="rId10" w:type="default"/>
          <w:footerReference r:id="rId11" w:type="default"/>
          <w:pgSz w:w="11907" w:h="16839"/>
          <w:pgMar w:top="1476" w:right="1049" w:bottom="1226" w:left="1051" w:header="1155" w:footer="958" w:gutter="0"/>
          <w:cols w:space="720" w:num="1"/>
        </w:sectPr>
      </w:pPr>
    </w:p>
    <w:p>
      <w:pPr>
        <w:spacing w:line="275" w:lineRule="auto"/>
      </w:pPr>
    </w:p>
    <w:p>
      <w:pPr>
        <w:spacing w:line="360" w:lineRule="auto"/>
        <w:rPr>
          <w:rFonts w:ascii="宋体" w:hAnsi="宋体" w:eastAsia="宋体"/>
          <w:b/>
          <w:bCs/>
          <w:sz w:val="28"/>
          <w:szCs w:val="28"/>
        </w:rPr>
      </w:pPr>
      <w:r>
        <w:rPr>
          <w:rFonts w:hint="eastAsia" w:ascii="宋体" w:hAnsi="宋体" w:eastAsia="宋体"/>
          <w:b/>
          <w:bCs/>
          <w:sz w:val="28"/>
          <w:szCs w:val="28"/>
        </w:rPr>
        <w:t>一、投 标 函</w:t>
      </w:r>
    </w:p>
    <w:p>
      <w:pPr>
        <w:spacing w:line="360" w:lineRule="auto"/>
        <w:rPr>
          <w:rFonts w:ascii="宋体" w:hAnsi="宋体" w:eastAsia="宋体"/>
          <w:b/>
          <w:bCs/>
          <w:sz w:val="28"/>
          <w:szCs w:val="28"/>
        </w:rPr>
      </w:pPr>
      <w:r>
        <w:rPr>
          <w:rFonts w:hint="eastAsia" w:ascii="宋体" w:hAnsi="宋体" w:eastAsia="宋体"/>
          <w:b/>
          <w:bCs/>
          <w:sz w:val="28"/>
          <w:szCs w:val="28"/>
        </w:rPr>
        <w:t>（一）投标函</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（采购人名称）</w:t>
      </w:r>
      <w:r>
        <w:rPr>
          <w:rFonts w:hint="eastAsia" w:ascii="宋体" w:hAnsi="宋体" w:eastAsia="宋体"/>
          <w:sz w:val="24"/>
          <w:szCs w:val="24"/>
          <w:u w:val="single"/>
        </w:rPr>
        <w:t xml:space="preserve">            </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1.我方已仔细研究了</w:t>
      </w:r>
      <w:r>
        <w:rPr>
          <w:rFonts w:hint="eastAsia" w:ascii="宋体" w:hAnsi="宋体" w:eastAsia="宋体"/>
          <w:sz w:val="24"/>
          <w:szCs w:val="24"/>
          <w:u w:val="single"/>
        </w:rPr>
        <w:t xml:space="preserve">                </w:t>
      </w:r>
      <w:r>
        <w:rPr>
          <w:rFonts w:ascii="宋体" w:hAnsi="宋体" w:eastAsia="宋体"/>
          <w:sz w:val="24"/>
          <w:szCs w:val="24"/>
        </w:rPr>
        <w:t>（项目名称）</w:t>
      </w:r>
      <w:r>
        <w:rPr>
          <w:rFonts w:hint="eastAsia" w:ascii="宋体" w:hAnsi="宋体" w:eastAsia="宋体"/>
          <w:sz w:val="24"/>
          <w:szCs w:val="24"/>
          <w:u w:val="single"/>
        </w:rPr>
        <w:t xml:space="preserve">      </w:t>
      </w:r>
      <w:r>
        <w:rPr>
          <w:rFonts w:hint="eastAsia" w:ascii="宋体" w:hAnsi="宋体" w:eastAsia="宋体"/>
          <w:sz w:val="24"/>
          <w:szCs w:val="24"/>
        </w:rPr>
        <w:t>（标段）</w:t>
      </w:r>
      <w:r>
        <w:rPr>
          <w:rFonts w:ascii="宋体" w:hAnsi="宋体" w:eastAsia="宋体"/>
          <w:sz w:val="24"/>
          <w:szCs w:val="24"/>
        </w:rPr>
        <w:t>招标文件的全部内容，愿意以</w:t>
      </w:r>
      <w:r>
        <w:rPr>
          <w:rFonts w:hint="eastAsia" w:ascii="宋体" w:hAnsi="宋体" w:eastAsia="宋体"/>
          <w:sz w:val="24"/>
          <w:szCs w:val="24"/>
        </w:rPr>
        <w:t>供货期</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，质量标准</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，按合同约定完成工作。</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2.我方的投标文件包括下列内容。</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（1）投标函；</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（2）法定代表人</w:t>
      </w:r>
      <w:r>
        <w:rPr>
          <w:rFonts w:hint="eastAsia" w:ascii="宋体" w:hAnsi="宋体" w:eastAsia="宋体" w:cs="宋体"/>
          <w:spacing w:val="6"/>
          <w:sz w:val="24"/>
          <w:szCs w:val="24"/>
        </w:rPr>
        <w:t>（负责人）</w:t>
      </w:r>
      <w:r>
        <w:rPr>
          <w:rFonts w:ascii="宋体" w:hAnsi="宋体" w:eastAsia="宋体"/>
          <w:sz w:val="24"/>
          <w:szCs w:val="24"/>
        </w:rPr>
        <w:t>身份证明；</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（3）授权委托书</w:t>
      </w:r>
      <w:r>
        <w:rPr>
          <w:rFonts w:hint="eastAsia"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项目售后服务方案</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项目培训方案；</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企业类似业绩</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（7）其它资料</w:t>
      </w:r>
      <w:r>
        <w:rPr>
          <w:rFonts w:hint="eastAsia"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投标文件的上述组成部分如存在内容不一致的，以投标函为准。</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3．我方承诺在招标文件规定的投标有效期内不撤销投标文件。</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4．如我方中标，我方承诺：</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（1）在收到中标通知书后，在中标通知书规定的期限内与你方签订合同；</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（2）在签订合同时不向你方提出附加条件；</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（3）在合同约定的期限内完成合同规定的全部义务。</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5．我方在此声明，所递交的投标文件及有关资料内容完整、真实和准确，完全响应招标文件要求，且不存在第二章“供应商须知”第1.4.3项规定的任何一种情形。</w:t>
      </w:r>
    </w:p>
    <w:p>
      <w:pPr>
        <w:widowControl w:val="0"/>
        <w:kinsoku/>
        <w:adjustRightInd/>
        <w:snapToGrid/>
        <w:spacing w:line="360" w:lineRule="auto"/>
        <w:ind w:firstLine="480" w:firstLineChars="200"/>
        <w:textAlignment w:val="auto"/>
        <w:rPr>
          <w:rFonts w:ascii="宋体" w:hAnsi="宋体" w:eastAsia="宋体"/>
          <w:sz w:val="24"/>
          <w:szCs w:val="24"/>
        </w:rPr>
      </w:pP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供应商：</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或其委托代理人：</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p>
    <w:p>
      <w:pPr>
        <w:rPr>
          <w:rFonts w:ascii="宋体" w:hAnsi="宋体" w:eastAsia="宋体"/>
        </w:rPr>
      </w:pPr>
      <w:r>
        <w:rPr>
          <w:rFonts w:ascii="宋体" w:hAnsi="宋体" w:eastAsia="宋体"/>
        </w:rPr>
        <w:br w:type="page"/>
      </w:r>
    </w:p>
    <w:p>
      <w:pPr>
        <w:spacing w:line="360" w:lineRule="auto"/>
        <w:rPr>
          <w:rFonts w:ascii="宋体" w:hAnsi="宋体" w:eastAsia="宋体"/>
          <w:b/>
          <w:bCs/>
          <w:sz w:val="28"/>
          <w:szCs w:val="28"/>
        </w:rPr>
      </w:pPr>
      <w:r>
        <w:rPr>
          <w:rFonts w:hint="eastAsia" w:ascii="宋体" w:hAnsi="宋体" w:eastAsia="宋体"/>
          <w:b/>
          <w:bCs/>
          <w:sz w:val="28"/>
          <w:szCs w:val="28"/>
        </w:rPr>
        <w:t>（二）投标函附录</w:t>
      </w:r>
    </w:p>
    <w:tbl>
      <w:tblPr>
        <w:tblStyle w:val="29"/>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项目名称</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供应商</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标  段</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投标总价</w:t>
            </w:r>
          </w:p>
        </w:tc>
        <w:tc>
          <w:tcPr>
            <w:tcW w:w="6302" w:type="dxa"/>
            <w:vAlign w:val="center"/>
          </w:tcPr>
          <w:p>
            <w:pPr>
              <w:wordWrap w:val="0"/>
              <w:rPr>
                <w:rFonts w:ascii="宋体" w:hAnsi="宋体" w:eastAsia="宋体"/>
                <w:sz w:val="24"/>
                <w:szCs w:val="24"/>
              </w:rPr>
            </w:pPr>
            <w:r>
              <w:rPr>
                <w:rFonts w:hint="eastAsia" w:ascii="宋体" w:hAnsi="宋体" w:eastAsia="宋体"/>
                <w:sz w:val="24"/>
                <w:szCs w:val="24"/>
              </w:rPr>
              <w:t>大写：</w:t>
            </w:r>
          </w:p>
          <w:p>
            <w:pPr>
              <w:wordWrap w:val="0"/>
              <w:rPr>
                <w:rFonts w:ascii="宋体" w:hAnsi="宋体" w:eastAsia="宋体"/>
                <w:sz w:val="24"/>
                <w:szCs w:val="24"/>
              </w:rPr>
            </w:pPr>
            <w:r>
              <w:rPr>
                <w:rFonts w:hint="eastAsia" w:ascii="宋体" w:hAnsi="宋体" w:eastAsia="宋体"/>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jc w:val="center"/>
              <w:rPr>
                <w:rFonts w:ascii="宋体" w:hAnsi="宋体" w:eastAsia="宋体"/>
                <w:sz w:val="24"/>
                <w:szCs w:val="24"/>
              </w:rPr>
            </w:pPr>
            <w:r>
              <w:rPr>
                <w:rFonts w:hint="eastAsia" w:ascii="宋体" w:hAnsi="宋体" w:eastAsia="宋体"/>
                <w:sz w:val="24"/>
                <w:szCs w:val="24"/>
              </w:rPr>
              <w:t>投标范围</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合同履行期限</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投标质量</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质保期</w:t>
            </w:r>
          </w:p>
        </w:tc>
        <w:tc>
          <w:tcPr>
            <w:tcW w:w="6302" w:type="dxa"/>
            <w:vAlign w:val="center"/>
          </w:tcPr>
          <w:p>
            <w:pPr>
              <w:wordWrap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87" w:type="dxa"/>
            <w:vAlign w:val="center"/>
          </w:tcPr>
          <w:p>
            <w:pPr>
              <w:wordWrap w:val="0"/>
              <w:jc w:val="center"/>
              <w:rPr>
                <w:rFonts w:ascii="宋体" w:hAnsi="宋体" w:eastAsia="宋体"/>
                <w:sz w:val="24"/>
                <w:szCs w:val="24"/>
              </w:rPr>
            </w:pPr>
            <w:r>
              <w:rPr>
                <w:rFonts w:hint="eastAsia" w:ascii="宋体" w:hAnsi="宋体" w:eastAsia="宋体"/>
                <w:sz w:val="24"/>
                <w:szCs w:val="24"/>
              </w:rPr>
              <w:t>其他</w:t>
            </w:r>
          </w:p>
        </w:tc>
        <w:tc>
          <w:tcPr>
            <w:tcW w:w="6302" w:type="dxa"/>
            <w:vAlign w:val="center"/>
          </w:tcPr>
          <w:p>
            <w:pPr>
              <w:wordWrap w:val="0"/>
              <w:rPr>
                <w:rFonts w:ascii="宋体" w:hAnsi="宋体" w:eastAsia="宋体"/>
                <w:sz w:val="24"/>
                <w:szCs w:val="24"/>
              </w:rPr>
            </w:pPr>
          </w:p>
        </w:tc>
      </w:tr>
    </w:tbl>
    <w:p>
      <w:pPr>
        <w:rPr>
          <w:rFonts w:ascii="宋体" w:hAnsi="宋体" w:eastAsia="宋体"/>
        </w:rPr>
      </w:pP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供应商（</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或授权代表人（</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p>
    <w:p>
      <w:pPr>
        <w:rPr>
          <w:rFonts w:ascii="宋体" w:hAnsi="宋体" w:eastAsia="宋体"/>
        </w:rPr>
      </w:pP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二、法定代表人</w:t>
      </w:r>
      <w:r>
        <w:rPr>
          <w:rFonts w:hint="eastAsia" w:ascii="宋体" w:hAnsi="宋体" w:eastAsia="宋体" w:cs="宋体"/>
          <w:b/>
          <w:bCs/>
          <w:spacing w:val="6"/>
          <w:sz w:val="28"/>
          <w:szCs w:val="28"/>
        </w:rPr>
        <w:t>（负责人）</w:t>
      </w:r>
      <w:r>
        <w:rPr>
          <w:rFonts w:hint="eastAsia" w:ascii="宋体" w:hAnsi="宋体" w:eastAsia="宋体"/>
          <w:b/>
          <w:bCs/>
          <w:sz w:val="28"/>
          <w:szCs w:val="28"/>
        </w:rPr>
        <w:t>身份证明</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供应商名称：</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单位性质：</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 xml:space="preserve">地 </w:t>
      </w:r>
      <w:r>
        <w:rPr>
          <w:rFonts w:hint="eastAsia" w:ascii="宋体" w:hAnsi="宋体" w:eastAsia="宋体"/>
          <w:sz w:val="24"/>
          <w:szCs w:val="24"/>
        </w:rPr>
        <w:t xml:space="preserve"> </w:t>
      </w:r>
      <w:r>
        <w:rPr>
          <w:rFonts w:ascii="宋体" w:hAnsi="宋体" w:eastAsia="宋体"/>
          <w:sz w:val="24"/>
          <w:szCs w:val="24"/>
        </w:rPr>
        <w:t>址：</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成立时间：</w:t>
      </w:r>
      <w:r>
        <w:rPr>
          <w:rFonts w:hint="eastAsia" w:ascii="宋体" w:hAnsi="宋体" w:eastAsia="宋体"/>
          <w:sz w:val="24"/>
          <w:szCs w:val="24"/>
        </w:rPr>
        <w:t xml:space="preserve">   </w:t>
      </w:r>
      <w:r>
        <w:rPr>
          <w:rFonts w:ascii="宋体" w:hAnsi="宋体" w:eastAsia="宋体"/>
          <w:sz w:val="24"/>
          <w:szCs w:val="24"/>
        </w:rPr>
        <w:t xml:space="preserve"> 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经营期限：</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 xml:space="preserve">姓名： </w:t>
      </w:r>
      <w:r>
        <w:rPr>
          <w:rFonts w:hint="eastAsia" w:ascii="宋体" w:hAnsi="宋体" w:eastAsia="宋体"/>
          <w:sz w:val="24"/>
          <w:szCs w:val="24"/>
        </w:rPr>
        <w:t xml:space="preserve">   </w:t>
      </w:r>
      <w:r>
        <w:rPr>
          <w:rFonts w:ascii="宋体" w:hAnsi="宋体" w:eastAsia="宋体"/>
          <w:sz w:val="24"/>
          <w:szCs w:val="24"/>
        </w:rPr>
        <w:t>性别：</w:t>
      </w:r>
      <w:r>
        <w:rPr>
          <w:rFonts w:hint="eastAsia" w:ascii="宋体" w:hAnsi="宋体" w:eastAsia="宋体"/>
          <w:sz w:val="24"/>
          <w:szCs w:val="24"/>
        </w:rPr>
        <w:t xml:space="preserve">   </w:t>
      </w:r>
      <w:r>
        <w:rPr>
          <w:rFonts w:ascii="宋体" w:hAnsi="宋体" w:eastAsia="宋体"/>
          <w:sz w:val="24"/>
          <w:szCs w:val="24"/>
        </w:rPr>
        <w:t xml:space="preserve"> 年龄： </w:t>
      </w:r>
      <w:r>
        <w:rPr>
          <w:rFonts w:hint="eastAsia" w:ascii="宋体" w:hAnsi="宋体" w:eastAsia="宋体"/>
          <w:sz w:val="24"/>
          <w:szCs w:val="24"/>
        </w:rPr>
        <w:t xml:space="preserve">   </w:t>
      </w:r>
      <w:r>
        <w:rPr>
          <w:rFonts w:ascii="宋体" w:hAnsi="宋体" w:eastAsia="宋体"/>
          <w:sz w:val="24"/>
          <w:szCs w:val="24"/>
        </w:rPr>
        <w:t>职务：</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系</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（供应商单位名称）的法定代表人</w:t>
      </w:r>
      <w:r>
        <w:rPr>
          <w:rFonts w:hint="eastAsia" w:ascii="宋体" w:hAnsi="宋体" w:eastAsia="宋体" w:cs="宋体"/>
          <w:spacing w:val="6"/>
          <w:sz w:val="24"/>
          <w:szCs w:val="24"/>
        </w:rPr>
        <w:t>（负责人）</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特此证明。</w:t>
      </w: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附：法定代表人</w:t>
      </w:r>
      <w:r>
        <w:rPr>
          <w:rFonts w:hint="eastAsia" w:ascii="宋体" w:hAnsi="宋体" w:eastAsia="宋体" w:cs="宋体"/>
          <w:spacing w:val="6"/>
          <w:sz w:val="24"/>
          <w:szCs w:val="24"/>
        </w:rPr>
        <w:t>（负责人）</w:t>
      </w:r>
      <w:r>
        <w:rPr>
          <w:rFonts w:ascii="宋体" w:hAnsi="宋体" w:eastAsia="宋体"/>
          <w:sz w:val="24"/>
          <w:szCs w:val="24"/>
        </w:rPr>
        <w:t>身份证复印件。</w:t>
      </w: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供应商：</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 xml:space="preserve"> 日</w:t>
      </w:r>
    </w:p>
    <w:p>
      <w:pPr>
        <w:rPr>
          <w:rFonts w:ascii="宋体" w:hAnsi="宋体" w:eastAsia="宋体"/>
        </w:rPr>
      </w:pPr>
    </w:p>
    <w:p>
      <w:pPr>
        <w:rPr>
          <w:rFonts w:ascii="宋体" w:hAnsi="宋体" w:eastAsia="宋体"/>
        </w:rPr>
      </w:pP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三、授权委托书</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本人</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（姓名）系</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（供应商名称）的法定代表人</w:t>
      </w:r>
      <w:r>
        <w:rPr>
          <w:rFonts w:hint="eastAsia" w:ascii="宋体" w:hAnsi="宋体" w:eastAsia="宋体" w:cs="宋体"/>
          <w:spacing w:val="6"/>
          <w:sz w:val="24"/>
          <w:szCs w:val="24"/>
        </w:rPr>
        <w:t>（负责人）</w:t>
      </w:r>
      <w:r>
        <w:rPr>
          <w:rFonts w:ascii="宋体" w:hAnsi="宋体" w:eastAsia="宋体"/>
          <w:sz w:val="24"/>
          <w:szCs w:val="24"/>
        </w:rPr>
        <w:t>，现委托</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（姓名）为我方代理人。代理人根据授权，以我方名义签署、澄清、说明、补正、递交、撤回、修改（项目名称）</w:t>
      </w:r>
      <w:r>
        <w:rPr>
          <w:rFonts w:hint="eastAsia" w:ascii="宋体" w:hAnsi="宋体" w:eastAsia="宋体"/>
          <w:sz w:val="24"/>
          <w:szCs w:val="24"/>
          <w:u w:val="single"/>
        </w:rPr>
        <w:t xml:space="preserve">          </w:t>
      </w:r>
      <w:r>
        <w:rPr>
          <w:rFonts w:hint="eastAsia" w:ascii="宋体" w:hAnsi="宋体" w:eastAsia="宋体"/>
          <w:sz w:val="24"/>
          <w:szCs w:val="24"/>
        </w:rPr>
        <w:t>（标段）</w:t>
      </w:r>
      <w:r>
        <w:rPr>
          <w:rFonts w:hint="eastAsia" w:ascii="宋体" w:hAnsi="宋体" w:eastAsia="宋体"/>
          <w:sz w:val="24"/>
          <w:szCs w:val="24"/>
          <w:u w:val="single"/>
        </w:rPr>
        <w:t xml:space="preserve">           </w:t>
      </w:r>
      <w:r>
        <w:rPr>
          <w:rFonts w:ascii="宋体" w:hAnsi="宋体" w:eastAsia="宋体"/>
          <w:sz w:val="24"/>
          <w:szCs w:val="24"/>
        </w:rPr>
        <w:t>投标文件、签订合同和处理有关事宜，其法律后果由我方承担。</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委托期限：</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代理人无转委托权。</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附：法定代表人</w:t>
      </w:r>
      <w:r>
        <w:rPr>
          <w:rFonts w:hint="eastAsia" w:ascii="宋体" w:hAnsi="宋体" w:eastAsia="宋体" w:cs="宋体"/>
          <w:spacing w:val="6"/>
          <w:sz w:val="24"/>
          <w:szCs w:val="24"/>
        </w:rPr>
        <w:t>（负责人）</w:t>
      </w:r>
      <w:r>
        <w:rPr>
          <w:rFonts w:ascii="宋体" w:hAnsi="宋体" w:eastAsia="宋体"/>
          <w:sz w:val="24"/>
          <w:szCs w:val="24"/>
        </w:rPr>
        <w:t>身份证和代理人身份证复印件</w:t>
      </w:r>
    </w:p>
    <w:p>
      <w:pPr>
        <w:widowControl w:val="0"/>
        <w:kinsoku/>
        <w:adjustRightInd/>
        <w:snapToGrid/>
        <w:spacing w:line="360" w:lineRule="auto"/>
        <w:ind w:firstLine="480" w:firstLineChars="200"/>
        <w:jc w:val="both"/>
        <w:textAlignment w:val="auto"/>
        <w:rPr>
          <w:rFonts w:ascii="宋体" w:hAnsi="宋体" w:eastAsia="宋体"/>
          <w:sz w:val="24"/>
          <w:szCs w:val="24"/>
        </w:rPr>
      </w:pP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供应商：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身份证号码：</w:t>
      </w:r>
      <w:r>
        <w:rPr>
          <w:rFonts w:hint="eastAsia" w:ascii="宋体" w:hAnsi="宋体" w:eastAsia="宋体"/>
          <w:sz w:val="24"/>
          <w:szCs w:val="24"/>
          <w:u w:val="single"/>
        </w:rPr>
        <w:t xml:space="preserve">                 </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委托代理人：</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签字或盖章</w:t>
      </w:r>
      <w:r>
        <w:rPr>
          <w:rFonts w:ascii="宋体" w:hAnsi="宋体" w:eastAsia="宋体"/>
          <w:sz w:val="24"/>
          <w:szCs w:val="24"/>
        </w:rPr>
        <w:t>）</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身份证号码：</w:t>
      </w:r>
      <w:r>
        <w:rPr>
          <w:rFonts w:hint="eastAsia" w:ascii="宋体" w:hAnsi="宋体" w:eastAsia="宋体"/>
          <w:sz w:val="24"/>
          <w:szCs w:val="24"/>
          <w:u w:val="single"/>
        </w:rPr>
        <w:t xml:space="preserve">                   </w:t>
      </w:r>
    </w:p>
    <w:p>
      <w:pPr>
        <w:widowControl w:val="0"/>
        <w:kinsoku/>
        <w:adjustRightInd/>
        <w:snapToGrid/>
        <w:spacing w:line="360" w:lineRule="auto"/>
        <w:ind w:firstLine="480" w:firstLineChars="200"/>
        <w:jc w:val="both"/>
        <w:textAlignment w:val="auto"/>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 </w:t>
      </w:r>
      <w:r>
        <w:rPr>
          <w:rFonts w:hint="eastAsia" w:ascii="宋体" w:hAnsi="宋体" w:eastAsia="宋体"/>
          <w:sz w:val="24"/>
          <w:szCs w:val="24"/>
        </w:rPr>
        <w:t xml:space="preserve">   </w:t>
      </w:r>
      <w:r>
        <w:rPr>
          <w:rFonts w:ascii="宋体" w:hAnsi="宋体" w:eastAsia="宋体"/>
          <w:sz w:val="24"/>
          <w:szCs w:val="24"/>
        </w:rPr>
        <w:t>日</w:t>
      </w:r>
    </w:p>
    <w:p>
      <w:pPr>
        <w:rPr>
          <w:rFonts w:ascii="宋体" w:hAnsi="宋体" w:eastAsia="宋体"/>
          <w:sz w:val="22"/>
        </w:rPr>
      </w:pPr>
    </w:p>
    <w:p>
      <w:pPr>
        <w:rPr>
          <w:rFonts w:ascii="宋体" w:hAnsi="宋体" w:eastAsia="宋体"/>
        </w:rPr>
      </w:pPr>
    </w:p>
    <w:p>
      <w:pPr>
        <w:rPr>
          <w:rFonts w:ascii="宋体" w:hAnsi="宋体" w:eastAsia="宋体"/>
        </w:rPr>
      </w:pPr>
    </w:p>
    <w:p>
      <w:pPr>
        <w:rPr>
          <w:rFonts w:ascii="宋体" w:hAnsi="宋体" w:eastAsia="宋体"/>
          <w:sz w:val="22"/>
        </w:rPr>
      </w:pPr>
      <w:r>
        <w:rPr>
          <w:rFonts w:ascii="宋体" w:hAnsi="宋体" w:eastAsia="宋体"/>
          <w:sz w:val="22"/>
        </w:rPr>
        <w:br w:type="page"/>
      </w:r>
    </w:p>
    <w:p>
      <w:pPr>
        <w:spacing w:line="360" w:lineRule="auto"/>
        <w:jc w:val="center"/>
        <w:rPr>
          <w:rFonts w:ascii="宋体" w:hAnsi="宋体" w:eastAsia="宋体"/>
          <w:b/>
          <w:bCs/>
          <w:sz w:val="32"/>
          <w:szCs w:val="32"/>
        </w:rPr>
      </w:pPr>
      <w:r>
        <w:rPr>
          <w:rFonts w:ascii="宋体" w:hAnsi="宋体" w:eastAsia="宋体"/>
          <w:b/>
          <w:bCs/>
          <w:sz w:val="32"/>
          <w:szCs w:val="32"/>
        </w:rPr>
        <w:t>四、</w:t>
      </w:r>
      <w:r>
        <w:rPr>
          <w:rFonts w:hint="eastAsia" w:ascii="宋体" w:hAnsi="宋体" w:eastAsia="宋体"/>
          <w:b/>
          <w:bCs/>
          <w:sz w:val="32"/>
          <w:szCs w:val="32"/>
        </w:rPr>
        <w:t>项目清单报价表</w:t>
      </w:r>
    </w:p>
    <w:p>
      <w:pPr>
        <w:spacing w:line="360" w:lineRule="auto"/>
        <w:rPr>
          <w:rFonts w:ascii="宋体" w:hAnsi="宋体" w:eastAsia="宋体"/>
          <w:sz w:val="24"/>
          <w:szCs w:val="24"/>
        </w:rPr>
      </w:pPr>
      <w:r>
        <w:rPr>
          <w:rFonts w:ascii="宋体" w:hAnsi="宋体" w:eastAsia="宋体"/>
          <w:sz w:val="24"/>
          <w:szCs w:val="24"/>
        </w:rPr>
        <w:t>项目名称：___________</w:t>
      </w:r>
    </w:p>
    <w:p>
      <w:pPr>
        <w:spacing w:line="360" w:lineRule="auto"/>
        <w:rPr>
          <w:rFonts w:ascii="宋体" w:hAnsi="宋体" w:eastAsia="宋体"/>
          <w:sz w:val="24"/>
          <w:szCs w:val="24"/>
        </w:rPr>
      </w:pPr>
      <w:r>
        <w:rPr>
          <w:rFonts w:hint="eastAsia" w:ascii="宋体" w:hAnsi="宋体" w:eastAsia="宋体"/>
          <w:sz w:val="24"/>
          <w:szCs w:val="24"/>
        </w:rPr>
        <w:t>项目</w:t>
      </w:r>
      <w:r>
        <w:rPr>
          <w:rFonts w:ascii="宋体" w:hAnsi="宋体" w:eastAsia="宋体"/>
          <w:sz w:val="24"/>
          <w:szCs w:val="24"/>
        </w:rPr>
        <w:t>编号：___________</w:t>
      </w:r>
      <w:r>
        <w:rPr>
          <w:rFonts w:hint="eastAsia" w:ascii="宋体" w:hAnsi="宋体" w:eastAsia="宋体"/>
          <w:sz w:val="24"/>
          <w:szCs w:val="24"/>
        </w:rPr>
        <w:t xml:space="preserve">                                                </w:t>
      </w:r>
      <w:r>
        <w:rPr>
          <w:rFonts w:ascii="宋体" w:hAnsi="宋体" w:eastAsia="宋体"/>
          <w:sz w:val="24"/>
          <w:szCs w:val="24"/>
        </w:rPr>
        <w:t>单位</w:t>
      </w:r>
      <w:r>
        <w:rPr>
          <w:rFonts w:hint="eastAsia" w:ascii="宋体" w:hAnsi="宋体" w:eastAsia="宋体"/>
          <w:sz w:val="24"/>
          <w:szCs w:val="24"/>
        </w:rPr>
        <w:t>：</w:t>
      </w:r>
      <w:r>
        <w:rPr>
          <w:rFonts w:ascii="宋体" w:hAnsi="宋体" w:eastAsia="宋体"/>
          <w:sz w:val="24"/>
          <w:szCs w:val="24"/>
        </w:rPr>
        <w:t>元</w:t>
      </w:r>
    </w:p>
    <w:tbl>
      <w:tblPr>
        <w:tblStyle w:val="29"/>
        <w:tblW w:w="8506" w:type="dxa"/>
        <w:jc w:val="center"/>
        <w:tblLayout w:type="fixed"/>
        <w:tblCellMar>
          <w:top w:w="0" w:type="dxa"/>
          <w:left w:w="0" w:type="dxa"/>
          <w:bottom w:w="0" w:type="dxa"/>
          <w:right w:w="0" w:type="dxa"/>
        </w:tblCellMar>
      </w:tblPr>
      <w:tblGrid>
        <w:gridCol w:w="540"/>
        <w:gridCol w:w="1185"/>
        <w:gridCol w:w="1276"/>
        <w:gridCol w:w="1559"/>
        <w:gridCol w:w="709"/>
        <w:gridCol w:w="709"/>
        <w:gridCol w:w="708"/>
        <w:gridCol w:w="993"/>
        <w:gridCol w:w="827"/>
      </w:tblGrid>
      <w:tr>
        <w:tblPrEx>
          <w:tblCellMar>
            <w:top w:w="0" w:type="dxa"/>
            <w:left w:w="0" w:type="dxa"/>
            <w:bottom w:w="0" w:type="dxa"/>
            <w:right w:w="0" w:type="dxa"/>
          </w:tblCellMar>
        </w:tblPrEx>
        <w:trPr>
          <w:trHeight w:val="66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ascii="宋体" w:hAnsi="宋体" w:eastAsia="宋体"/>
                <w:sz w:val="24"/>
                <w:szCs w:val="24"/>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ascii="宋体" w:hAnsi="宋体" w:eastAsia="宋体"/>
                <w:sz w:val="24"/>
                <w:szCs w:val="24"/>
              </w:rPr>
              <w:t>货物名称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品牌</w:t>
            </w:r>
          </w:p>
          <w:p>
            <w:pPr>
              <w:spacing w:line="360" w:lineRule="auto"/>
              <w:jc w:val="center"/>
              <w:rPr>
                <w:rFonts w:ascii="宋体" w:hAnsi="宋体" w:eastAsia="宋体"/>
                <w:sz w:val="24"/>
                <w:szCs w:val="24"/>
              </w:rPr>
            </w:pPr>
            <w:r>
              <w:rPr>
                <w:rFonts w:hint="eastAsia" w:ascii="宋体" w:hAnsi="宋体" w:eastAsia="宋体"/>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生产（制造）</w:t>
            </w:r>
          </w:p>
          <w:p>
            <w:pPr>
              <w:spacing w:line="360" w:lineRule="auto"/>
              <w:jc w:val="center"/>
              <w:rPr>
                <w:rFonts w:ascii="宋体" w:hAnsi="宋体" w:eastAsia="宋体"/>
                <w:sz w:val="24"/>
                <w:szCs w:val="24"/>
              </w:rPr>
            </w:pPr>
            <w:r>
              <w:rPr>
                <w:rFonts w:hint="eastAsia" w:ascii="宋体" w:hAnsi="宋体" w:eastAsia="宋体"/>
                <w:sz w:val="24"/>
                <w:szCs w:val="24"/>
              </w:rPr>
              <w:t>厂商名称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ascii="宋体" w:hAnsi="宋体" w:eastAsia="宋体"/>
                <w:sz w:val="24"/>
                <w:szCs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单价</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小计</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货物交付使用时间</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质保期</w:t>
            </w: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300"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投标报价总计：</w:t>
            </w:r>
          </w:p>
        </w:tc>
        <w:tc>
          <w:tcPr>
            <w:tcW w:w="678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大写：                           小写：（￥：）</w:t>
            </w:r>
          </w:p>
        </w:tc>
      </w:tr>
    </w:tbl>
    <w:p>
      <w:pPr>
        <w:pStyle w:val="10"/>
        <w:spacing w:line="360" w:lineRule="auto"/>
        <w:ind w:firstLine="480"/>
        <w:rPr>
          <w:rFonts w:ascii="宋体" w:hAnsi="宋体"/>
          <w:b/>
          <w:sz w:val="24"/>
          <w:szCs w:val="24"/>
        </w:rPr>
      </w:pPr>
      <w:r>
        <w:rPr>
          <w:rFonts w:hint="eastAsia" w:ascii="宋体" w:hAnsi="宋体"/>
          <w:sz w:val="24"/>
          <w:szCs w:val="24"/>
        </w:rPr>
        <w:t>说明：</w:t>
      </w:r>
    </w:p>
    <w:p>
      <w:pPr>
        <w:pStyle w:val="10"/>
        <w:spacing w:line="360" w:lineRule="exact"/>
        <w:ind w:firstLine="482"/>
        <w:rPr>
          <w:rFonts w:ascii="宋体" w:hAnsi="宋体"/>
          <w:sz w:val="24"/>
          <w:szCs w:val="24"/>
        </w:rPr>
      </w:pPr>
      <w:r>
        <w:rPr>
          <w:rFonts w:ascii="宋体" w:hAnsi="宋体"/>
          <w:b/>
          <w:sz w:val="24"/>
          <w:szCs w:val="24"/>
        </w:rPr>
        <w:t xml:space="preserve"> 1.如果按单价计算的结果与总价不一致,以单价为准修正总价。</w:t>
      </w:r>
    </w:p>
    <w:p>
      <w:pPr>
        <w:spacing w:line="360" w:lineRule="exact"/>
        <w:rPr>
          <w:rFonts w:ascii="宋体" w:hAnsi="宋体" w:eastAsia="宋体"/>
          <w:b/>
          <w:sz w:val="24"/>
          <w:szCs w:val="24"/>
        </w:rPr>
      </w:pPr>
      <w:r>
        <w:rPr>
          <w:rFonts w:hint="eastAsia" w:ascii="宋体" w:hAnsi="宋体" w:eastAsia="宋体"/>
          <w:b/>
          <w:sz w:val="24"/>
          <w:szCs w:val="24"/>
        </w:rPr>
        <w:t xml:space="preserve">  </w:t>
      </w:r>
      <w:r>
        <w:rPr>
          <w:rFonts w:hint="eastAsia" w:ascii="宋体" w:hAnsi="宋体" w:eastAsia="宋体" w:cs="Times New Roman"/>
          <w:b/>
          <w:sz w:val="24"/>
          <w:szCs w:val="24"/>
          <w:u w:color="000000"/>
        </w:rPr>
        <w:t xml:space="preserve">   2.投标报价包含货物正式交付使用所发生的（人工费、服务费、运输费、保险费、安装调试费、税费、备品备件费等）一切费用。</w:t>
      </w:r>
      <w:r>
        <w:rPr>
          <w:rFonts w:ascii="宋体" w:hAnsi="宋体" w:eastAsia="宋体" w:cs="Times New Roman"/>
          <w:b/>
          <w:sz w:val="24"/>
          <w:szCs w:val="24"/>
          <w:u w:color="000000"/>
        </w:rPr>
        <w:t xml:space="preserve">   </w:t>
      </w:r>
    </w:p>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w:t>
      </w:r>
      <w:r>
        <w:rPr>
          <w:rFonts w:hint="eastAsia" w:ascii="宋体" w:hAnsi="宋体" w:eastAsia="宋体"/>
          <w:sz w:val="24"/>
          <w:szCs w:val="24"/>
        </w:rPr>
        <w:t>电子签章</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或其委托代理人：（</w:t>
      </w:r>
      <w:r>
        <w:rPr>
          <w:rFonts w:hint="eastAsia" w:ascii="宋体" w:hAnsi="宋体" w:eastAsia="宋体"/>
          <w:sz w:val="24"/>
          <w:szCs w:val="24"/>
        </w:rPr>
        <w:t>电子签章</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年 月 日</w:t>
      </w: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五、售后服务计划</w:t>
      </w:r>
    </w:p>
    <w:p>
      <w:pPr>
        <w:spacing w:line="360" w:lineRule="auto"/>
        <w:rPr>
          <w:rFonts w:ascii="宋体" w:hAnsi="宋体" w:eastAsia="宋体"/>
          <w:b/>
          <w:bCs/>
          <w:sz w:val="28"/>
          <w:szCs w:val="28"/>
        </w:rPr>
      </w:pPr>
    </w:p>
    <w:p>
      <w:pPr>
        <w:rPr>
          <w:rFonts w:ascii="宋体" w:hAnsi="宋体" w:eastAsia="宋体"/>
        </w:rPr>
      </w:pP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rPr>
        <w:t>六、</w:t>
      </w:r>
      <w:r>
        <w:rPr>
          <w:rFonts w:hint="eastAsia" w:ascii="宋体" w:hAnsi="宋体" w:eastAsia="宋体"/>
          <w:b/>
          <w:bCs/>
          <w:sz w:val="32"/>
          <w:szCs w:val="32"/>
        </w:rPr>
        <w:t>供货安装</w:t>
      </w:r>
      <w:r>
        <w:rPr>
          <w:rFonts w:ascii="宋体" w:hAnsi="宋体" w:eastAsia="宋体"/>
          <w:b/>
          <w:bCs/>
          <w:sz w:val="32"/>
          <w:szCs w:val="32"/>
        </w:rPr>
        <w:t>方案</w:t>
      </w:r>
      <w:r>
        <w:rPr>
          <w:rFonts w:hint="eastAsia" w:ascii="宋体" w:hAnsi="宋体" w:eastAsia="宋体"/>
          <w:b/>
          <w:bCs/>
          <w:sz w:val="32"/>
          <w:szCs w:val="32"/>
        </w:rPr>
        <w:t>及培训方案</w:t>
      </w:r>
    </w:p>
    <w:p>
      <w:pPr>
        <w:rPr>
          <w:rFonts w:ascii="宋体" w:hAnsi="宋体" w:eastAsia="宋体"/>
        </w:rPr>
      </w:pPr>
    </w:p>
    <w:p>
      <w:pPr>
        <w:ind w:firstLine="420" w:firstLineChars="200"/>
        <w:rPr>
          <w:rFonts w:ascii="宋体" w:hAnsi="宋体"/>
          <w:szCs w:val="24"/>
        </w:rPr>
      </w:pPr>
    </w:p>
    <w:p>
      <w:pPr>
        <w:rPr>
          <w:rFonts w:ascii="宋体" w:hAnsi="宋体" w:eastAsia="宋体"/>
        </w:rPr>
      </w:pPr>
    </w:p>
    <w:p>
      <w:pPr>
        <w:rPr>
          <w:rFonts w:ascii="宋体" w:hAnsi="宋体" w:eastAsia="宋体"/>
        </w:rPr>
      </w:pPr>
    </w:p>
    <w:p>
      <w:pPr>
        <w:rPr>
          <w:rFonts w:ascii="宋体" w:hAnsi="宋体" w:eastAsia="宋体"/>
        </w:rPr>
      </w:pPr>
    </w:p>
    <w:p>
      <w:pPr>
        <w:pStyle w:val="45"/>
      </w:pPr>
    </w:p>
    <w:p>
      <w:pPr>
        <w:spacing w:line="360" w:lineRule="auto"/>
        <w:rPr>
          <w:rFonts w:ascii="宋体" w:hAnsi="宋体" w:eastAsia="宋体"/>
          <w:b/>
          <w:bCs/>
          <w:sz w:val="28"/>
          <w:szCs w:val="28"/>
        </w:rPr>
      </w:pPr>
      <w:r>
        <w:rPr>
          <w:rFonts w:hint="eastAsia" w:ascii="宋体" w:hAnsi="宋体" w:eastAsia="宋体"/>
          <w:b/>
          <w:bCs/>
          <w:sz w:val="28"/>
          <w:szCs w:val="28"/>
        </w:rPr>
        <w:t>七、其他资料</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（招标文件要求的或供应商认为有必要的其它说明文件及合理化建议，包括但不限于以下资料）</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.监狱企业及社会福利企业证明材料等</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.投标承诺函</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.政府采购节能、环保产品汇总表</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.其他资料</w:t>
      </w:r>
    </w:p>
    <w:p>
      <w:pPr>
        <w:rPr>
          <w:rFonts w:ascii="宋体" w:hAnsi="宋体" w:eastAsia="宋体"/>
          <w:szCs w:val="24"/>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lang w:val="en-US" w:eastAsia="zh-CN"/>
        </w:rPr>
        <w:t>1</w:t>
      </w:r>
      <w:r>
        <w:rPr>
          <w:rFonts w:hint="eastAsia" w:ascii="宋体" w:hAnsi="宋体" w:eastAsia="宋体"/>
          <w:b/>
          <w:bCs/>
          <w:sz w:val="28"/>
          <w:szCs w:val="28"/>
        </w:rPr>
        <w:t>、监狱企业的认定标准</w:t>
      </w:r>
    </w:p>
    <w:p>
      <w:pPr>
        <w:jc w:val="center"/>
      </w:pPr>
      <w:r>
        <w:rPr>
          <w:rFonts w:hint="eastAsia" w:ascii="宋体" w:hAnsi="宋体" w:eastAsia="宋体"/>
          <w:b/>
        </w:rPr>
        <w:t>如果不是，此项可以删除</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省级及以上监狱管理局、戒毒管理局（含新疆生产建设兵团）出具的属于监狱企业的证明文件。监狱企业视同小型、微型企业。</w:t>
      </w:r>
    </w:p>
    <w:p>
      <w:pPr>
        <w:rPr>
          <w:rFonts w:ascii="宋体" w:hAnsi="宋体" w:eastAsia="宋体"/>
        </w:rPr>
      </w:pPr>
    </w:p>
    <w:p>
      <w:pPr>
        <w:rPr>
          <w:rFonts w:ascii="宋体" w:hAnsi="宋体" w:eastAsia="宋体"/>
          <w:sz w:val="22"/>
        </w:rPr>
      </w:pPr>
    </w:p>
    <w:p>
      <w:pPr>
        <w:rPr>
          <w:rFonts w:ascii="宋体" w:hAnsi="宋体" w:eastAsia="宋体"/>
          <w:sz w:val="22"/>
        </w:rPr>
      </w:pPr>
      <w:r>
        <w:rPr>
          <w:rFonts w:ascii="宋体" w:hAnsi="宋体" w:eastAsia="宋体"/>
          <w:sz w:val="22"/>
        </w:rPr>
        <w:br w:type="page"/>
      </w:r>
    </w:p>
    <w:p>
      <w:pPr>
        <w:spacing w:line="360" w:lineRule="auto"/>
        <w:rPr>
          <w:rFonts w:ascii="宋体" w:hAnsi="宋体" w:eastAsia="宋体"/>
          <w:b/>
          <w:bCs/>
          <w:sz w:val="28"/>
          <w:szCs w:val="28"/>
        </w:rPr>
      </w:pPr>
      <w:r>
        <w:rPr>
          <w:rFonts w:hint="eastAsia" w:ascii="宋体" w:hAnsi="宋体" w:eastAsia="宋体"/>
          <w:b/>
          <w:bCs/>
          <w:sz w:val="28"/>
          <w:szCs w:val="28"/>
          <w:lang w:val="en-US" w:eastAsia="zh-CN"/>
        </w:rPr>
        <w:t>2</w:t>
      </w:r>
      <w:r>
        <w:rPr>
          <w:rFonts w:hint="eastAsia" w:ascii="宋体" w:hAnsi="宋体" w:eastAsia="宋体"/>
          <w:b/>
          <w:bCs/>
          <w:sz w:val="28"/>
          <w:szCs w:val="28"/>
        </w:rPr>
        <w:t>、残疾人福利性单位声明函</w:t>
      </w:r>
    </w:p>
    <w:p>
      <w:pPr>
        <w:jc w:val="center"/>
      </w:pPr>
      <w:r>
        <w:rPr>
          <w:rFonts w:hint="eastAsia" w:ascii="宋体" w:hAnsi="宋体" w:eastAsia="宋体"/>
          <w:b/>
        </w:rPr>
        <w:t>如果不是，此项可以删除</w:t>
      </w:r>
    </w:p>
    <w:p>
      <w:pPr>
        <w:widowControl w:val="0"/>
        <w:kinsoku/>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widowControl w:val="0"/>
        <w:kinsoku/>
        <w:adjustRightInd/>
        <w:snapToGrid/>
        <w:spacing w:line="360" w:lineRule="auto"/>
        <w:textAlignment w:val="auto"/>
        <w:rPr>
          <w:rFonts w:ascii="宋体" w:hAnsi="宋体" w:eastAsia="宋体"/>
          <w:sz w:val="24"/>
          <w:szCs w:val="24"/>
        </w:rPr>
      </w:pP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单位名称（电子签章）：</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日    期：</w:t>
      </w:r>
    </w:p>
    <w:p>
      <w:pPr>
        <w:widowControl w:val="0"/>
        <w:kinsoku/>
        <w:adjustRightInd/>
        <w:snapToGrid/>
        <w:spacing w:line="360" w:lineRule="auto"/>
        <w:textAlignment w:val="auto"/>
        <w:rPr>
          <w:rFonts w:ascii="宋体" w:hAnsi="宋体" w:eastAsia="宋体"/>
          <w:sz w:val="24"/>
          <w:szCs w:val="24"/>
        </w:rPr>
      </w:pP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注：</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1、中标、成交供应商为残疾人福利性单位的，采购人或者集采机构将随中标、成交结果同时公告其《残疾人福利性单位声明函》，接受社会监督。</w:t>
      </w:r>
    </w:p>
    <w:p>
      <w:pPr>
        <w:widowControl w:val="0"/>
        <w:kinsoku/>
        <w:adjustRightInd/>
        <w:snapToGrid/>
        <w:spacing w:line="360" w:lineRule="auto"/>
        <w:textAlignment w:val="auto"/>
        <w:rPr>
          <w:rFonts w:ascii="宋体" w:hAnsi="宋体" w:eastAsia="宋体"/>
          <w:sz w:val="24"/>
          <w:szCs w:val="24"/>
        </w:rPr>
      </w:pPr>
      <w:r>
        <w:rPr>
          <w:rFonts w:hint="eastAsia" w:ascii="宋体" w:hAnsi="宋体" w:eastAsia="宋体"/>
          <w:sz w:val="24"/>
          <w:szCs w:val="24"/>
        </w:rPr>
        <w:t>2、供应商提供的《残疾人福利性单位声明函》与事实不符的，依照《政府采购法》第七十七条第一款的规定追究法律责任。</w:t>
      </w:r>
    </w:p>
    <w:p>
      <w:pPr>
        <w:widowControl w:val="0"/>
        <w:kinsoku/>
        <w:adjustRightInd/>
        <w:snapToGrid/>
        <w:spacing w:line="360" w:lineRule="auto"/>
        <w:textAlignment w:val="auto"/>
        <w:rPr>
          <w:rFonts w:ascii="宋体" w:hAnsi="宋体" w:eastAsia="宋体"/>
          <w:sz w:val="24"/>
          <w:szCs w:val="24"/>
        </w:rPr>
      </w:pPr>
    </w:p>
    <w:p>
      <w:pPr>
        <w:rPr>
          <w:rFonts w:ascii="宋体" w:hAnsi="宋体" w:eastAsia="宋体"/>
        </w:rPr>
      </w:pPr>
      <w:r>
        <w:rPr>
          <w:rFonts w:ascii="宋体" w:hAnsi="宋体" w:eastAsia="宋体"/>
        </w:rPr>
        <w:br w:type="page"/>
      </w:r>
    </w:p>
    <w:p>
      <w:pPr>
        <w:spacing w:line="360" w:lineRule="auto"/>
        <w:rPr>
          <w:rFonts w:ascii="宋体" w:hAnsi="宋体" w:eastAsia="宋体"/>
          <w:b/>
          <w:bCs/>
          <w:sz w:val="28"/>
          <w:szCs w:val="28"/>
        </w:rPr>
      </w:pPr>
      <w:r>
        <w:rPr>
          <w:rFonts w:hint="eastAsia" w:ascii="宋体" w:hAnsi="宋体" w:eastAsia="宋体"/>
          <w:b/>
          <w:bCs/>
          <w:sz w:val="28"/>
          <w:szCs w:val="28"/>
          <w:lang w:val="en-US" w:eastAsia="zh-CN"/>
        </w:rPr>
        <w:t>3</w:t>
      </w:r>
      <w:r>
        <w:rPr>
          <w:rFonts w:hint="eastAsia" w:ascii="宋体" w:hAnsi="宋体" w:eastAsia="宋体"/>
          <w:b/>
          <w:bCs/>
          <w:sz w:val="28"/>
          <w:szCs w:val="28"/>
        </w:rPr>
        <w:t>、投标承诺函</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致（采购人及采购代理机构）：</w:t>
      </w:r>
      <w:r>
        <w:rPr>
          <w:rFonts w:hint="eastAsia" w:ascii="宋体" w:hAnsi="宋体" w:eastAsia="宋体"/>
          <w:sz w:val="24"/>
          <w:szCs w:val="24"/>
          <w:u w:val="single"/>
        </w:rPr>
        <w:t xml:space="preserve">                        </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我公司作为本次采购项目的供应商，根据招标文件要求，现郑重承诺如下：</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一、具备《中华人民共和国政府采购法》第二十二条第一款和本项目规定的条件：</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（一）具有承担民事责任的能力；</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（二）具有良好的商业信誉和健全的财务会计制度；</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（三）具有履行合同所必需的设备和专业技术能力；</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（四）有依法缴纳税收和社会保障资金的良好记录；</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（五）参加政府采购活动前三年内，在经营活动中没有重大违法记录；</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（六）法律、行政法规规定的其他条件；</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（七）根据采购项目提出的特殊条件。</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二、完全接受和满足本项目招标文件中规定的实质性要求，如对招标文件有异议，已</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经在投标截止时间届满前依法进行维权救济，不存在对招标文件有异议的同时又参加投标以求侥幸中标或者为实现其他非法目的的行为。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三、参加本次招标采购活动，不存在与单位负责人为同一人或者存在直接控股、管理关系的其他供应商参与同一合同项下的政府采购活动的行为。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四、参加本次招标采购活动，不存在为采购项目提供整体设计、规范编制或者项目管理、监理、检测等服务的行为。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五、参加本次招标采购活动，不存在和其他供应商在同一合同项下的采购项目中，同时委托同一个自然人、同一家庭的人员、同一单位的人员作为代理人的行为。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六、供应商参加本次政府采购活动要求在近三年内供应商和其法定代表人没有行贿犯罪行为。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七、参加本次招标采购活动，不存在联合体投标。</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八、投标文件中提供的能够给予我公司带来优惠、好处的任何材料资料和技术、服务、商务等响应承诺情况都是真实的、有效的、合法的。</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十、存在以下行为之一的愿意接受相关部门的处理：</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（一）投标有效期内撤销投标文件的；</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（二）在采购人确定中标人以前放弃中标候选资格的；</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（三）由于中标人的原因未能按照招标文件的规定与采购人签订合同；</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（四）由于中标人的原因未能按照招标文件的规定交纳履约保证金；</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（五）在投标文件中提供虚假材料谋取中标；</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（六）与采购人、其他供应商或者采购代理机构恶意串通的；</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（七）投标有效期内，供应商在政府采购活动中有违法、违规、违纪行为。</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由此产生的一切法律后果和责任由我公司承担。我公司声明放弃对此提出任何异议和追索的权利。</w:t>
      </w:r>
    </w:p>
    <w:p>
      <w:pPr>
        <w:widowControl w:val="0"/>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本公司对上述承诺的内容事项真实性负责。如经查实上述承诺的内容事项存在虚假，我公司愿意接受以提供虚假材料谋取中标追究法律责任。</w:t>
      </w:r>
    </w:p>
    <w:p>
      <w:pPr>
        <w:widowControl w:val="0"/>
        <w:kinsoku/>
        <w:adjustRightInd/>
        <w:snapToGrid/>
        <w:spacing w:line="360" w:lineRule="auto"/>
        <w:textAlignment w:val="auto"/>
        <w:rPr>
          <w:rFonts w:ascii="宋体" w:hAnsi="宋体" w:eastAsia="宋体"/>
          <w:sz w:val="24"/>
          <w:szCs w:val="24"/>
        </w:rPr>
      </w:pP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供应商名称：</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或授权代表：</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p>
    <w:p>
      <w:pPr>
        <w:widowControl w:val="0"/>
        <w:kinsoku/>
        <w:adjustRightInd/>
        <w:snapToGrid/>
        <w:spacing w:line="360" w:lineRule="auto"/>
        <w:textAlignment w:val="auto"/>
        <w:rPr>
          <w:rFonts w:ascii="宋体" w:hAnsi="宋体" w:eastAsia="宋体"/>
          <w:sz w:val="24"/>
          <w:szCs w:val="24"/>
        </w:rPr>
      </w:pPr>
      <w:r>
        <w:rPr>
          <w:rFonts w:ascii="宋体" w:hAnsi="宋体" w:eastAsia="宋体"/>
          <w:sz w:val="24"/>
          <w:szCs w:val="24"/>
        </w:rPr>
        <w:t>日</w:t>
      </w:r>
      <w:r>
        <w:rPr>
          <w:rFonts w:hint="eastAsia" w:ascii="宋体" w:hAnsi="宋体" w:eastAsia="宋体"/>
          <w:sz w:val="24"/>
          <w:szCs w:val="24"/>
        </w:rPr>
        <w:t xml:space="preserve">    </w:t>
      </w:r>
      <w:r>
        <w:rPr>
          <w:rFonts w:ascii="宋体" w:hAnsi="宋体" w:eastAsia="宋体"/>
          <w:sz w:val="24"/>
          <w:szCs w:val="24"/>
        </w:rPr>
        <w:t>期：</w:t>
      </w:r>
    </w:p>
    <w:p>
      <w:pPr>
        <w:rPr>
          <w:rFonts w:ascii="宋体" w:hAnsi="宋体" w:eastAsia="宋体"/>
          <w:sz w:val="22"/>
        </w:rPr>
      </w:pPr>
      <w:r>
        <w:rPr>
          <w:rFonts w:ascii="宋体" w:hAnsi="宋体" w:eastAsia="宋体"/>
          <w:sz w:val="22"/>
        </w:rPr>
        <w:br w:type="page"/>
      </w:r>
    </w:p>
    <w:p>
      <w:pPr>
        <w:rPr>
          <w:rFonts w:ascii="宋体" w:hAnsi="宋体" w:eastAsia="宋体"/>
          <w:b/>
          <w:bCs/>
          <w:sz w:val="28"/>
          <w:szCs w:val="28"/>
        </w:rPr>
      </w:pPr>
      <w:r>
        <w:rPr>
          <w:rFonts w:hint="eastAsia" w:ascii="宋体" w:hAnsi="宋体" w:eastAsia="宋体"/>
          <w:b/>
          <w:bCs/>
          <w:sz w:val="28"/>
          <w:szCs w:val="28"/>
          <w:lang w:val="en-US" w:eastAsia="zh-CN"/>
        </w:rPr>
        <w:t>4</w:t>
      </w:r>
      <w:r>
        <w:rPr>
          <w:rFonts w:hint="eastAsia" w:ascii="宋体" w:hAnsi="宋体" w:eastAsia="宋体"/>
          <w:b/>
          <w:bCs/>
          <w:sz w:val="28"/>
          <w:szCs w:val="28"/>
        </w:rPr>
        <w:t>、政府采购节能、环保产品汇总表</w:t>
      </w:r>
    </w:p>
    <w:p>
      <w:pPr>
        <w:jc w:val="center"/>
      </w:pPr>
      <w:r>
        <w:rPr>
          <w:rFonts w:hint="eastAsia" w:ascii="宋体" w:hAnsi="宋体" w:eastAsia="宋体"/>
          <w:b/>
        </w:rPr>
        <w:t>如果不是，此项可以删除</w:t>
      </w:r>
    </w:p>
    <w:p>
      <w:pPr>
        <w:kinsoku/>
        <w:wordWrap w:val="0"/>
        <w:adjustRightInd/>
        <w:snapToGrid/>
        <w:spacing w:line="360" w:lineRule="auto"/>
        <w:textAlignment w:val="auto"/>
        <w:rPr>
          <w:rFonts w:ascii="宋体" w:hAnsi="宋体" w:eastAsia="宋体"/>
          <w:sz w:val="24"/>
          <w:szCs w:val="24"/>
        </w:rPr>
      </w:pPr>
      <w:r>
        <w:rPr>
          <w:rFonts w:ascii="宋体" w:hAnsi="宋体" w:eastAsia="宋体"/>
          <w:sz w:val="24"/>
          <w:szCs w:val="24"/>
        </w:rPr>
        <w:t>项目名称：</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992"/>
        <w:gridCol w:w="993"/>
        <w:gridCol w:w="1559"/>
        <w:gridCol w:w="160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17"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序号</w:t>
            </w:r>
          </w:p>
        </w:tc>
        <w:tc>
          <w:tcPr>
            <w:tcW w:w="1134"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投报产品名称</w:t>
            </w:r>
          </w:p>
        </w:tc>
        <w:tc>
          <w:tcPr>
            <w:tcW w:w="992"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制造商</w:t>
            </w:r>
          </w:p>
        </w:tc>
        <w:tc>
          <w:tcPr>
            <w:tcW w:w="993"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产品品牌及型号</w:t>
            </w: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节能产品</w:t>
            </w:r>
          </w:p>
        </w:tc>
        <w:tc>
          <w:tcPr>
            <w:tcW w:w="1421" w:type="dxa"/>
            <w:vMerge w:val="restart"/>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环境标志产品认证证书编号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17" w:type="dxa"/>
            <w:vMerge w:val="continue"/>
            <w:vAlign w:val="center"/>
          </w:tcPr>
          <w:p>
            <w:pPr>
              <w:kinsoku/>
              <w:adjustRightInd/>
              <w:snapToGrid/>
              <w:spacing w:line="360" w:lineRule="auto"/>
              <w:jc w:val="center"/>
              <w:textAlignment w:val="auto"/>
              <w:rPr>
                <w:rFonts w:ascii="宋体" w:hAnsi="宋体" w:eastAsia="宋体"/>
                <w:sz w:val="24"/>
                <w:szCs w:val="24"/>
              </w:rPr>
            </w:pPr>
          </w:p>
        </w:tc>
        <w:tc>
          <w:tcPr>
            <w:tcW w:w="1134" w:type="dxa"/>
            <w:vMerge w:val="continue"/>
            <w:vAlign w:val="center"/>
          </w:tcPr>
          <w:p>
            <w:pPr>
              <w:kinsoku/>
              <w:adjustRightInd/>
              <w:snapToGrid/>
              <w:spacing w:line="360" w:lineRule="auto"/>
              <w:jc w:val="center"/>
              <w:textAlignment w:val="auto"/>
              <w:rPr>
                <w:rFonts w:ascii="宋体" w:hAnsi="宋体" w:eastAsia="宋体"/>
                <w:sz w:val="24"/>
                <w:szCs w:val="24"/>
              </w:rPr>
            </w:pPr>
          </w:p>
        </w:tc>
        <w:tc>
          <w:tcPr>
            <w:tcW w:w="992" w:type="dxa"/>
            <w:vMerge w:val="continue"/>
            <w:vAlign w:val="center"/>
          </w:tcPr>
          <w:p>
            <w:pPr>
              <w:kinsoku/>
              <w:adjustRightInd/>
              <w:snapToGrid/>
              <w:spacing w:line="360" w:lineRule="auto"/>
              <w:jc w:val="center"/>
              <w:textAlignment w:val="auto"/>
              <w:rPr>
                <w:rFonts w:ascii="宋体" w:hAnsi="宋体" w:eastAsia="宋体"/>
                <w:sz w:val="24"/>
                <w:szCs w:val="24"/>
              </w:rPr>
            </w:pPr>
          </w:p>
        </w:tc>
        <w:tc>
          <w:tcPr>
            <w:tcW w:w="993" w:type="dxa"/>
            <w:vMerge w:val="continue"/>
            <w:vAlign w:val="center"/>
          </w:tcPr>
          <w:p>
            <w:pPr>
              <w:kinsoku/>
              <w:adjustRightInd/>
              <w:snapToGrid/>
              <w:spacing w:line="360" w:lineRule="auto"/>
              <w:jc w:val="center"/>
              <w:textAlignment w:val="auto"/>
              <w:rPr>
                <w:rFonts w:ascii="宋体" w:hAnsi="宋体" w:eastAsia="宋体"/>
                <w:sz w:val="24"/>
                <w:szCs w:val="24"/>
              </w:rPr>
            </w:pPr>
          </w:p>
        </w:tc>
        <w:tc>
          <w:tcPr>
            <w:tcW w:w="1559" w:type="dxa"/>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是否属于强制采购产品</w:t>
            </w:r>
          </w:p>
        </w:tc>
        <w:tc>
          <w:tcPr>
            <w:tcW w:w="1606" w:type="dxa"/>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节能标志认证证书号</w:t>
            </w:r>
          </w:p>
        </w:tc>
        <w:tc>
          <w:tcPr>
            <w:tcW w:w="1421" w:type="dxa"/>
            <w:vMerge w:val="continue"/>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p>
        </w:tc>
        <w:tc>
          <w:tcPr>
            <w:tcW w:w="1134" w:type="dxa"/>
            <w:vAlign w:val="center"/>
          </w:tcPr>
          <w:p>
            <w:pPr>
              <w:kinsoku/>
              <w:adjustRightInd/>
              <w:snapToGrid/>
              <w:spacing w:line="360" w:lineRule="auto"/>
              <w:jc w:val="center"/>
              <w:textAlignment w:val="auto"/>
              <w:rPr>
                <w:rFonts w:ascii="宋体" w:hAnsi="宋体" w:eastAsia="宋体"/>
                <w:sz w:val="24"/>
                <w:szCs w:val="24"/>
              </w:rPr>
            </w:pPr>
          </w:p>
        </w:tc>
        <w:tc>
          <w:tcPr>
            <w:tcW w:w="992" w:type="dxa"/>
            <w:vAlign w:val="center"/>
          </w:tcPr>
          <w:p>
            <w:pPr>
              <w:kinsoku/>
              <w:adjustRightInd/>
              <w:snapToGrid/>
              <w:spacing w:line="360" w:lineRule="auto"/>
              <w:jc w:val="center"/>
              <w:textAlignment w:val="auto"/>
              <w:rPr>
                <w:rFonts w:ascii="宋体" w:hAnsi="宋体" w:eastAsia="宋体"/>
                <w:sz w:val="24"/>
                <w:szCs w:val="24"/>
              </w:rPr>
            </w:pPr>
          </w:p>
        </w:tc>
        <w:tc>
          <w:tcPr>
            <w:tcW w:w="993" w:type="dxa"/>
            <w:vAlign w:val="center"/>
          </w:tcPr>
          <w:p>
            <w:pPr>
              <w:kinsoku/>
              <w:adjustRightInd/>
              <w:snapToGrid/>
              <w:spacing w:line="360" w:lineRule="auto"/>
              <w:jc w:val="center"/>
              <w:textAlignment w:val="auto"/>
              <w:rPr>
                <w:rFonts w:ascii="宋体" w:hAnsi="宋体" w:eastAsia="宋体"/>
                <w:sz w:val="24"/>
                <w:szCs w:val="24"/>
              </w:rPr>
            </w:pPr>
          </w:p>
        </w:tc>
        <w:tc>
          <w:tcPr>
            <w:tcW w:w="3165" w:type="dxa"/>
            <w:gridSpan w:val="2"/>
            <w:vAlign w:val="center"/>
          </w:tcPr>
          <w:p>
            <w:pPr>
              <w:kinsoku/>
              <w:adjustRightInd/>
              <w:snapToGrid/>
              <w:spacing w:line="360" w:lineRule="auto"/>
              <w:jc w:val="center"/>
              <w:textAlignment w:val="auto"/>
              <w:rPr>
                <w:rFonts w:ascii="宋体" w:hAnsi="宋体" w:eastAsia="宋体"/>
                <w:sz w:val="24"/>
                <w:szCs w:val="24"/>
              </w:rPr>
            </w:pPr>
          </w:p>
        </w:tc>
        <w:tc>
          <w:tcPr>
            <w:tcW w:w="1421" w:type="dxa"/>
            <w:vAlign w:val="center"/>
          </w:tcPr>
          <w:p>
            <w:pPr>
              <w:kinsoku/>
              <w:adjustRightInd/>
              <w:snapToGrid/>
              <w:spacing w:line="360" w:lineRule="auto"/>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insoku/>
              <w:adjustRightInd/>
              <w:snapToGrid/>
              <w:spacing w:line="360" w:lineRule="auto"/>
              <w:jc w:val="center"/>
              <w:textAlignment w:val="auto"/>
              <w:rPr>
                <w:rFonts w:ascii="宋体" w:hAnsi="宋体" w:eastAsia="宋体"/>
                <w:sz w:val="24"/>
                <w:szCs w:val="24"/>
              </w:rPr>
            </w:pPr>
            <w:r>
              <w:rPr>
                <w:rFonts w:ascii="宋体" w:hAnsi="宋体" w:eastAsia="宋体"/>
                <w:sz w:val="24"/>
                <w:szCs w:val="24"/>
              </w:rPr>
              <w:t>说 明</w:t>
            </w:r>
          </w:p>
        </w:tc>
        <w:tc>
          <w:tcPr>
            <w:tcW w:w="7705" w:type="dxa"/>
            <w:gridSpan w:val="6"/>
            <w:vAlign w:val="center"/>
          </w:tcPr>
          <w:p>
            <w:pPr>
              <w:kinsoku/>
              <w:adjustRightInd/>
              <w:snapToGrid/>
              <w:spacing w:line="360" w:lineRule="auto"/>
              <w:textAlignment w:val="auto"/>
              <w:rPr>
                <w:rFonts w:ascii="宋体" w:hAnsi="宋体" w:eastAsia="宋体"/>
                <w:sz w:val="24"/>
                <w:szCs w:val="24"/>
              </w:rPr>
            </w:pPr>
            <w:r>
              <w:rPr>
                <w:rFonts w:ascii="宋体" w:hAnsi="宋体" w:eastAsia="宋体"/>
                <w:sz w:val="24"/>
                <w:szCs w:val="24"/>
              </w:rPr>
              <w:t>我方提供的节能产品为第</w:t>
            </w:r>
            <w:r>
              <w:rPr>
                <w:rFonts w:hint="eastAsia" w:ascii="宋体" w:hAnsi="宋体" w:eastAsia="宋体"/>
                <w:sz w:val="24"/>
                <w:szCs w:val="24"/>
              </w:rPr>
              <w:t xml:space="preserve">  </w:t>
            </w:r>
            <w:r>
              <w:rPr>
                <w:rFonts w:ascii="宋体" w:hAnsi="宋体" w:eastAsia="宋体"/>
                <w:sz w:val="24"/>
                <w:szCs w:val="24"/>
              </w:rPr>
              <w:t>期《节能产品政府采购清单》内的产品；我方提供的环境标志产品为第</w:t>
            </w:r>
            <w:r>
              <w:rPr>
                <w:rFonts w:hint="eastAsia" w:ascii="宋体" w:hAnsi="宋体" w:eastAsia="宋体"/>
                <w:sz w:val="24"/>
                <w:szCs w:val="24"/>
              </w:rPr>
              <w:t xml:space="preserve">  </w:t>
            </w:r>
            <w:r>
              <w:rPr>
                <w:rFonts w:ascii="宋体" w:hAnsi="宋体" w:eastAsia="宋体"/>
                <w:sz w:val="24"/>
                <w:szCs w:val="24"/>
              </w:rPr>
              <w:t>期《环境标志产品政府采购清单》内的产品。</w:t>
            </w:r>
          </w:p>
        </w:tc>
      </w:tr>
    </w:tbl>
    <w:p>
      <w:pPr>
        <w:kinsoku/>
        <w:adjustRightInd/>
        <w:snapToGrid/>
        <w:spacing w:line="360" w:lineRule="auto"/>
        <w:textAlignment w:val="auto"/>
        <w:rPr>
          <w:rFonts w:ascii="宋体" w:hAnsi="宋体" w:eastAsia="宋体"/>
          <w:sz w:val="24"/>
          <w:szCs w:val="24"/>
        </w:rPr>
      </w:pPr>
      <w:r>
        <w:rPr>
          <w:rFonts w:ascii="宋体" w:hAnsi="宋体" w:eastAsia="宋体"/>
          <w:sz w:val="24"/>
          <w:szCs w:val="24"/>
        </w:rPr>
        <w:t xml:space="preserve"> </w:t>
      </w:r>
    </w:p>
    <w:p>
      <w:pPr>
        <w:kinsoku/>
        <w:wordWrap w:val="0"/>
        <w:adjustRightInd/>
        <w:snapToGrid/>
        <w:spacing w:line="360" w:lineRule="auto"/>
        <w:jc w:val="right"/>
        <w:textAlignment w:val="auto"/>
        <w:rPr>
          <w:rFonts w:ascii="宋体" w:hAnsi="宋体" w:eastAsia="宋体"/>
          <w:sz w:val="24"/>
          <w:szCs w:val="24"/>
          <w:u w:val="single"/>
        </w:rPr>
      </w:pPr>
      <w:r>
        <w:rPr>
          <w:rFonts w:ascii="宋体" w:hAnsi="宋体" w:eastAsia="宋体"/>
          <w:sz w:val="24"/>
          <w:szCs w:val="24"/>
        </w:rPr>
        <w:t>投标人（</w:t>
      </w:r>
      <w:r>
        <w:rPr>
          <w:rFonts w:hint="eastAsia" w:ascii="宋体" w:hAnsi="宋体" w:eastAsia="宋体"/>
          <w:sz w:val="24"/>
          <w:szCs w:val="24"/>
        </w:rPr>
        <w:t>电子签章</w:t>
      </w:r>
      <w:r>
        <w:rPr>
          <w:rFonts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kinsoku/>
        <w:wordWrap w:val="0"/>
        <w:adjustRightInd/>
        <w:snapToGrid/>
        <w:spacing w:line="360" w:lineRule="auto"/>
        <w:jc w:val="right"/>
        <w:textAlignment w:val="auto"/>
        <w:rPr>
          <w:rFonts w:ascii="宋体" w:hAnsi="宋体" w:eastAsia="宋体"/>
          <w:sz w:val="24"/>
          <w:szCs w:val="24"/>
          <w:u w:val="single"/>
        </w:rPr>
      </w:pPr>
      <w:r>
        <w:rPr>
          <w:rFonts w:ascii="宋体" w:hAnsi="宋体" w:eastAsia="宋体"/>
          <w:sz w:val="24"/>
          <w:szCs w:val="24"/>
        </w:rPr>
        <w:t>法定代表人</w:t>
      </w:r>
      <w:r>
        <w:rPr>
          <w:rFonts w:hint="eastAsia" w:ascii="宋体" w:hAnsi="宋体" w:eastAsia="宋体" w:cs="宋体"/>
          <w:spacing w:val="6"/>
          <w:sz w:val="24"/>
          <w:szCs w:val="24"/>
        </w:rPr>
        <w:t>（负责人）</w:t>
      </w:r>
      <w:r>
        <w:rPr>
          <w:rFonts w:ascii="宋体" w:hAnsi="宋体" w:eastAsia="宋体"/>
          <w:sz w:val="24"/>
          <w:szCs w:val="24"/>
        </w:rPr>
        <w:t>（</w:t>
      </w:r>
      <w:r>
        <w:rPr>
          <w:rFonts w:hint="eastAsia" w:ascii="宋体" w:hAnsi="宋体" w:eastAsia="宋体"/>
          <w:sz w:val="24"/>
          <w:szCs w:val="24"/>
        </w:rPr>
        <w:t>电子签章</w:t>
      </w:r>
      <w:r>
        <w:rPr>
          <w:rFonts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kinsoku/>
        <w:wordWrap w:val="0"/>
        <w:adjustRightInd/>
        <w:snapToGrid/>
        <w:spacing w:line="360" w:lineRule="auto"/>
        <w:jc w:val="right"/>
        <w:textAlignment w:val="auto"/>
        <w:rPr>
          <w:rFonts w:ascii="宋体" w:hAnsi="宋体" w:eastAsia="宋体"/>
          <w:sz w:val="24"/>
          <w:szCs w:val="24"/>
        </w:rPr>
      </w:pPr>
      <w:r>
        <w:rPr>
          <w:rFonts w:ascii="宋体" w:hAnsi="宋体" w:eastAsia="宋体"/>
          <w:sz w:val="24"/>
          <w:szCs w:val="24"/>
        </w:rPr>
        <w:t>日期：</w:t>
      </w:r>
      <w:r>
        <w:rPr>
          <w:rFonts w:hint="eastAsia"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日</w:t>
      </w:r>
    </w:p>
    <w:p>
      <w:pPr>
        <w:kinsoku/>
        <w:adjustRightInd/>
        <w:snapToGrid/>
        <w:spacing w:line="360" w:lineRule="auto"/>
        <w:textAlignment w:val="auto"/>
        <w:rPr>
          <w:rFonts w:ascii="黑体" w:hAnsi="黑体" w:eastAsia="黑体"/>
          <w:sz w:val="24"/>
          <w:szCs w:val="24"/>
        </w:rPr>
      </w:pPr>
    </w:p>
    <w:p>
      <w:pPr>
        <w:kinsoku/>
        <w:adjustRightInd/>
        <w:snapToGrid/>
        <w:spacing w:line="360" w:lineRule="auto"/>
        <w:textAlignment w:val="auto"/>
        <w:rPr>
          <w:rFonts w:ascii="黑体" w:hAnsi="黑体" w:eastAsia="黑体"/>
          <w:sz w:val="24"/>
          <w:szCs w:val="24"/>
        </w:rPr>
      </w:pPr>
    </w:p>
    <w:p>
      <w:pPr>
        <w:kinsoku/>
        <w:adjustRightInd/>
        <w:snapToGrid/>
        <w:spacing w:line="360" w:lineRule="auto"/>
        <w:textAlignment w:val="auto"/>
        <w:rPr>
          <w:rFonts w:ascii="宋体" w:hAnsi="宋体" w:eastAsia="宋体"/>
          <w:sz w:val="24"/>
          <w:szCs w:val="24"/>
        </w:rPr>
      </w:pPr>
      <w:r>
        <w:rPr>
          <w:rFonts w:ascii="宋体" w:hAnsi="宋体" w:eastAsia="宋体"/>
          <w:sz w:val="24"/>
          <w:szCs w:val="24"/>
        </w:rPr>
        <w:t>注：1、本表只填写属于政府采购节能或环保产品的投标产品，无相应产品的本表可以</w:t>
      </w:r>
      <w:r>
        <w:rPr>
          <w:rFonts w:hint="eastAsia" w:ascii="宋体" w:hAnsi="宋体" w:eastAsia="宋体"/>
          <w:sz w:val="24"/>
          <w:szCs w:val="24"/>
        </w:rPr>
        <w:t>删除</w:t>
      </w:r>
      <w:r>
        <w:rPr>
          <w:rFonts w:ascii="宋体" w:hAnsi="宋体" w:eastAsia="宋体"/>
          <w:sz w:val="24"/>
          <w:szCs w:val="24"/>
        </w:rPr>
        <w:t>。</w:t>
      </w:r>
    </w:p>
    <w:p>
      <w:pPr>
        <w:kinsoku/>
        <w:adjustRightInd/>
        <w:snapToGrid/>
        <w:spacing w:line="360" w:lineRule="auto"/>
        <w:ind w:firstLine="405"/>
        <w:textAlignment w:val="auto"/>
        <w:rPr>
          <w:rFonts w:ascii="宋体" w:hAnsi="宋体" w:eastAsia="宋体"/>
          <w:sz w:val="24"/>
          <w:szCs w:val="24"/>
        </w:rPr>
      </w:pPr>
      <w:r>
        <w:rPr>
          <w:rFonts w:ascii="宋体" w:hAnsi="宋体" w:eastAsia="宋体"/>
          <w:sz w:val="24"/>
          <w:szCs w:val="24"/>
        </w:rPr>
        <w:t xml:space="preserve">2、认证证书编号必须填写《节能产品政府采购清单》中的节字标志认证证书号、或《环境标志产品政府采购清单》中的认证证书编号，否则评委会不予认可。 </w:t>
      </w:r>
    </w:p>
    <w:p>
      <w:pPr>
        <w:kinsoku/>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3、《节能产品政府采购清单》、《环境标志产品政府采购清单》均以国家有关部门公布的最新一期公布的内容为准</w:t>
      </w:r>
      <w:r>
        <w:rPr>
          <w:rFonts w:hint="eastAsia" w:ascii="宋体" w:hAnsi="宋体" w:eastAsia="宋体"/>
          <w:sz w:val="24"/>
          <w:szCs w:val="24"/>
        </w:rPr>
        <w:t>且必须在有效期内</w:t>
      </w:r>
      <w:r>
        <w:rPr>
          <w:rFonts w:ascii="宋体" w:hAnsi="宋体" w:eastAsia="宋体"/>
          <w:sz w:val="24"/>
          <w:szCs w:val="24"/>
        </w:rPr>
        <w:t>，否则评委会不予认可。</w:t>
      </w:r>
    </w:p>
    <w:p>
      <w:pPr>
        <w:kinsoku/>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4、如采购人所采购产品为政府强制采购的节能产品，投标人所投产品的品牌及型号必须为清单中有效期内产品并提供证明文件，否则其投标将被认定为投标无效。</w:t>
      </w:r>
    </w:p>
    <w:p>
      <w:pPr>
        <w:rPr>
          <w:rFonts w:ascii="宋体" w:hAnsi="宋体" w:eastAsia="宋体"/>
          <w:sz w:val="22"/>
        </w:rPr>
      </w:pPr>
      <w:r>
        <w:rPr>
          <w:rFonts w:ascii="宋体" w:hAnsi="宋体" w:eastAsia="宋体"/>
          <w:sz w:val="22"/>
        </w:rPr>
        <w:br w:type="page"/>
      </w:r>
    </w:p>
    <w:p>
      <w:pPr>
        <w:rPr>
          <w:rFonts w:ascii="宋体" w:hAnsi="宋体" w:eastAsia="宋体"/>
          <w:b/>
          <w:bCs/>
          <w:sz w:val="28"/>
          <w:szCs w:val="28"/>
        </w:rPr>
      </w:pPr>
      <w:r>
        <w:rPr>
          <w:rFonts w:hint="eastAsia" w:ascii="宋体" w:hAnsi="宋体" w:eastAsia="宋体"/>
          <w:b/>
          <w:bCs/>
          <w:sz w:val="28"/>
          <w:szCs w:val="28"/>
          <w:lang w:val="en-US" w:eastAsia="zh-CN"/>
        </w:rPr>
        <w:t>5</w:t>
      </w:r>
      <w:r>
        <w:rPr>
          <w:rFonts w:hint="eastAsia" w:ascii="宋体" w:hAnsi="宋体" w:eastAsia="宋体"/>
          <w:b/>
          <w:bCs/>
          <w:sz w:val="28"/>
          <w:szCs w:val="28"/>
        </w:rPr>
        <w:t>、其他资料</w:t>
      </w:r>
    </w:p>
    <w:p/>
    <w:p/>
    <w:p>
      <w:pPr>
        <w:rPr>
          <w:rFonts w:ascii="宋体" w:hAnsi="宋体" w:eastAsia="宋体"/>
          <w:b/>
          <w:bCs/>
          <w:szCs w:val="32"/>
        </w:rPr>
      </w:pPr>
      <w:r>
        <w:rPr>
          <w:rFonts w:ascii="宋体" w:hAnsi="宋体" w:eastAsia="宋体"/>
        </w:rPr>
        <w:br w:type="page"/>
      </w:r>
    </w:p>
    <w:p>
      <w:pPr>
        <w:jc w:val="center"/>
      </w:pPr>
      <w:r>
        <w:rPr>
          <w:rFonts w:hint="eastAsia"/>
          <w:b/>
          <w:bCs/>
          <w:sz w:val="28"/>
          <w:szCs w:val="28"/>
        </w:rPr>
        <w:t>唐河县政府采购合同融资告知函</w:t>
      </w:r>
    </w:p>
    <w:p>
      <w:pPr>
        <w:ind w:firstLine="420" w:firstLineChars="200"/>
      </w:pPr>
    </w:p>
    <w:p>
      <w:pPr>
        <w:widowControl w:val="0"/>
        <w:kinsoku/>
        <w:adjustRightInd/>
        <w:snapToGrid/>
        <w:spacing w:line="360" w:lineRule="auto"/>
        <w:ind w:firstLine="480" w:firstLineChars="200"/>
        <w:textAlignment w:val="auto"/>
        <w:rPr>
          <w:sz w:val="24"/>
          <w:szCs w:val="24"/>
        </w:rPr>
      </w:pPr>
      <w:r>
        <w:rPr>
          <w:rFonts w:hint="eastAsia"/>
          <w:sz w:val="24"/>
          <w:szCs w:val="24"/>
        </w:rPr>
        <w:t>各供应商：</w:t>
      </w:r>
    </w:p>
    <w:p>
      <w:pPr>
        <w:widowControl w:val="0"/>
        <w:kinsoku/>
        <w:adjustRightInd/>
        <w:snapToGrid/>
        <w:spacing w:line="360" w:lineRule="auto"/>
        <w:ind w:firstLine="480" w:firstLineChars="200"/>
        <w:textAlignment w:val="auto"/>
        <w:rPr>
          <w:sz w:val="24"/>
          <w:szCs w:val="24"/>
        </w:rPr>
      </w:pPr>
      <w:r>
        <w:rPr>
          <w:rFonts w:hint="eastAsia"/>
          <w:sz w:val="24"/>
          <w:szCs w:val="24"/>
        </w:rPr>
        <w:t>欢迎贵公司参与河南省政府采购活动！</w:t>
      </w:r>
    </w:p>
    <w:p>
      <w:pPr>
        <w:widowControl w:val="0"/>
        <w:kinsoku/>
        <w:adjustRightInd/>
        <w:snapToGrid/>
        <w:spacing w:line="360" w:lineRule="auto"/>
        <w:ind w:firstLine="480" w:firstLineChars="200"/>
        <w:textAlignment w:val="auto"/>
        <w:rPr>
          <w:sz w:val="24"/>
          <w:szCs w:val="24"/>
        </w:rPr>
      </w:pPr>
      <w:r>
        <w:rPr>
          <w:rFonts w:hint="eastAsia"/>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val="0"/>
        <w:kinsoku/>
        <w:adjustRightInd/>
        <w:snapToGrid/>
        <w:spacing w:line="360" w:lineRule="auto"/>
        <w:ind w:firstLine="480" w:firstLineChars="200"/>
        <w:textAlignment w:val="auto"/>
        <w:rPr>
          <w:sz w:val="24"/>
          <w:szCs w:val="24"/>
        </w:rPr>
      </w:pPr>
      <w:r>
        <w:rPr>
          <w:rFonts w:hint="eastAsia"/>
          <w:sz w:val="24"/>
          <w:szCs w:val="24"/>
        </w:rPr>
        <w:t>贷款渠道和提供贷款的金融机构，可在河南省政府采购网“河南省政府采购合同融资平台”查询联系。</w:t>
      </w:r>
    </w:p>
    <w:p>
      <w:pPr>
        <w:rPr>
          <w:rFonts w:ascii="宋体" w:hAnsi="宋体" w:eastAsia="宋体" w:cs="宋体"/>
          <w:sz w:val="28"/>
          <w:szCs w:val="28"/>
        </w:rPr>
      </w:pPr>
    </w:p>
    <w:p/>
    <w:sectPr>
      <w:headerReference r:id="rId12" w:type="default"/>
      <w:footerReference r:id="rId13" w:type="default"/>
      <w:pgSz w:w="11907" w:h="16839"/>
      <w:pgMar w:top="1476" w:right="980" w:bottom="1114" w:left="1051" w:header="1155" w:footer="84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Yu Gothic UI Light">
    <w:panose1 w:val="020B03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roman"/>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微?雅?">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9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rPr>
      <w:t>唐河县唐兴工程造价咨询有限公司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lang w:eastAsia="zh-CN"/>
      </w:rPr>
    </w:pPr>
    <w:r>
      <w:rPr>
        <w:rFonts w:hint="eastAsia"/>
        <w:lang w:eastAsia="zh-CN"/>
      </w:rPr>
      <w:t>唐河县妇幼保健院购置四维彩超、麻醉机等医疗设备项目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5E196"/>
    <w:multiLevelType w:val="singleLevel"/>
    <w:tmpl w:val="C125E196"/>
    <w:lvl w:ilvl="0" w:tentative="0">
      <w:start w:val="3"/>
      <w:numFmt w:val="chineseCounting"/>
      <w:suff w:val="space"/>
      <w:lvlText w:val="第%1部分"/>
      <w:lvlJc w:val="left"/>
      <w:rPr>
        <w:rFonts w:hint="eastAsia"/>
      </w:rPr>
    </w:lvl>
  </w:abstractNum>
  <w:abstractNum w:abstractNumId="1">
    <w:nsid w:val="0000000D"/>
    <w:multiLevelType w:val="multilevel"/>
    <w:tmpl w:val="000000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8CA9418"/>
    <w:multiLevelType w:val="singleLevel"/>
    <w:tmpl w:val="28CA9418"/>
    <w:lvl w:ilvl="0" w:tentative="0">
      <w:start w:val="1"/>
      <w:numFmt w:val="decimal"/>
      <w:pStyle w:val="13"/>
      <w:lvlText w:val="%1."/>
      <w:lvlJc w:val="left"/>
      <w:pPr>
        <w:tabs>
          <w:tab w:val="left" w:pos="360"/>
        </w:tabs>
        <w:ind w:left="360" w:hanging="360"/>
      </w:pPr>
    </w:lvl>
  </w:abstractNum>
  <w:abstractNum w:abstractNumId="3">
    <w:nsid w:val="4B407B73"/>
    <w:multiLevelType w:val="singleLevel"/>
    <w:tmpl w:val="4B407B73"/>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MTA0YjkyNjU3NzQxZWM1ZTM4MzUzMjE4ZDUwMTgifQ=="/>
  </w:docVars>
  <w:rsids>
    <w:rsidRoot w:val="00D338C7"/>
    <w:rsid w:val="00000FE3"/>
    <w:rsid w:val="00022BA0"/>
    <w:rsid w:val="0004448B"/>
    <w:rsid w:val="00050194"/>
    <w:rsid w:val="00053090"/>
    <w:rsid w:val="000730AF"/>
    <w:rsid w:val="00092E79"/>
    <w:rsid w:val="000A0550"/>
    <w:rsid w:val="000C1684"/>
    <w:rsid w:val="000C1D84"/>
    <w:rsid w:val="00106B90"/>
    <w:rsid w:val="0014157B"/>
    <w:rsid w:val="001B5BD7"/>
    <w:rsid w:val="001D3F88"/>
    <w:rsid w:val="001D7F67"/>
    <w:rsid w:val="002869C7"/>
    <w:rsid w:val="00297E43"/>
    <w:rsid w:val="002E3803"/>
    <w:rsid w:val="00301DA3"/>
    <w:rsid w:val="00347E4C"/>
    <w:rsid w:val="0035574D"/>
    <w:rsid w:val="003659BE"/>
    <w:rsid w:val="003D55E9"/>
    <w:rsid w:val="003D6CCD"/>
    <w:rsid w:val="003D7E65"/>
    <w:rsid w:val="003F33A1"/>
    <w:rsid w:val="004026DC"/>
    <w:rsid w:val="00415731"/>
    <w:rsid w:val="00417EF4"/>
    <w:rsid w:val="004431E4"/>
    <w:rsid w:val="00452340"/>
    <w:rsid w:val="004B69A7"/>
    <w:rsid w:val="004F0197"/>
    <w:rsid w:val="00556048"/>
    <w:rsid w:val="005655DE"/>
    <w:rsid w:val="005B4887"/>
    <w:rsid w:val="005C0441"/>
    <w:rsid w:val="005E4DA5"/>
    <w:rsid w:val="00621480"/>
    <w:rsid w:val="006232FE"/>
    <w:rsid w:val="006240E1"/>
    <w:rsid w:val="00656955"/>
    <w:rsid w:val="00661709"/>
    <w:rsid w:val="00663039"/>
    <w:rsid w:val="006F2546"/>
    <w:rsid w:val="007078DD"/>
    <w:rsid w:val="00733264"/>
    <w:rsid w:val="00736E2D"/>
    <w:rsid w:val="00804B7B"/>
    <w:rsid w:val="00852BA5"/>
    <w:rsid w:val="00862167"/>
    <w:rsid w:val="0086394B"/>
    <w:rsid w:val="00872711"/>
    <w:rsid w:val="00887C76"/>
    <w:rsid w:val="008953D8"/>
    <w:rsid w:val="008D0156"/>
    <w:rsid w:val="0094465D"/>
    <w:rsid w:val="00952A4D"/>
    <w:rsid w:val="00963A15"/>
    <w:rsid w:val="00970099"/>
    <w:rsid w:val="0097673D"/>
    <w:rsid w:val="00A07604"/>
    <w:rsid w:val="00A42031"/>
    <w:rsid w:val="00A71442"/>
    <w:rsid w:val="00AB05F6"/>
    <w:rsid w:val="00AB589F"/>
    <w:rsid w:val="00B35DE0"/>
    <w:rsid w:val="00B81B4E"/>
    <w:rsid w:val="00BC757B"/>
    <w:rsid w:val="00C656BD"/>
    <w:rsid w:val="00CC3828"/>
    <w:rsid w:val="00CC5788"/>
    <w:rsid w:val="00CE4BC2"/>
    <w:rsid w:val="00D10B55"/>
    <w:rsid w:val="00D12FA9"/>
    <w:rsid w:val="00D338C7"/>
    <w:rsid w:val="00D670F7"/>
    <w:rsid w:val="00D96AD7"/>
    <w:rsid w:val="00DA246D"/>
    <w:rsid w:val="00DD74D7"/>
    <w:rsid w:val="00E37895"/>
    <w:rsid w:val="00E476FC"/>
    <w:rsid w:val="00E64236"/>
    <w:rsid w:val="00E64B6E"/>
    <w:rsid w:val="00E72182"/>
    <w:rsid w:val="00F35AAE"/>
    <w:rsid w:val="00F435AE"/>
    <w:rsid w:val="00F878FF"/>
    <w:rsid w:val="00FF6ED5"/>
    <w:rsid w:val="016C5A03"/>
    <w:rsid w:val="01A4698D"/>
    <w:rsid w:val="01A73D87"/>
    <w:rsid w:val="01AC5842"/>
    <w:rsid w:val="01D34B7C"/>
    <w:rsid w:val="01E054EB"/>
    <w:rsid w:val="01EC24EE"/>
    <w:rsid w:val="01EC5C3E"/>
    <w:rsid w:val="02421D02"/>
    <w:rsid w:val="02641C78"/>
    <w:rsid w:val="02BA3F8E"/>
    <w:rsid w:val="02BC1AB4"/>
    <w:rsid w:val="02CE2E4C"/>
    <w:rsid w:val="032A2EC2"/>
    <w:rsid w:val="036D2DAF"/>
    <w:rsid w:val="03966D7D"/>
    <w:rsid w:val="03C055D4"/>
    <w:rsid w:val="03DB41BC"/>
    <w:rsid w:val="03F569C0"/>
    <w:rsid w:val="0432230B"/>
    <w:rsid w:val="04842AA6"/>
    <w:rsid w:val="049B2465"/>
    <w:rsid w:val="05047743"/>
    <w:rsid w:val="051756C8"/>
    <w:rsid w:val="051A08DE"/>
    <w:rsid w:val="054F4D36"/>
    <w:rsid w:val="05B66197"/>
    <w:rsid w:val="05B94CC6"/>
    <w:rsid w:val="05BD43BE"/>
    <w:rsid w:val="0612003E"/>
    <w:rsid w:val="063D115E"/>
    <w:rsid w:val="06457ED2"/>
    <w:rsid w:val="06622973"/>
    <w:rsid w:val="06DB44D3"/>
    <w:rsid w:val="072916E2"/>
    <w:rsid w:val="07B62F76"/>
    <w:rsid w:val="07C42416"/>
    <w:rsid w:val="07D21D7A"/>
    <w:rsid w:val="07DD1B2D"/>
    <w:rsid w:val="08536A17"/>
    <w:rsid w:val="08732C15"/>
    <w:rsid w:val="087E49FE"/>
    <w:rsid w:val="08A13C26"/>
    <w:rsid w:val="08AA0601"/>
    <w:rsid w:val="08B24B37"/>
    <w:rsid w:val="08E7715F"/>
    <w:rsid w:val="08EB30F3"/>
    <w:rsid w:val="097C01EF"/>
    <w:rsid w:val="099611F2"/>
    <w:rsid w:val="09C95A46"/>
    <w:rsid w:val="09FF7D5E"/>
    <w:rsid w:val="0A187F18"/>
    <w:rsid w:val="0A7D7D7B"/>
    <w:rsid w:val="0A9F63AB"/>
    <w:rsid w:val="0AAB25E3"/>
    <w:rsid w:val="0AC97464"/>
    <w:rsid w:val="0AEE0C79"/>
    <w:rsid w:val="0B16508E"/>
    <w:rsid w:val="0B260413"/>
    <w:rsid w:val="0B5036E2"/>
    <w:rsid w:val="0B603134"/>
    <w:rsid w:val="0B73117E"/>
    <w:rsid w:val="0BB04180"/>
    <w:rsid w:val="0BC35439"/>
    <w:rsid w:val="0C28640C"/>
    <w:rsid w:val="0C2E7888"/>
    <w:rsid w:val="0C321039"/>
    <w:rsid w:val="0C5C599D"/>
    <w:rsid w:val="0C746CE6"/>
    <w:rsid w:val="0D0F341E"/>
    <w:rsid w:val="0D101EA1"/>
    <w:rsid w:val="0DA46866"/>
    <w:rsid w:val="0DCE08EE"/>
    <w:rsid w:val="0DFA5B87"/>
    <w:rsid w:val="0E016F15"/>
    <w:rsid w:val="0E06452B"/>
    <w:rsid w:val="0E09014F"/>
    <w:rsid w:val="0E19425F"/>
    <w:rsid w:val="0E440BB0"/>
    <w:rsid w:val="0E465D89"/>
    <w:rsid w:val="0E534525"/>
    <w:rsid w:val="0E851528"/>
    <w:rsid w:val="0EA131D8"/>
    <w:rsid w:val="0EB55CAD"/>
    <w:rsid w:val="0EC87A33"/>
    <w:rsid w:val="0ED27AE6"/>
    <w:rsid w:val="0F20161D"/>
    <w:rsid w:val="0F7F6343"/>
    <w:rsid w:val="0FB73D2F"/>
    <w:rsid w:val="0FD83CA6"/>
    <w:rsid w:val="0FE73EE9"/>
    <w:rsid w:val="0FEC413D"/>
    <w:rsid w:val="104A4BA3"/>
    <w:rsid w:val="10606175"/>
    <w:rsid w:val="1082402E"/>
    <w:rsid w:val="10947BCD"/>
    <w:rsid w:val="10A65B52"/>
    <w:rsid w:val="10CD7582"/>
    <w:rsid w:val="10DB00FA"/>
    <w:rsid w:val="10DE5F2D"/>
    <w:rsid w:val="111863FF"/>
    <w:rsid w:val="11226326"/>
    <w:rsid w:val="11AA26F8"/>
    <w:rsid w:val="11EB4A57"/>
    <w:rsid w:val="1218482D"/>
    <w:rsid w:val="1240473D"/>
    <w:rsid w:val="12422718"/>
    <w:rsid w:val="12594B3E"/>
    <w:rsid w:val="12B27DE5"/>
    <w:rsid w:val="12EA4EB3"/>
    <w:rsid w:val="137B5074"/>
    <w:rsid w:val="138A52B7"/>
    <w:rsid w:val="13D419F1"/>
    <w:rsid w:val="13F15AF0"/>
    <w:rsid w:val="140E071C"/>
    <w:rsid w:val="14195860"/>
    <w:rsid w:val="14294AD0"/>
    <w:rsid w:val="14597A10"/>
    <w:rsid w:val="147974B3"/>
    <w:rsid w:val="14CD7B51"/>
    <w:rsid w:val="14F74019"/>
    <w:rsid w:val="15035D08"/>
    <w:rsid w:val="1529799F"/>
    <w:rsid w:val="156906A4"/>
    <w:rsid w:val="157136E6"/>
    <w:rsid w:val="158226E9"/>
    <w:rsid w:val="16166C9E"/>
    <w:rsid w:val="161F618A"/>
    <w:rsid w:val="16A20B69"/>
    <w:rsid w:val="175C2FFC"/>
    <w:rsid w:val="17777A03"/>
    <w:rsid w:val="17A819F2"/>
    <w:rsid w:val="17C33BC1"/>
    <w:rsid w:val="17C36FE9"/>
    <w:rsid w:val="18001FEB"/>
    <w:rsid w:val="180F222F"/>
    <w:rsid w:val="18325562"/>
    <w:rsid w:val="18391B2C"/>
    <w:rsid w:val="185D743E"/>
    <w:rsid w:val="18603BAC"/>
    <w:rsid w:val="1880365D"/>
    <w:rsid w:val="18AC4C18"/>
    <w:rsid w:val="18BD7EDC"/>
    <w:rsid w:val="18BF3C55"/>
    <w:rsid w:val="18C474BD"/>
    <w:rsid w:val="19606E0E"/>
    <w:rsid w:val="19706CFD"/>
    <w:rsid w:val="19792055"/>
    <w:rsid w:val="19AE2A71"/>
    <w:rsid w:val="19D159ED"/>
    <w:rsid w:val="1A196722"/>
    <w:rsid w:val="1A3348FA"/>
    <w:rsid w:val="1A4E5DC8"/>
    <w:rsid w:val="1A5F57B3"/>
    <w:rsid w:val="1A6E7FF5"/>
    <w:rsid w:val="1A807414"/>
    <w:rsid w:val="1AAB623F"/>
    <w:rsid w:val="1B0244A0"/>
    <w:rsid w:val="1B51192B"/>
    <w:rsid w:val="1B6805D3"/>
    <w:rsid w:val="1B7E3953"/>
    <w:rsid w:val="1B854CE1"/>
    <w:rsid w:val="1BBA7E8D"/>
    <w:rsid w:val="1BE72147"/>
    <w:rsid w:val="1C3109C5"/>
    <w:rsid w:val="1C6E7E6B"/>
    <w:rsid w:val="1CD80D2E"/>
    <w:rsid w:val="1D217EF0"/>
    <w:rsid w:val="1D444728"/>
    <w:rsid w:val="1D5C1A72"/>
    <w:rsid w:val="1D6152DA"/>
    <w:rsid w:val="1D734062"/>
    <w:rsid w:val="1D8B05A9"/>
    <w:rsid w:val="1D951428"/>
    <w:rsid w:val="1DD30ECA"/>
    <w:rsid w:val="1DDC2BB3"/>
    <w:rsid w:val="1E343E2C"/>
    <w:rsid w:val="1E3F47A1"/>
    <w:rsid w:val="1E551145"/>
    <w:rsid w:val="1E5E03A2"/>
    <w:rsid w:val="1E682698"/>
    <w:rsid w:val="1EC00414"/>
    <w:rsid w:val="1F2927A9"/>
    <w:rsid w:val="1F844BF7"/>
    <w:rsid w:val="1F8A4FBC"/>
    <w:rsid w:val="1FC55FF4"/>
    <w:rsid w:val="1FD04999"/>
    <w:rsid w:val="1FE41A04"/>
    <w:rsid w:val="1FF57F5C"/>
    <w:rsid w:val="20102AB4"/>
    <w:rsid w:val="201A0135"/>
    <w:rsid w:val="202A0302"/>
    <w:rsid w:val="20612954"/>
    <w:rsid w:val="20B61DE1"/>
    <w:rsid w:val="20C22534"/>
    <w:rsid w:val="20D364EF"/>
    <w:rsid w:val="20DE7FA8"/>
    <w:rsid w:val="20F6042F"/>
    <w:rsid w:val="21703D3E"/>
    <w:rsid w:val="21C4108C"/>
    <w:rsid w:val="21D43BB2"/>
    <w:rsid w:val="22032E04"/>
    <w:rsid w:val="220646A2"/>
    <w:rsid w:val="2224589A"/>
    <w:rsid w:val="22487203"/>
    <w:rsid w:val="22A06F82"/>
    <w:rsid w:val="22E03145"/>
    <w:rsid w:val="230961F8"/>
    <w:rsid w:val="23233619"/>
    <w:rsid w:val="23411E36"/>
    <w:rsid w:val="234C5F15"/>
    <w:rsid w:val="23E40A13"/>
    <w:rsid w:val="23EE6948"/>
    <w:rsid w:val="244F4611"/>
    <w:rsid w:val="250E58CE"/>
    <w:rsid w:val="252E0198"/>
    <w:rsid w:val="25545FFA"/>
    <w:rsid w:val="256C2A6E"/>
    <w:rsid w:val="2572620D"/>
    <w:rsid w:val="25893620"/>
    <w:rsid w:val="25BF16E7"/>
    <w:rsid w:val="25E371D4"/>
    <w:rsid w:val="25F767DC"/>
    <w:rsid w:val="262E0946"/>
    <w:rsid w:val="264F6618"/>
    <w:rsid w:val="265A6D6B"/>
    <w:rsid w:val="26791134"/>
    <w:rsid w:val="26FB22FC"/>
    <w:rsid w:val="27111B1F"/>
    <w:rsid w:val="27625878"/>
    <w:rsid w:val="27D8469F"/>
    <w:rsid w:val="27E40FE2"/>
    <w:rsid w:val="281A2C55"/>
    <w:rsid w:val="281A4A03"/>
    <w:rsid w:val="28210E7B"/>
    <w:rsid w:val="28321D4D"/>
    <w:rsid w:val="28447CD2"/>
    <w:rsid w:val="285048C9"/>
    <w:rsid w:val="28596E8D"/>
    <w:rsid w:val="285C501C"/>
    <w:rsid w:val="28610247"/>
    <w:rsid w:val="287A7C91"/>
    <w:rsid w:val="2896616C"/>
    <w:rsid w:val="28A01434"/>
    <w:rsid w:val="28B9421C"/>
    <w:rsid w:val="292F0982"/>
    <w:rsid w:val="29994F05"/>
    <w:rsid w:val="299B6018"/>
    <w:rsid w:val="29A55926"/>
    <w:rsid w:val="29ED3679"/>
    <w:rsid w:val="29F210CD"/>
    <w:rsid w:val="2A082BA9"/>
    <w:rsid w:val="2A7066A4"/>
    <w:rsid w:val="2A730F56"/>
    <w:rsid w:val="2A731ED7"/>
    <w:rsid w:val="2A8A2314"/>
    <w:rsid w:val="2AE17A5A"/>
    <w:rsid w:val="2B541D59"/>
    <w:rsid w:val="2B577D1D"/>
    <w:rsid w:val="2B951507"/>
    <w:rsid w:val="2BB1742D"/>
    <w:rsid w:val="2BB26D03"/>
    <w:rsid w:val="2BC301B3"/>
    <w:rsid w:val="2BCE4483"/>
    <w:rsid w:val="2BDF39ED"/>
    <w:rsid w:val="2BEC66B7"/>
    <w:rsid w:val="2BF47AC9"/>
    <w:rsid w:val="2C21508A"/>
    <w:rsid w:val="2C3A38C6"/>
    <w:rsid w:val="2C81312E"/>
    <w:rsid w:val="2CB01DDA"/>
    <w:rsid w:val="2CF241A1"/>
    <w:rsid w:val="2D113A58"/>
    <w:rsid w:val="2D202ABC"/>
    <w:rsid w:val="2D346567"/>
    <w:rsid w:val="2D6A01DB"/>
    <w:rsid w:val="2D707C39"/>
    <w:rsid w:val="2DC07DFB"/>
    <w:rsid w:val="2DC16C9C"/>
    <w:rsid w:val="2DC21DC5"/>
    <w:rsid w:val="2DD83397"/>
    <w:rsid w:val="2DE92F40"/>
    <w:rsid w:val="2E1F2D74"/>
    <w:rsid w:val="2E304F81"/>
    <w:rsid w:val="2E5D389C"/>
    <w:rsid w:val="2E6C1D31"/>
    <w:rsid w:val="2EAE2349"/>
    <w:rsid w:val="2EC07FA5"/>
    <w:rsid w:val="2ED31DB0"/>
    <w:rsid w:val="2F857B57"/>
    <w:rsid w:val="2FBB56B7"/>
    <w:rsid w:val="2FC30827"/>
    <w:rsid w:val="2FCE6659"/>
    <w:rsid w:val="2FE06694"/>
    <w:rsid w:val="2FEC7D80"/>
    <w:rsid w:val="300C73B6"/>
    <w:rsid w:val="30281C88"/>
    <w:rsid w:val="302F442C"/>
    <w:rsid w:val="303E6BAE"/>
    <w:rsid w:val="304765B2"/>
    <w:rsid w:val="306233EC"/>
    <w:rsid w:val="306727B0"/>
    <w:rsid w:val="30676C54"/>
    <w:rsid w:val="30C145B6"/>
    <w:rsid w:val="30D77936"/>
    <w:rsid w:val="313E0EC8"/>
    <w:rsid w:val="31475B80"/>
    <w:rsid w:val="31712C09"/>
    <w:rsid w:val="31973569"/>
    <w:rsid w:val="31AF440F"/>
    <w:rsid w:val="31D5284E"/>
    <w:rsid w:val="31EC0D5F"/>
    <w:rsid w:val="31F369F1"/>
    <w:rsid w:val="320209E2"/>
    <w:rsid w:val="320E382B"/>
    <w:rsid w:val="320F1351"/>
    <w:rsid w:val="32171FB4"/>
    <w:rsid w:val="322C5A5F"/>
    <w:rsid w:val="32533168"/>
    <w:rsid w:val="325620BA"/>
    <w:rsid w:val="32A01FA9"/>
    <w:rsid w:val="32B67A1F"/>
    <w:rsid w:val="32BC7515"/>
    <w:rsid w:val="32C263C3"/>
    <w:rsid w:val="32C97752"/>
    <w:rsid w:val="32D6600F"/>
    <w:rsid w:val="32D8291B"/>
    <w:rsid w:val="32F6606D"/>
    <w:rsid w:val="33460DA3"/>
    <w:rsid w:val="336E3E55"/>
    <w:rsid w:val="33891E90"/>
    <w:rsid w:val="33AD7074"/>
    <w:rsid w:val="33E317DE"/>
    <w:rsid w:val="33E660E2"/>
    <w:rsid w:val="340053F5"/>
    <w:rsid w:val="341D4E49"/>
    <w:rsid w:val="34661ED7"/>
    <w:rsid w:val="34C12802"/>
    <w:rsid w:val="352D68EF"/>
    <w:rsid w:val="353A4937"/>
    <w:rsid w:val="353D711A"/>
    <w:rsid w:val="359C2CD9"/>
    <w:rsid w:val="35AC108D"/>
    <w:rsid w:val="35C83CF1"/>
    <w:rsid w:val="361726E3"/>
    <w:rsid w:val="364332E7"/>
    <w:rsid w:val="364A2958"/>
    <w:rsid w:val="36537489"/>
    <w:rsid w:val="36835E6A"/>
    <w:rsid w:val="36941E25"/>
    <w:rsid w:val="36B90C10"/>
    <w:rsid w:val="36BB1AA7"/>
    <w:rsid w:val="370945C1"/>
    <w:rsid w:val="376D0FF4"/>
    <w:rsid w:val="37704640"/>
    <w:rsid w:val="378B1654"/>
    <w:rsid w:val="383B5237"/>
    <w:rsid w:val="3857135C"/>
    <w:rsid w:val="386121DB"/>
    <w:rsid w:val="38635F53"/>
    <w:rsid w:val="38835502"/>
    <w:rsid w:val="38A81BB8"/>
    <w:rsid w:val="38CC58A6"/>
    <w:rsid w:val="39205BF2"/>
    <w:rsid w:val="39504729"/>
    <w:rsid w:val="395B49D1"/>
    <w:rsid w:val="396957EB"/>
    <w:rsid w:val="398512D2"/>
    <w:rsid w:val="39B21C33"/>
    <w:rsid w:val="3A287454"/>
    <w:rsid w:val="3A5133C8"/>
    <w:rsid w:val="3A726921"/>
    <w:rsid w:val="3A7E0E22"/>
    <w:rsid w:val="3A977B5E"/>
    <w:rsid w:val="3AAD56C8"/>
    <w:rsid w:val="3B0D711A"/>
    <w:rsid w:val="3B141B02"/>
    <w:rsid w:val="3B263F17"/>
    <w:rsid w:val="3B2A0FAA"/>
    <w:rsid w:val="3B2F65C0"/>
    <w:rsid w:val="3B5D1AC3"/>
    <w:rsid w:val="3B9C04DB"/>
    <w:rsid w:val="3BA7084C"/>
    <w:rsid w:val="3BFC2946"/>
    <w:rsid w:val="3C1E28BD"/>
    <w:rsid w:val="3C4B567C"/>
    <w:rsid w:val="3C8D52F9"/>
    <w:rsid w:val="3CB44C6F"/>
    <w:rsid w:val="3D3954D4"/>
    <w:rsid w:val="3D567E34"/>
    <w:rsid w:val="3D8F1598"/>
    <w:rsid w:val="3DB52E38"/>
    <w:rsid w:val="3DDA0A65"/>
    <w:rsid w:val="3DDA6CB7"/>
    <w:rsid w:val="3DE12581"/>
    <w:rsid w:val="3E7D3A24"/>
    <w:rsid w:val="3ECB08D6"/>
    <w:rsid w:val="3ECF6981"/>
    <w:rsid w:val="3ECF7E9E"/>
    <w:rsid w:val="3EDB4A95"/>
    <w:rsid w:val="3EF26282"/>
    <w:rsid w:val="3F0F0BE2"/>
    <w:rsid w:val="3F6251B6"/>
    <w:rsid w:val="3F7A66FA"/>
    <w:rsid w:val="3FDF7BBB"/>
    <w:rsid w:val="3FE07F9B"/>
    <w:rsid w:val="3FF43934"/>
    <w:rsid w:val="40302BBE"/>
    <w:rsid w:val="40583DB1"/>
    <w:rsid w:val="40953369"/>
    <w:rsid w:val="40F276D3"/>
    <w:rsid w:val="416D399E"/>
    <w:rsid w:val="41F071EA"/>
    <w:rsid w:val="41F50514"/>
    <w:rsid w:val="41FE3669"/>
    <w:rsid w:val="42051E29"/>
    <w:rsid w:val="42100A2E"/>
    <w:rsid w:val="42815953"/>
    <w:rsid w:val="4292190E"/>
    <w:rsid w:val="42C40215"/>
    <w:rsid w:val="42DD6902"/>
    <w:rsid w:val="432151A6"/>
    <w:rsid w:val="43331C01"/>
    <w:rsid w:val="43543068"/>
    <w:rsid w:val="439D4A0F"/>
    <w:rsid w:val="44087827"/>
    <w:rsid w:val="44C47D79"/>
    <w:rsid w:val="44C9538F"/>
    <w:rsid w:val="44CC6C2E"/>
    <w:rsid w:val="44E26451"/>
    <w:rsid w:val="44E952E8"/>
    <w:rsid w:val="44ED35CE"/>
    <w:rsid w:val="44F75334"/>
    <w:rsid w:val="45085EB8"/>
    <w:rsid w:val="450D34CE"/>
    <w:rsid w:val="45146224"/>
    <w:rsid w:val="451E1B7F"/>
    <w:rsid w:val="45321526"/>
    <w:rsid w:val="45356EC9"/>
    <w:rsid w:val="455E01CE"/>
    <w:rsid w:val="455F5D55"/>
    <w:rsid w:val="45660B86"/>
    <w:rsid w:val="45AF4585"/>
    <w:rsid w:val="45D205B4"/>
    <w:rsid w:val="45E713DD"/>
    <w:rsid w:val="45FB3C6E"/>
    <w:rsid w:val="46115240"/>
    <w:rsid w:val="462140AB"/>
    <w:rsid w:val="463828C6"/>
    <w:rsid w:val="46B53C6E"/>
    <w:rsid w:val="46D46C6F"/>
    <w:rsid w:val="474F4272"/>
    <w:rsid w:val="47852277"/>
    <w:rsid w:val="47855EE6"/>
    <w:rsid w:val="47A81BD4"/>
    <w:rsid w:val="47AA14A8"/>
    <w:rsid w:val="481133C3"/>
    <w:rsid w:val="482A4397"/>
    <w:rsid w:val="488717E9"/>
    <w:rsid w:val="48C77E1F"/>
    <w:rsid w:val="48FF3A76"/>
    <w:rsid w:val="49066BB2"/>
    <w:rsid w:val="491C4628"/>
    <w:rsid w:val="493F0316"/>
    <w:rsid w:val="49AC5A24"/>
    <w:rsid w:val="49CB6F36"/>
    <w:rsid w:val="49D7054F"/>
    <w:rsid w:val="49ED1B20"/>
    <w:rsid w:val="49FC19CF"/>
    <w:rsid w:val="4A0A4F6C"/>
    <w:rsid w:val="4A58343D"/>
    <w:rsid w:val="4A6E0EB3"/>
    <w:rsid w:val="4A8E0D1B"/>
    <w:rsid w:val="4A9662D5"/>
    <w:rsid w:val="4ADB7BCB"/>
    <w:rsid w:val="4B7818BD"/>
    <w:rsid w:val="4B797B0F"/>
    <w:rsid w:val="4B83098E"/>
    <w:rsid w:val="4BBF0715"/>
    <w:rsid w:val="4BCF3BD3"/>
    <w:rsid w:val="4C0D64AA"/>
    <w:rsid w:val="4C212D79"/>
    <w:rsid w:val="4C502C78"/>
    <w:rsid w:val="4C523EBC"/>
    <w:rsid w:val="4C60075D"/>
    <w:rsid w:val="4C6A0408"/>
    <w:rsid w:val="4C79769B"/>
    <w:rsid w:val="4C971E6C"/>
    <w:rsid w:val="4D587BF8"/>
    <w:rsid w:val="4DC332C4"/>
    <w:rsid w:val="4DF711BF"/>
    <w:rsid w:val="4E11454D"/>
    <w:rsid w:val="4E1753BE"/>
    <w:rsid w:val="4E1C6E78"/>
    <w:rsid w:val="4EC92B5C"/>
    <w:rsid w:val="4ECF2AAF"/>
    <w:rsid w:val="4ED908C5"/>
    <w:rsid w:val="4EE07EA5"/>
    <w:rsid w:val="4EE15FFD"/>
    <w:rsid w:val="4F4919FB"/>
    <w:rsid w:val="4FD33566"/>
    <w:rsid w:val="501110BD"/>
    <w:rsid w:val="501E2827"/>
    <w:rsid w:val="50210776"/>
    <w:rsid w:val="50AB5CE3"/>
    <w:rsid w:val="50CE26AB"/>
    <w:rsid w:val="50D21A70"/>
    <w:rsid w:val="50E84DEF"/>
    <w:rsid w:val="512D6CA6"/>
    <w:rsid w:val="51790966"/>
    <w:rsid w:val="517B0259"/>
    <w:rsid w:val="519F5DF6"/>
    <w:rsid w:val="51E952C3"/>
    <w:rsid w:val="51EC090F"/>
    <w:rsid w:val="521F6F37"/>
    <w:rsid w:val="52291CD0"/>
    <w:rsid w:val="523F3135"/>
    <w:rsid w:val="5254412B"/>
    <w:rsid w:val="52A55715"/>
    <w:rsid w:val="52BE4505"/>
    <w:rsid w:val="52D71D07"/>
    <w:rsid w:val="52E33AC0"/>
    <w:rsid w:val="52F537F4"/>
    <w:rsid w:val="53135EC7"/>
    <w:rsid w:val="53473D49"/>
    <w:rsid w:val="53511372"/>
    <w:rsid w:val="53590226"/>
    <w:rsid w:val="537B63EF"/>
    <w:rsid w:val="53BD6EA5"/>
    <w:rsid w:val="53DF072C"/>
    <w:rsid w:val="53E65947"/>
    <w:rsid w:val="542A128E"/>
    <w:rsid w:val="546D438B"/>
    <w:rsid w:val="548337AD"/>
    <w:rsid w:val="54D04518"/>
    <w:rsid w:val="54D23DEC"/>
    <w:rsid w:val="54E35FFA"/>
    <w:rsid w:val="54F41FB5"/>
    <w:rsid w:val="54F77CF7"/>
    <w:rsid w:val="55230AEC"/>
    <w:rsid w:val="552C79A0"/>
    <w:rsid w:val="5543118E"/>
    <w:rsid w:val="55592760"/>
    <w:rsid w:val="5559450E"/>
    <w:rsid w:val="5581018E"/>
    <w:rsid w:val="56463E1B"/>
    <w:rsid w:val="56554CD5"/>
    <w:rsid w:val="567477CB"/>
    <w:rsid w:val="568D3B12"/>
    <w:rsid w:val="56AF5A31"/>
    <w:rsid w:val="56B20379"/>
    <w:rsid w:val="56C87B9D"/>
    <w:rsid w:val="56E36785"/>
    <w:rsid w:val="574134AB"/>
    <w:rsid w:val="574D67C4"/>
    <w:rsid w:val="574E5B20"/>
    <w:rsid w:val="575024A4"/>
    <w:rsid w:val="576F659A"/>
    <w:rsid w:val="57786E78"/>
    <w:rsid w:val="57A4443B"/>
    <w:rsid w:val="57C55E8A"/>
    <w:rsid w:val="57F32908"/>
    <w:rsid w:val="58070251"/>
    <w:rsid w:val="58B303D9"/>
    <w:rsid w:val="58B47348"/>
    <w:rsid w:val="58C47EF0"/>
    <w:rsid w:val="594D7513"/>
    <w:rsid w:val="5972081E"/>
    <w:rsid w:val="598D29D8"/>
    <w:rsid w:val="599B4709"/>
    <w:rsid w:val="599B6EA3"/>
    <w:rsid w:val="59C3464B"/>
    <w:rsid w:val="59FB2037"/>
    <w:rsid w:val="5A6B0F6B"/>
    <w:rsid w:val="5A6F1F67"/>
    <w:rsid w:val="5AC715D3"/>
    <w:rsid w:val="5B9462A0"/>
    <w:rsid w:val="5BAD110F"/>
    <w:rsid w:val="5BF1724E"/>
    <w:rsid w:val="5BFF3CE5"/>
    <w:rsid w:val="5C0276AD"/>
    <w:rsid w:val="5C7560D1"/>
    <w:rsid w:val="5C82259C"/>
    <w:rsid w:val="5CA97F1F"/>
    <w:rsid w:val="5CC74453"/>
    <w:rsid w:val="5D083198"/>
    <w:rsid w:val="5D292A17"/>
    <w:rsid w:val="5D38322E"/>
    <w:rsid w:val="5D3B014C"/>
    <w:rsid w:val="5D5E6B65"/>
    <w:rsid w:val="5D635E8F"/>
    <w:rsid w:val="5DC67F05"/>
    <w:rsid w:val="5DCD3DFA"/>
    <w:rsid w:val="5DEC14F9"/>
    <w:rsid w:val="5E1E00A2"/>
    <w:rsid w:val="5E3D1179"/>
    <w:rsid w:val="5E437B09"/>
    <w:rsid w:val="5E547F68"/>
    <w:rsid w:val="5E877A95"/>
    <w:rsid w:val="5EE510C5"/>
    <w:rsid w:val="5F3F29C6"/>
    <w:rsid w:val="5F7C7776"/>
    <w:rsid w:val="5FA97E40"/>
    <w:rsid w:val="5FD56505"/>
    <w:rsid w:val="5FD807F5"/>
    <w:rsid w:val="60396BAB"/>
    <w:rsid w:val="604638E0"/>
    <w:rsid w:val="604858AA"/>
    <w:rsid w:val="60536729"/>
    <w:rsid w:val="609334A3"/>
    <w:rsid w:val="60CA0D14"/>
    <w:rsid w:val="617C5039"/>
    <w:rsid w:val="61860438"/>
    <w:rsid w:val="619E1C26"/>
    <w:rsid w:val="61E76E94"/>
    <w:rsid w:val="61E909C7"/>
    <w:rsid w:val="62056F76"/>
    <w:rsid w:val="621D05DD"/>
    <w:rsid w:val="627209BD"/>
    <w:rsid w:val="628801E0"/>
    <w:rsid w:val="62D376AD"/>
    <w:rsid w:val="62E9687D"/>
    <w:rsid w:val="62F15D85"/>
    <w:rsid w:val="632075BA"/>
    <w:rsid w:val="633635FA"/>
    <w:rsid w:val="63BD210C"/>
    <w:rsid w:val="64177A6E"/>
    <w:rsid w:val="64553B1D"/>
    <w:rsid w:val="64850E7B"/>
    <w:rsid w:val="648D1ADE"/>
    <w:rsid w:val="64EE0EF8"/>
    <w:rsid w:val="650D069A"/>
    <w:rsid w:val="653C205A"/>
    <w:rsid w:val="654A5C21"/>
    <w:rsid w:val="657B5DDA"/>
    <w:rsid w:val="659A5C5A"/>
    <w:rsid w:val="65A0073D"/>
    <w:rsid w:val="65B776B8"/>
    <w:rsid w:val="65ED6CD8"/>
    <w:rsid w:val="660364FC"/>
    <w:rsid w:val="66DC55BD"/>
    <w:rsid w:val="66E856F1"/>
    <w:rsid w:val="67404CC7"/>
    <w:rsid w:val="67E11B40"/>
    <w:rsid w:val="68647EF3"/>
    <w:rsid w:val="68A872B5"/>
    <w:rsid w:val="68B41D2F"/>
    <w:rsid w:val="68C030F7"/>
    <w:rsid w:val="68F95994"/>
    <w:rsid w:val="69754956"/>
    <w:rsid w:val="69950F01"/>
    <w:rsid w:val="69951B60"/>
    <w:rsid w:val="69D07214"/>
    <w:rsid w:val="69ED127A"/>
    <w:rsid w:val="6A01794D"/>
    <w:rsid w:val="6A022F6E"/>
    <w:rsid w:val="6A1F1065"/>
    <w:rsid w:val="6A303637"/>
    <w:rsid w:val="6A492CA3"/>
    <w:rsid w:val="6A750417"/>
    <w:rsid w:val="6A8B6AC0"/>
    <w:rsid w:val="6AC50223"/>
    <w:rsid w:val="6ACD70D8"/>
    <w:rsid w:val="6AE52866"/>
    <w:rsid w:val="6AFF7221"/>
    <w:rsid w:val="6B480E55"/>
    <w:rsid w:val="6BAF2C82"/>
    <w:rsid w:val="6BB64010"/>
    <w:rsid w:val="6BD247D5"/>
    <w:rsid w:val="6BDD334B"/>
    <w:rsid w:val="6BFA004A"/>
    <w:rsid w:val="6BFD579B"/>
    <w:rsid w:val="6C4E249B"/>
    <w:rsid w:val="6C7A24F1"/>
    <w:rsid w:val="6C866827"/>
    <w:rsid w:val="6C950E61"/>
    <w:rsid w:val="6CAD5413"/>
    <w:rsid w:val="6CBA18DE"/>
    <w:rsid w:val="6CD72490"/>
    <w:rsid w:val="6CF272CA"/>
    <w:rsid w:val="6CF53675"/>
    <w:rsid w:val="6D5936E5"/>
    <w:rsid w:val="6D915A4F"/>
    <w:rsid w:val="6DA32372"/>
    <w:rsid w:val="6DE704B1"/>
    <w:rsid w:val="6DEC5AC7"/>
    <w:rsid w:val="6E002E86"/>
    <w:rsid w:val="6E1B5DFE"/>
    <w:rsid w:val="6E9619A6"/>
    <w:rsid w:val="6EB0168B"/>
    <w:rsid w:val="6ED76777"/>
    <w:rsid w:val="6EED7D49"/>
    <w:rsid w:val="6EEE3485"/>
    <w:rsid w:val="6EEF1D13"/>
    <w:rsid w:val="6F250E1D"/>
    <w:rsid w:val="6F3E7121"/>
    <w:rsid w:val="6F78146D"/>
    <w:rsid w:val="6FA26D85"/>
    <w:rsid w:val="6FE70E4A"/>
    <w:rsid w:val="6FEB4920"/>
    <w:rsid w:val="701027E0"/>
    <w:rsid w:val="701B3393"/>
    <w:rsid w:val="70253512"/>
    <w:rsid w:val="71285068"/>
    <w:rsid w:val="71297D55"/>
    <w:rsid w:val="71862CD7"/>
    <w:rsid w:val="71B049BF"/>
    <w:rsid w:val="720A29C0"/>
    <w:rsid w:val="723800CB"/>
    <w:rsid w:val="72655E48"/>
    <w:rsid w:val="726F4F19"/>
    <w:rsid w:val="72C708B1"/>
    <w:rsid w:val="73246F4A"/>
    <w:rsid w:val="73396F22"/>
    <w:rsid w:val="733C0072"/>
    <w:rsid w:val="733D0B73"/>
    <w:rsid w:val="739E2F69"/>
    <w:rsid w:val="73A16A86"/>
    <w:rsid w:val="73B25680"/>
    <w:rsid w:val="73F44B5D"/>
    <w:rsid w:val="7435737E"/>
    <w:rsid w:val="74772D35"/>
    <w:rsid w:val="748A7DE8"/>
    <w:rsid w:val="74B84955"/>
    <w:rsid w:val="74EE65C9"/>
    <w:rsid w:val="74EF57AE"/>
    <w:rsid w:val="75383CE8"/>
    <w:rsid w:val="7541494A"/>
    <w:rsid w:val="754461E9"/>
    <w:rsid w:val="758C1355"/>
    <w:rsid w:val="75A629FF"/>
    <w:rsid w:val="75C41DD8"/>
    <w:rsid w:val="76283D5C"/>
    <w:rsid w:val="766449C3"/>
    <w:rsid w:val="76882061"/>
    <w:rsid w:val="76B2617A"/>
    <w:rsid w:val="76B84D6D"/>
    <w:rsid w:val="76D4359C"/>
    <w:rsid w:val="76F8372F"/>
    <w:rsid w:val="76FC7D28"/>
    <w:rsid w:val="770E4D00"/>
    <w:rsid w:val="771244D7"/>
    <w:rsid w:val="771E3F3F"/>
    <w:rsid w:val="77302EC9"/>
    <w:rsid w:val="776203DB"/>
    <w:rsid w:val="777C3234"/>
    <w:rsid w:val="777F52D6"/>
    <w:rsid w:val="77980A6E"/>
    <w:rsid w:val="77B00E21"/>
    <w:rsid w:val="77BD2F8C"/>
    <w:rsid w:val="77C222EA"/>
    <w:rsid w:val="784E257F"/>
    <w:rsid w:val="787E1A12"/>
    <w:rsid w:val="788259A6"/>
    <w:rsid w:val="78955EC2"/>
    <w:rsid w:val="78C25DA2"/>
    <w:rsid w:val="78C95383"/>
    <w:rsid w:val="78CA5CC7"/>
    <w:rsid w:val="78EF3F43"/>
    <w:rsid w:val="78F0091A"/>
    <w:rsid w:val="790A7749"/>
    <w:rsid w:val="793B7903"/>
    <w:rsid w:val="793D7B1F"/>
    <w:rsid w:val="79415437"/>
    <w:rsid w:val="79733540"/>
    <w:rsid w:val="799B77D5"/>
    <w:rsid w:val="79DA04F5"/>
    <w:rsid w:val="7A097A01"/>
    <w:rsid w:val="7A0C7D3F"/>
    <w:rsid w:val="7A974B72"/>
    <w:rsid w:val="7AA00365"/>
    <w:rsid w:val="7B083D9D"/>
    <w:rsid w:val="7B62386D"/>
    <w:rsid w:val="7BAE6AB2"/>
    <w:rsid w:val="7BB5015A"/>
    <w:rsid w:val="7C347CA5"/>
    <w:rsid w:val="7C5E2286"/>
    <w:rsid w:val="7C5E5DE2"/>
    <w:rsid w:val="7C8D4919"/>
    <w:rsid w:val="7D65637E"/>
    <w:rsid w:val="7D6A4C5A"/>
    <w:rsid w:val="7D933BA1"/>
    <w:rsid w:val="7DAF1184"/>
    <w:rsid w:val="7DCB56F9"/>
    <w:rsid w:val="7DF05160"/>
    <w:rsid w:val="7E051A7C"/>
    <w:rsid w:val="7E173C3D"/>
    <w:rsid w:val="7E8B30DA"/>
    <w:rsid w:val="7EA146AC"/>
    <w:rsid w:val="7EC468CC"/>
    <w:rsid w:val="7EDC55FB"/>
    <w:rsid w:val="7EE33955"/>
    <w:rsid w:val="7EE66E5D"/>
    <w:rsid w:val="7F0445F8"/>
    <w:rsid w:val="7F403EC5"/>
    <w:rsid w:val="7F4D7BB8"/>
    <w:rsid w:val="7F8A15E4"/>
    <w:rsid w:val="7F920C54"/>
    <w:rsid w:val="7FB0104A"/>
    <w:rsid w:val="B7FA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1"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1"/>
    <w:pPr>
      <w:spacing w:before="55"/>
      <w:jc w:val="center"/>
      <w:outlineLvl w:val="1"/>
    </w:pPr>
    <w:rPr>
      <w:rFonts w:ascii="宋体" w:hAnsi="宋体" w:eastAsia="宋体" w:cs="宋体"/>
      <w:b/>
      <w:bCs/>
      <w:sz w:val="32"/>
      <w:szCs w:val="32"/>
    </w:rPr>
  </w:style>
  <w:style w:type="paragraph" w:styleId="8">
    <w:name w:val="heading 3"/>
    <w:basedOn w:val="1"/>
    <w:next w:val="1"/>
    <w:unhideWhenUsed/>
    <w:qFormat/>
    <w:uiPriority w:val="9"/>
    <w:pPr>
      <w:keepNext/>
      <w:keepLines/>
      <w:jc w:val="center"/>
      <w:outlineLvl w:val="2"/>
    </w:pPr>
    <w:rPr>
      <w:b/>
      <w:bCs/>
      <w:szCs w:val="32"/>
    </w:rPr>
  </w:style>
  <w:style w:type="paragraph" w:styleId="9">
    <w:name w:val="heading 4"/>
    <w:basedOn w:val="1"/>
    <w:next w:val="10"/>
    <w:qFormat/>
    <w:uiPriority w:val="0"/>
    <w:pPr>
      <w:keepNext/>
      <w:keepLines/>
      <w:outlineLvl w:val="3"/>
    </w:pPr>
    <w:rPr>
      <w:rFonts w:eastAsia="黑体"/>
      <w:bCs/>
      <w:sz w:val="24"/>
      <w:szCs w:val="28"/>
    </w:rPr>
  </w:style>
  <w:style w:type="paragraph" w:styleId="11">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link w:val="63"/>
    <w:qFormat/>
    <w:uiPriority w:val="0"/>
    <w:pPr>
      <w:spacing w:after="120"/>
      <w:ind w:left="420" w:leftChars="200"/>
    </w:pPr>
  </w:style>
  <w:style w:type="paragraph" w:styleId="4">
    <w:name w:val="envelope return"/>
    <w:basedOn w:val="1"/>
    <w:qFormat/>
    <w:uiPriority w:val="0"/>
  </w:style>
  <w:style w:type="paragraph" w:customStyle="1" w:styleId="5">
    <w:name w:val="样式 正文首行缩进 2 + Arial"/>
    <w:basedOn w:val="1"/>
    <w:next w:val="1"/>
    <w:qFormat/>
    <w:uiPriority w:val="0"/>
    <w:pPr>
      <w:spacing w:after="120" w:line="320" w:lineRule="atLeast"/>
      <w:ind w:firstLine="200" w:firstLineChars="200"/>
    </w:pPr>
  </w:style>
  <w:style w:type="paragraph" w:styleId="10">
    <w:name w:val="Normal Indent"/>
    <w:basedOn w:val="1"/>
    <w:qFormat/>
    <w:uiPriority w:val="0"/>
    <w:pPr>
      <w:spacing w:line="425" w:lineRule="atLeast"/>
      <w:ind w:firstLine="420" w:firstLineChars="200"/>
    </w:pPr>
    <w:rPr>
      <w:rFonts w:ascii="Times New Roman" w:hAnsi="Times New Roman" w:eastAsia="宋体" w:cs="Times New Roman"/>
      <w:szCs w:val="20"/>
      <w:u w:color="000000"/>
    </w:rPr>
  </w:style>
  <w:style w:type="paragraph" w:styleId="12">
    <w:name w:val="table of authorities"/>
    <w:basedOn w:val="1"/>
    <w:next w:val="1"/>
    <w:qFormat/>
    <w:uiPriority w:val="99"/>
    <w:pPr>
      <w:ind w:left="420" w:leftChars="200"/>
    </w:pPr>
  </w:style>
  <w:style w:type="paragraph" w:styleId="13">
    <w:name w:val="List Number"/>
    <w:basedOn w:val="1"/>
    <w:qFormat/>
    <w:uiPriority w:val="0"/>
    <w:pPr>
      <w:numPr>
        <w:ilvl w:val="0"/>
        <w:numId w:val="1"/>
      </w:numPr>
    </w:pPr>
  </w:style>
  <w:style w:type="paragraph" w:styleId="14">
    <w:name w:val="annotation text"/>
    <w:basedOn w:val="1"/>
    <w:qFormat/>
    <w:uiPriority w:val="0"/>
  </w:style>
  <w:style w:type="paragraph" w:styleId="15">
    <w:name w:val="Body Text"/>
    <w:basedOn w:val="1"/>
    <w:next w:val="1"/>
    <w:qFormat/>
    <w:uiPriority w:val="1"/>
    <w:rPr>
      <w:rFonts w:ascii="宋体" w:hAnsi="宋体" w:eastAsia="宋体" w:cs="宋体"/>
    </w:rPr>
  </w:style>
  <w:style w:type="paragraph" w:styleId="16">
    <w:name w:val="index 4"/>
    <w:basedOn w:val="1"/>
    <w:next w:val="1"/>
    <w:qFormat/>
    <w:uiPriority w:val="0"/>
    <w:pPr>
      <w:spacing w:beforeLines="40" w:afterLines="40" w:line="300" w:lineRule="auto"/>
      <w:ind w:left="600" w:leftChars="600"/>
    </w:pPr>
    <w:rPr>
      <w:rFonts w:ascii="Times New Roman" w:hAnsi="Times New Roman"/>
      <w:sz w:val="24"/>
      <w:szCs w:val="24"/>
    </w:rPr>
  </w:style>
  <w:style w:type="paragraph" w:styleId="17">
    <w:name w:val="toc 3"/>
    <w:basedOn w:val="1"/>
    <w:next w:val="1"/>
    <w:qFormat/>
    <w:uiPriority w:val="0"/>
    <w:pPr>
      <w:ind w:left="840" w:leftChars="400"/>
    </w:pPr>
  </w:style>
  <w:style w:type="paragraph" w:styleId="18">
    <w:name w:val="Plain Text"/>
    <w:basedOn w:val="1"/>
    <w:next w:val="1"/>
    <w:qFormat/>
    <w:uiPriority w:val="99"/>
    <w:rPr>
      <w:rFonts w:ascii="宋体" w:hAnsi="Tms Rmn"/>
      <w:szCs w:val="20"/>
    </w:rPr>
  </w:style>
  <w:style w:type="paragraph" w:styleId="19">
    <w:name w:val="footer"/>
    <w:basedOn w:val="1"/>
    <w:qFormat/>
    <w:uiPriority w:val="0"/>
    <w:pPr>
      <w:tabs>
        <w:tab w:val="center" w:pos="4153"/>
        <w:tab w:val="right" w:pos="8306"/>
      </w:tabs>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1">
    <w:name w:val="toc 1"/>
    <w:basedOn w:val="1"/>
    <w:next w:val="1"/>
    <w:qFormat/>
    <w:uiPriority w:val="0"/>
  </w:style>
  <w:style w:type="paragraph" w:styleId="22">
    <w:name w:val="Subtitle"/>
    <w:basedOn w:val="1"/>
    <w:next w:val="1"/>
    <w:link w:val="65"/>
    <w:qFormat/>
    <w:uiPriority w:val="0"/>
    <w:pPr>
      <w:widowControl w:val="0"/>
      <w:kinsoku/>
      <w:autoSpaceDE/>
      <w:autoSpaceDN/>
      <w:adjustRightInd/>
      <w:snapToGrid/>
      <w:spacing w:before="240" w:after="60" w:line="312" w:lineRule="auto"/>
      <w:jc w:val="center"/>
      <w:textAlignment w:val="auto"/>
      <w:outlineLvl w:val="1"/>
    </w:pPr>
    <w:rPr>
      <w:rFonts w:ascii="Cambria" w:hAnsi="Cambria" w:eastAsia="宋体" w:cs="Times New Roman"/>
      <w:b/>
      <w:bCs/>
      <w:snapToGrid/>
      <w:color w:val="auto"/>
      <w:kern w:val="28"/>
      <w:sz w:val="32"/>
      <w:szCs w:val="32"/>
    </w:rPr>
  </w:style>
  <w:style w:type="paragraph" w:styleId="23">
    <w:name w:val="footnote text"/>
    <w:basedOn w:val="1"/>
    <w:unhideWhenUsed/>
    <w:qFormat/>
    <w:uiPriority w:val="99"/>
    <w:pPr>
      <w:tabs>
        <w:tab w:val="left" w:pos="420"/>
      </w:tabs>
    </w:pPr>
    <w:rPr>
      <w:sz w:val="18"/>
      <w:szCs w:val="18"/>
    </w:rPr>
  </w:style>
  <w:style w:type="paragraph" w:styleId="24">
    <w:name w:val="toc 2"/>
    <w:basedOn w:val="1"/>
    <w:next w:val="1"/>
    <w:qFormat/>
    <w:uiPriority w:val="0"/>
    <w:pPr>
      <w:ind w:left="420" w:leftChars="200"/>
    </w:pPr>
  </w:style>
  <w:style w:type="paragraph" w:styleId="25">
    <w:name w:val="Body Text 2"/>
    <w:basedOn w:val="1"/>
    <w:next w:val="1"/>
    <w:qFormat/>
    <w:uiPriority w:val="0"/>
    <w:pPr>
      <w:suppressAutoHyphens/>
    </w:pPr>
    <w:rPr>
      <w:rFonts w:ascii="Calibri" w:hAnsi="Calibri" w:eastAsia="宋体" w:cs="Times New Roman"/>
      <w:sz w:val="28"/>
      <w:szCs w:val="28"/>
    </w:rPr>
  </w:style>
  <w:style w:type="paragraph" w:styleId="26">
    <w:name w:val="Normal (Web)"/>
    <w:basedOn w:val="1"/>
    <w:qFormat/>
    <w:uiPriority w:val="0"/>
    <w:pPr>
      <w:spacing w:before="100" w:beforeAutospacing="1" w:after="100" w:afterAutospacing="1"/>
    </w:pPr>
    <w:rPr>
      <w:rFonts w:cs="Times New Roman"/>
      <w:sz w:val="24"/>
    </w:rPr>
  </w:style>
  <w:style w:type="paragraph" w:styleId="27">
    <w:name w:val="Title"/>
    <w:basedOn w:val="1"/>
    <w:next w:val="1"/>
    <w:qFormat/>
    <w:uiPriority w:val="0"/>
    <w:pPr>
      <w:spacing w:before="240" w:after="60"/>
      <w:jc w:val="center"/>
      <w:outlineLvl w:val="0"/>
    </w:pPr>
    <w:rPr>
      <w:rFonts w:ascii="Cambria" w:hAnsi="Cambria" w:eastAsia="宋体" w:cs="宋体"/>
      <w:b/>
      <w:bCs/>
      <w:sz w:val="32"/>
      <w:szCs w:val="32"/>
    </w:rPr>
  </w:style>
  <w:style w:type="paragraph" w:styleId="28">
    <w:name w:val="Body Text First Indent"/>
    <w:basedOn w:val="15"/>
    <w:next w:val="2"/>
    <w:qFormat/>
    <w:uiPriority w:val="0"/>
    <w:pPr>
      <w:ind w:firstLine="420" w:firstLineChars="1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FollowedHyperlink"/>
    <w:basedOn w:val="31"/>
    <w:qFormat/>
    <w:uiPriority w:val="0"/>
    <w:rPr>
      <w:color w:val="333333"/>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0"/>
    <w:rPr>
      <w:color w:val="333333"/>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unhideWhenUsed/>
    <w:qFormat/>
    <w:uiPriority w:val="99"/>
    <w:rPr>
      <w:sz w:val="21"/>
      <w:szCs w:val="21"/>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ascii="monospace" w:hAnsi="monospace" w:eastAsia="monospace" w:cs="monospace"/>
    </w:rPr>
  </w:style>
  <w:style w:type="paragraph" w:customStyle="1" w:styleId="45">
    <w:name w:val="无间隔1"/>
    <w:basedOn w:val="1"/>
    <w:qFormat/>
    <w:uiPriority w:val="99"/>
    <w:pPr>
      <w:spacing w:line="400" w:lineRule="exact"/>
    </w:pPr>
  </w:style>
  <w:style w:type="paragraph" w:customStyle="1" w:styleId="46">
    <w:name w:val="Default"/>
    <w:next w:val="2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Table Paragraph"/>
    <w:basedOn w:val="1"/>
    <w:qFormat/>
    <w:uiPriority w:val="1"/>
    <w:rPr>
      <w:rFonts w:ascii="宋体" w:hAnsi="宋体" w:eastAsia="宋体" w:cs="宋体"/>
    </w:rPr>
  </w:style>
  <w:style w:type="character" w:customStyle="1" w:styleId="49">
    <w:name w:val="fontstyle01"/>
    <w:basedOn w:val="31"/>
    <w:qFormat/>
    <w:uiPriority w:val="0"/>
    <w:rPr>
      <w:rFonts w:hint="eastAsia" w:ascii="宋体" w:hAnsi="宋体" w:eastAsia="宋体"/>
      <w:color w:val="000000"/>
      <w:sz w:val="30"/>
      <w:szCs w:val="30"/>
    </w:rPr>
  </w:style>
  <w:style w:type="paragraph" w:customStyle="1" w:styleId="50">
    <w:name w:val="Pa0"/>
    <w:basedOn w:val="1"/>
    <w:next w:val="1"/>
    <w:qFormat/>
    <w:uiPriority w:val="99"/>
    <w:pPr>
      <w:spacing w:line="241" w:lineRule="atLeast"/>
    </w:pPr>
    <w:rPr>
      <w:rFonts w:ascii="Yu Gothic UI Light" w:hAnsi="Calibri" w:eastAsia="Yu Gothic UI Light" w:cs="Times New Roman"/>
      <w:szCs w:val="24"/>
    </w:rPr>
  </w:style>
  <w:style w:type="paragraph" w:customStyle="1" w:styleId="51">
    <w:name w:val="列出段落1"/>
    <w:basedOn w:val="1"/>
    <w:qFormat/>
    <w:uiPriority w:val="34"/>
    <w:pPr>
      <w:ind w:firstLine="420" w:firstLineChars="200"/>
    </w:pPr>
  </w:style>
  <w:style w:type="paragraph" w:customStyle="1" w:styleId="52">
    <w:name w:val="列出段落11"/>
    <w:basedOn w:val="1"/>
    <w:qFormat/>
    <w:uiPriority w:val="0"/>
    <w:pPr>
      <w:ind w:firstLine="420" w:firstLineChars="200"/>
    </w:pPr>
    <w:rPr>
      <w:rFonts w:ascii="Calibri" w:hAnsi="Calibri" w:eastAsia="宋体" w:cs="Times New Roman"/>
    </w:rPr>
  </w:style>
  <w:style w:type="character" w:customStyle="1" w:styleId="53">
    <w:name w:val="font31"/>
    <w:basedOn w:val="31"/>
    <w:qFormat/>
    <w:uiPriority w:val="0"/>
    <w:rPr>
      <w:rFonts w:hint="eastAsia" w:ascii="微软雅黑" w:hAnsi="微软雅黑" w:eastAsia="微软雅黑" w:cs="微软雅黑"/>
      <w:color w:val="000000"/>
      <w:sz w:val="16"/>
      <w:szCs w:val="16"/>
      <w:u w:val="none"/>
    </w:rPr>
  </w:style>
  <w:style w:type="character" w:customStyle="1" w:styleId="54">
    <w:name w:val="font41"/>
    <w:basedOn w:val="31"/>
    <w:qFormat/>
    <w:uiPriority w:val="0"/>
    <w:rPr>
      <w:rFonts w:ascii="Arial" w:hAnsi="Arial" w:cs="Arial"/>
      <w:color w:val="000000"/>
      <w:sz w:val="16"/>
      <w:szCs w:val="16"/>
      <w:u w:val="none"/>
    </w:rPr>
  </w:style>
  <w:style w:type="character" w:customStyle="1" w:styleId="55">
    <w:name w:val="font21"/>
    <w:basedOn w:val="31"/>
    <w:qFormat/>
    <w:uiPriority w:val="0"/>
    <w:rPr>
      <w:rFonts w:hint="eastAsia" w:ascii="宋体" w:hAnsi="宋体" w:eastAsia="宋体" w:cs="宋体"/>
      <w:color w:val="000000"/>
      <w:sz w:val="21"/>
      <w:szCs w:val="21"/>
      <w:u w:val="none"/>
    </w:rPr>
  </w:style>
  <w:style w:type="character" w:customStyle="1" w:styleId="56">
    <w:name w:val="font11"/>
    <w:basedOn w:val="31"/>
    <w:qFormat/>
    <w:uiPriority w:val="0"/>
    <w:rPr>
      <w:rFonts w:hint="eastAsia" w:ascii="宋体" w:hAnsi="宋体" w:eastAsia="宋体" w:cs="宋体"/>
      <w:color w:val="000000"/>
      <w:sz w:val="24"/>
      <w:szCs w:val="24"/>
      <w:u w:val="none"/>
    </w:rPr>
  </w:style>
  <w:style w:type="character" w:customStyle="1" w:styleId="57">
    <w:name w:val="font61"/>
    <w:basedOn w:val="31"/>
    <w:qFormat/>
    <w:uiPriority w:val="0"/>
    <w:rPr>
      <w:rFonts w:hint="eastAsia" w:ascii="宋体" w:hAnsi="宋体" w:eastAsia="宋体" w:cs="宋体"/>
      <w:color w:val="000000"/>
      <w:sz w:val="22"/>
      <w:szCs w:val="22"/>
      <w:u w:val="none"/>
    </w:rPr>
  </w:style>
  <w:style w:type="character" w:customStyle="1" w:styleId="58">
    <w:name w:val="font81"/>
    <w:basedOn w:val="31"/>
    <w:qFormat/>
    <w:uiPriority w:val="0"/>
    <w:rPr>
      <w:rFonts w:ascii="Arial" w:hAnsi="Arial" w:cs="Arial"/>
      <w:color w:val="000000"/>
      <w:sz w:val="22"/>
      <w:szCs w:val="22"/>
      <w:u w:val="none"/>
    </w:rPr>
  </w:style>
  <w:style w:type="character" w:customStyle="1" w:styleId="59">
    <w:name w:val="font91"/>
    <w:basedOn w:val="31"/>
    <w:qFormat/>
    <w:uiPriority w:val="0"/>
    <w:rPr>
      <w:rFonts w:ascii="宋体" w:hAnsi="宋体" w:eastAsia="宋体" w:cs="宋体"/>
      <w:color w:val="000000"/>
      <w:sz w:val="22"/>
      <w:szCs w:val="22"/>
      <w:u w:val="none"/>
    </w:rPr>
  </w:style>
  <w:style w:type="character" w:customStyle="1" w:styleId="60">
    <w:name w:val="font101"/>
    <w:basedOn w:val="31"/>
    <w:qFormat/>
    <w:uiPriority w:val="0"/>
    <w:rPr>
      <w:rFonts w:hint="default" w:ascii="Times New Roman" w:hAnsi="Times New Roman" w:cs="Times New Roman"/>
      <w:color w:val="000000"/>
      <w:sz w:val="22"/>
      <w:szCs w:val="22"/>
      <w:u w:val="none"/>
    </w:rPr>
  </w:style>
  <w:style w:type="character" w:customStyle="1" w:styleId="61">
    <w:name w:val="font51"/>
    <w:basedOn w:val="31"/>
    <w:qFormat/>
    <w:uiPriority w:val="0"/>
    <w:rPr>
      <w:rFonts w:hint="default" w:ascii="Times New Roman" w:hAnsi="Times New Roman" w:cs="Times New Roman"/>
      <w:color w:val="000000"/>
      <w:sz w:val="22"/>
      <w:szCs w:val="22"/>
      <w:u w:val="none"/>
    </w:rPr>
  </w:style>
  <w:style w:type="paragraph" w:customStyle="1" w:styleId="62">
    <w:name w:val="样式"/>
    <w:basedOn w:val="1"/>
    <w:qFormat/>
    <w:uiPriority w:val="0"/>
    <w:pPr>
      <w:widowControl w:val="0"/>
      <w:kinsoku/>
      <w:snapToGrid/>
      <w:textAlignment w:val="auto"/>
    </w:pPr>
    <w:rPr>
      <w:rFonts w:ascii="宋体" w:hAnsi="宋体" w:eastAsia="宋体" w:cs="宋体"/>
      <w:snapToGrid/>
      <w:color w:val="auto"/>
      <w:sz w:val="24"/>
      <w:szCs w:val="24"/>
    </w:rPr>
  </w:style>
  <w:style w:type="character" w:customStyle="1" w:styleId="63">
    <w:name w:val="正文文本缩进 字符"/>
    <w:basedOn w:val="31"/>
    <w:link w:val="3"/>
    <w:qFormat/>
    <w:uiPriority w:val="0"/>
    <w:rPr>
      <w:rFonts w:ascii="Arial" w:hAnsi="Arial" w:eastAsia="Arial" w:cs="Arial"/>
      <w:snapToGrid w:val="0"/>
      <w:color w:val="000000"/>
      <w:sz w:val="21"/>
      <w:szCs w:val="21"/>
    </w:rPr>
  </w:style>
  <w:style w:type="paragraph" w:customStyle="1" w:styleId="64">
    <w:name w:val="Body text|2"/>
    <w:basedOn w:val="1"/>
    <w:qFormat/>
    <w:uiPriority w:val="0"/>
    <w:pPr>
      <w:widowControl w:val="0"/>
      <w:kinsoku/>
      <w:autoSpaceDE/>
      <w:autoSpaceDN/>
      <w:adjustRightInd/>
      <w:snapToGrid/>
      <w:spacing w:after="420" w:line="393" w:lineRule="exact"/>
      <w:jc w:val="center"/>
      <w:textAlignment w:val="auto"/>
    </w:pPr>
    <w:rPr>
      <w:rFonts w:ascii="MingLiU-ExtB" w:hAnsi="MingLiU-ExtB" w:eastAsia="MingLiU-ExtB" w:cs="MingLiU-ExtB"/>
      <w:snapToGrid/>
      <w:color w:val="auto"/>
      <w:kern w:val="2"/>
      <w:lang w:val="zh-TW" w:eastAsia="zh-TW" w:bidi="zh-TW"/>
    </w:rPr>
  </w:style>
  <w:style w:type="character" w:customStyle="1" w:styleId="65">
    <w:name w:val="副标题 字符"/>
    <w:basedOn w:val="31"/>
    <w:link w:val="22"/>
    <w:qFormat/>
    <w:uiPriority w:val="0"/>
    <w:rPr>
      <w:rFonts w:ascii="Cambria" w:hAnsi="Cambria"/>
      <w:b/>
      <w:bCs/>
      <w:kern w:val="28"/>
      <w:sz w:val="32"/>
      <w:szCs w:val="32"/>
    </w:rPr>
  </w:style>
  <w:style w:type="paragraph" w:customStyle="1" w:styleId="66">
    <w:name w:val="BodyText"/>
    <w:basedOn w:val="1"/>
    <w:qFormat/>
    <w:uiPriority w:val="0"/>
    <w:pPr>
      <w:widowControl w:val="0"/>
      <w:kinsoku/>
      <w:autoSpaceDE/>
      <w:autoSpaceDN/>
      <w:adjustRightInd/>
      <w:snapToGrid/>
      <w:spacing w:after="120" w:line="360" w:lineRule="auto"/>
      <w:jc w:val="both"/>
    </w:pPr>
    <w:rPr>
      <w:rFonts w:ascii="Times New Roman" w:hAnsi="Times New Roman" w:eastAsia="宋体" w:cs="Times New Roman"/>
      <w:snapToGrid/>
      <w:color w:val="auto"/>
      <w:kern w:val="2"/>
      <w:szCs w:val="22"/>
    </w:rPr>
  </w:style>
  <w:style w:type="paragraph" w:customStyle="1" w:styleId="67">
    <w:name w:val="Body text|1"/>
    <w:basedOn w:val="1"/>
    <w:qFormat/>
    <w:uiPriority w:val="99"/>
    <w:pPr>
      <w:spacing w:line="466" w:lineRule="exact"/>
      <w:ind w:firstLine="480"/>
    </w:pPr>
    <w:rPr>
      <w:rFonts w:ascii="宋体" w:hAnsi="宋体" w:eastAsia="宋体" w:cs="宋体"/>
      <w:sz w:val="26"/>
      <w:szCs w:val="26"/>
      <w:lang w:val="zh-TW" w:eastAsia="zh-TW"/>
    </w:rPr>
  </w:style>
  <w:style w:type="character" w:customStyle="1" w:styleId="68">
    <w:name w:val="font71"/>
    <w:basedOn w:val="31"/>
    <w:qFormat/>
    <w:uiPriority w:val="0"/>
    <w:rPr>
      <w:rFonts w:hint="default" w:ascii="Times New Roman" w:hAnsi="Times New Roman" w:cs="Times New Roman"/>
      <w:b/>
      <w:bCs/>
      <w:color w:val="000000"/>
      <w:sz w:val="20"/>
      <w:szCs w:val="20"/>
      <w:u w:val="none"/>
    </w:rPr>
  </w:style>
  <w:style w:type="paragraph" w:customStyle="1" w:styleId="69">
    <w:name w:val="_Style 45"/>
    <w:basedOn w:val="1"/>
    <w:next w:val="1"/>
    <w:qFormat/>
    <w:uiPriority w:val="0"/>
    <w:pPr>
      <w:pBdr>
        <w:bottom w:val="single" w:color="auto" w:sz="6" w:space="1"/>
      </w:pBdr>
      <w:jc w:val="center"/>
    </w:pPr>
    <w:rPr>
      <w:rFonts w:eastAsia="宋体"/>
      <w:vanish/>
      <w:sz w:val="16"/>
    </w:rPr>
  </w:style>
  <w:style w:type="paragraph" w:customStyle="1" w:styleId="70">
    <w:name w:val="_Style 46"/>
    <w:basedOn w:val="1"/>
    <w:next w:val="1"/>
    <w:qFormat/>
    <w:uiPriority w:val="0"/>
    <w:pPr>
      <w:pBdr>
        <w:top w:val="single" w:color="auto" w:sz="6" w:space="1"/>
      </w:pBdr>
      <w:jc w:val="center"/>
    </w:pPr>
    <w:rPr>
      <w:rFonts w:eastAsia="宋体"/>
      <w:vanish/>
      <w:sz w:val="16"/>
    </w:rPr>
  </w:style>
  <w:style w:type="character" w:customStyle="1" w:styleId="71">
    <w:name w:val="font01"/>
    <w:basedOn w:val="31"/>
    <w:qFormat/>
    <w:uiPriority w:val="0"/>
    <w:rPr>
      <w:rFonts w:hint="eastAsia" w:ascii="宋体" w:hAnsi="宋体" w:eastAsia="宋体" w:cs="宋体"/>
      <w:color w:val="000000"/>
      <w:sz w:val="24"/>
      <w:szCs w:val="24"/>
      <w:u w:val="none"/>
    </w:rPr>
  </w:style>
  <w:style w:type="character" w:customStyle="1" w:styleId="72">
    <w:name w:val="font111"/>
    <w:basedOn w:val="31"/>
    <w:qFormat/>
    <w:uiPriority w:val="0"/>
    <w:rPr>
      <w:rFonts w:hint="eastAsia" w:ascii="等线" w:hAnsi="等线" w:eastAsia="等线" w:cs="等线"/>
      <w:b/>
      <w:bCs/>
      <w:color w:val="000000"/>
      <w:sz w:val="21"/>
      <w:szCs w:val="21"/>
      <w:u w:val="none"/>
    </w:rPr>
  </w:style>
  <w:style w:type="character" w:customStyle="1" w:styleId="73">
    <w:name w:val="font171"/>
    <w:basedOn w:val="31"/>
    <w:qFormat/>
    <w:uiPriority w:val="0"/>
    <w:rPr>
      <w:rFonts w:hint="eastAsia" w:ascii="宋体" w:hAnsi="宋体" w:eastAsia="宋体" w:cs="宋体"/>
      <w:b/>
      <w:bCs/>
      <w:color w:val="000000"/>
      <w:sz w:val="18"/>
      <w:szCs w:val="18"/>
      <w:u w:val="none"/>
    </w:rPr>
  </w:style>
  <w:style w:type="character" w:customStyle="1" w:styleId="74">
    <w:name w:val="font181"/>
    <w:basedOn w:val="31"/>
    <w:qFormat/>
    <w:uiPriority w:val="0"/>
    <w:rPr>
      <w:rFonts w:hint="eastAsia" w:ascii="宋体" w:hAnsi="宋体" w:eastAsia="宋体" w:cs="宋体"/>
      <w:b/>
      <w:bCs/>
      <w:color w:val="000000"/>
      <w:sz w:val="20"/>
      <w:szCs w:val="20"/>
      <w:u w:val="none"/>
    </w:rPr>
  </w:style>
  <w:style w:type="paragraph" w:customStyle="1" w:styleId="75">
    <w:name w:val="style4"/>
    <w:basedOn w:val="1"/>
    <w:next w:val="76"/>
    <w:qFormat/>
    <w:uiPriority w:val="0"/>
    <w:pPr>
      <w:spacing w:before="100" w:beforeAutospacing="1" w:after="100" w:afterAutospacing="1"/>
    </w:pPr>
    <w:rPr>
      <w:rFonts w:hint="eastAsia" w:ascii="宋体" w:hAnsi="宋体"/>
      <w:sz w:val="18"/>
    </w:rPr>
  </w:style>
  <w:style w:type="paragraph" w:customStyle="1" w:styleId="76">
    <w:name w:val="2"/>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77">
    <w:name w:val="首行缩进"/>
    <w:basedOn w:val="1"/>
    <w:qFormat/>
    <w:uiPriority w:val="0"/>
    <w:pPr>
      <w:ind w:firstLine="480" w:firstLineChars="200"/>
    </w:pPr>
    <w:rPr>
      <w:szCs w:val="20"/>
      <w:lang w:val="zh-CN"/>
    </w:rPr>
  </w:style>
  <w:style w:type="paragraph" w:customStyle="1" w:styleId="78">
    <w:name w:val="Normal_19_0"/>
    <w:next w:val="79"/>
    <w:qFormat/>
    <w:uiPriority w:val="0"/>
    <w:rPr>
      <w:rFonts w:ascii="黑体" w:hAnsi="黑体" w:eastAsia="黑体" w:cs="Times New Roman"/>
      <w:b/>
      <w:sz w:val="32"/>
      <w:szCs w:val="24"/>
      <w:lang w:bidi="ar-SA"/>
    </w:rPr>
  </w:style>
  <w:style w:type="paragraph" w:customStyle="1" w:styleId="79">
    <w:name w:val="段_0"/>
    <w:next w:val="78"/>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0">
    <w:name w:val="List Paragraph"/>
    <w:basedOn w:val="1"/>
    <w:qFormat/>
    <w:uiPriority w:val="34"/>
    <w:pPr>
      <w:ind w:firstLine="420" w:firstLineChars="200"/>
    </w:pPr>
  </w:style>
  <w:style w:type="character" w:customStyle="1" w:styleId="81">
    <w:name w:val="def"/>
    <w:basedOn w:val="31"/>
    <w:qFormat/>
    <w:uiPriority w:val="0"/>
  </w:style>
  <w:style w:type="character" w:customStyle="1" w:styleId="82">
    <w:name w:val="标题 1 Char1"/>
    <w:qFormat/>
    <w:uiPriority w:val="0"/>
    <w:rPr>
      <w:rFonts w:ascii="Times New Roman" w:hAnsi="Times New Roman" w:eastAsia="宋体" w:cs="Times New Roman"/>
      <w:b/>
      <w:bCs/>
      <w:kern w:val="44"/>
      <w:sz w:val="32"/>
      <w:szCs w:val="44"/>
    </w:rPr>
  </w:style>
  <w:style w:type="paragraph" w:customStyle="1" w:styleId="8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60857</Words>
  <Characters>68809</Characters>
  <Lines>496</Lines>
  <Paragraphs>139</Paragraphs>
  <TotalTime>5</TotalTime>
  <ScaleCrop>false</ScaleCrop>
  <LinksUpToDate>false</LinksUpToDate>
  <CharactersWithSpaces>71060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2023-05-25T03:24:00Z</dcterms:created>
  <dc:creator>User</dc:creator>
  <cp:lastModifiedBy>NTKO</cp:lastModifiedBy>
  <cp:lastPrinted>2022-09-13T09:34:00Z</cp:lastPrinted>
  <dcterms:modified xsi:type="dcterms:W3CDTF">2023-11-20T02:01:42Z</dcterms:modified>
  <dc:title>第二章  投标人须知</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2022-05-09T10:11:19Z</vt:filetime>
  </property>
  <property fmtid="{D5CDD505-2E9C-101B-9397-08002B2CF9AE}" pid="4" name="KSOProductBuildVer">
    <vt:lpwstr>2052-12.1.0.15712</vt:lpwstr>
  </property>
  <property fmtid="{D5CDD505-2E9C-101B-9397-08002B2CF9AE}" pid="5" name="ICV">
    <vt:lpwstr>E58A4CE517C34C219229E5FB1F11D181_13</vt:lpwstr>
  </property>
</Properties>
</file>