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both"/>
        <w:rPr>
          <w:rFonts w:hint="eastAsia" w:ascii="宋体" w:hAnsi="宋体" w:eastAsia="宋体" w:cs="宋体"/>
          <w:b/>
          <w:bCs w:val="0"/>
          <w:color w:val="auto"/>
          <w:sz w:val="40"/>
          <w:szCs w:val="40"/>
          <w:lang w:val="en-US" w:eastAsia="zh-CN"/>
        </w:rPr>
      </w:pPr>
    </w:p>
    <w:p>
      <w:pPr>
        <w:keepNext w:val="0"/>
        <w:keepLines w:val="0"/>
        <w:pageBreakBefore w:val="0"/>
        <w:widowControl w:val="0"/>
        <w:kinsoku/>
        <w:wordWrap w:val="0"/>
        <w:overflowPunct/>
        <w:topLinePunct w:val="0"/>
        <w:autoSpaceDE/>
        <w:autoSpaceDN/>
        <w:bidi w:val="0"/>
        <w:adjustRightInd/>
        <w:snapToGrid/>
        <w:spacing w:line="700" w:lineRule="exact"/>
        <w:jc w:val="center"/>
        <w:textAlignment w:val="auto"/>
        <w:rPr>
          <w:rFonts w:hint="eastAsia" w:ascii="宋体" w:hAnsi="宋体" w:eastAsia="宋体" w:cs="宋体"/>
          <w:b/>
          <w:bCs w:val="0"/>
          <w:color w:val="auto"/>
          <w:sz w:val="48"/>
          <w:szCs w:val="48"/>
          <w:lang w:val="en-US" w:eastAsia="zh-CN"/>
        </w:rPr>
      </w:pPr>
      <w:r>
        <w:rPr>
          <w:rFonts w:hint="eastAsia" w:ascii="宋体" w:hAnsi="宋体" w:eastAsia="宋体" w:cs="宋体"/>
          <w:b/>
          <w:bCs w:val="0"/>
          <w:color w:val="auto"/>
          <w:sz w:val="48"/>
          <w:szCs w:val="48"/>
          <w:lang w:val="en-US" w:eastAsia="zh-CN"/>
        </w:rPr>
        <w:t>2023年唐河县农村人居环境整治项目</w:t>
      </w:r>
    </w:p>
    <w:p>
      <w:pPr>
        <w:keepNext w:val="0"/>
        <w:keepLines w:val="0"/>
        <w:pageBreakBefore w:val="0"/>
        <w:widowControl w:val="0"/>
        <w:kinsoku/>
        <w:wordWrap w:val="0"/>
        <w:overflowPunct/>
        <w:topLinePunct w:val="0"/>
        <w:autoSpaceDE/>
        <w:autoSpaceDN/>
        <w:bidi w:val="0"/>
        <w:adjustRightInd/>
        <w:snapToGrid/>
        <w:spacing w:line="700" w:lineRule="exact"/>
        <w:jc w:val="center"/>
        <w:textAlignment w:val="auto"/>
        <w:rPr>
          <w:rFonts w:hint="eastAsia" w:ascii="宋体" w:hAnsi="宋体" w:eastAsia="宋体" w:cs="宋体"/>
          <w:b/>
          <w:bCs w:val="0"/>
          <w:color w:val="0000FF"/>
          <w:sz w:val="32"/>
          <w:szCs w:val="32"/>
          <w:lang w:val="en-US" w:eastAsia="zh-CN"/>
        </w:rPr>
      </w:pPr>
      <w:r>
        <w:rPr>
          <w:rFonts w:hint="eastAsia" w:ascii="宋体" w:hAnsi="宋体" w:eastAsia="宋体" w:cs="宋体"/>
          <w:b/>
          <w:bCs w:val="0"/>
          <w:color w:val="0000FF"/>
          <w:sz w:val="32"/>
          <w:szCs w:val="32"/>
        </w:rPr>
        <w:t>项目编号：</w:t>
      </w:r>
      <w:r>
        <w:rPr>
          <w:rFonts w:hint="eastAsia" w:ascii="宋体" w:hAnsi="宋体" w:eastAsia="宋体" w:cs="宋体"/>
          <w:b/>
          <w:bCs w:val="0"/>
          <w:color w:val="0000FF"/>
          <w:sz w:val="32"/>
          <w:szCs w:val="32"/>
          <w:lang w:val="en-US" w:eastAsia="zh-CN"/>
        </w:rPr>
        <w:t xml:space="preserve"> </w:t>
      </w:r>
      <w:r>
        <w:rPr>
          <w:rFonts w:hint="eastAsia" w:ascii="宋体" w:hAnsi="宋体" w:eastAsia="宋体" w:cs="Times New Roman"/>
          <w:b/>
          <w:bCs/>
          <w:color w:val="0000FF"/>
          <w:sz w:val="36"/>
          <w:szCs w:val="36"/>
          <w:highlight w:val="white"/>
        </w:rPr>
        <w:t>thggzygcjy-2023-</w:t>
      </w:r>
      <w:r>
        <w:rPr>
          <w:rFonts w:hint="eastAsia" w:ascii="宋体" w:hAnsi="宋体" w:eastAsia="宋体" w:cs="Times New Roman"/>
          <w:b/>
          <w:bCs/>
          <w:color w:val="0000FF"/>
          <w:sz w:val="36"/>
          <w:szCs w:val="36"/>
          <w:highlight w:val="white"/>
          <w:lang w:val="en-US" w:eastAsia="zh-CN"/>
        </w:rPr>
        <w:t>120</w:t>
      </w:r>
    </w:p>
    <w:p>
      <w:pPr>
        <w:pStyle w:val="45"/>
        <w:rPr>
          <w:rFonts w:hint="eastAsia" w:ascii="宋体" w:hAnsi="宋体" w:eastAsia="宋体" w:cs="宋体"/>
          <w:lang w:val="en-US"/>
        </w:rPr>
      </w:pPr>
    </w:p>
    <w:p>
      <w:pPr>
        <w:pStyle w:val="45"/>
        <w:rPr>
          <w:rFonts w:hint="eastAsia" w:ascii="宋体" w:hAnsi="宋体" w:eastAsia="宋体" w:cs="宋体"/>
          <w:lang w:val="en-US"/>
        </w:rPr>
      </w:pPr>
    </w:p>
    <w:p>
      <w:pPr>
        <w:pStyle w:val="45"/>
        <w:rPr>
          <w:rFonts w:hint="eastAsia" w:ascii="宋体" w:hAnsi="宋体" w:eastAsia="宋体" w:cs="宋体"/>
          <w:lang w:val="en-US"/>
        </w:rPr>
      </w:pPr>
      <w:bookmarkStart w:id="576" w:name="_GoBack"/>
      <w:bookmarkEnd w:id="576"/>
    </w:p>
    <w:p>
      <w:pPr>
        <w:spacing w:line="360" w:lineRule="auto"/>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监理招标文件</w:t>
      </w:r>
    </w:p>
    <w:p>
      <w:pPr>
        <w:spacing w:line="360" w:lineRule="auto"/>
        <w:jc w:val="center"/>
        <w:rPr>
          <w:rFonts w:hint="eastAsia" w:ascii="宋体" w:hAnsi="宋体" w:eastAsia="宋体" w:cs="宋体"/>
          <w:b/>
          <w:color w:val="auto"/>
          <w:sz w:val="52"/>
          <w:szCs w:val="52"/>
          <w:lang w:val="en-US" w:eastAsia="zh-CN"/>
        </w:rPr>
      </w:pPr>
      <w:r>
        <w:rPr>
          <w:rFonts w:hint="eastAsia" w:ascii="宋体" w:hAnsi="宋体" w:eastAsia="宋体" w:cs="宋体"/>
          <w:b/>
          <w:color w:val="auto"/>
          <w:sz w:val="52"/>
          <w:szCs w:val="52"/>
          <w:lang w:val="en-US" w:eastAsia="zh-CN"/>
        </w:rPr>
        <w:t xml:space="preserve">  </w:t>
      </w:r>
    </w:p>
    <w:p>
      <w:pPr>
        <w:spacing w:line="360" w:lineRule="auto"/>
        <w:ind w:firstLine="480" w:firstLineChars="200"/>
        <w:jc w:val="center"/>
        <w:rPr>
          <w:rFonts w:hint="eastAsia" w:ascii="宋体" w:hAnsi="宋体" w:eastAsia="宋体" w:cs="宋体"/>
          <w:color w:val="auto"/>
          <w:sz w:val="24"/>
          <w:szCs w:val="24"/>
        </w:rPr>
      </w:pPr>
    </w:p>
    <w:p>
      <w:pPr>
        <w:pStyle w:val="45"/>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45"/>
        <w:rPr>
          <w:rFonts w:hint="eastAsia" w:ascii="宋体" w:hAnsi="宋体" w:eastAsia="宋体" w:cs="宋体"/>
          <w:color w:val="auto"/>
          <w:sz w:val="24"/>
          <w:szCs w:val="24"/>
        </w:rPr>
      </w:pPr>
    </w:p>
    <w:p>
      <w:pPr>
        <w:pStyle w:val="45"/>
        <w:rPr>
          <w:rFonts w:hint="eastAsia" w:ascii="宋体" w:hAnsi="宋体" w:eastAsia="宋体" w:cs="宋体"/>
          <w:color w:val="auto"/>
          <w:sz w:val="24"/>
          <w:szCs w:val="24"/>
        </w:rPr>
      </w:pPr>
    </w:p>
    <w:p>
      <w:pPr>
        <w:pStyle w:val="45"/>
        <w:rPr>
          <w:rFonts w:hint="eastAsia" w:ascii="宋体" w:hAnsi="宋体" w:eastAsia="宋体" w:cs="宋体"/>
          <w:color w:val="auto"/>
          <w:sz w:val="24"/>
          <w:szCs w:val="24"/>
        </w:rPr>
      </w:pPr>
    </w:p>
    <w:p>
      <w:pPr>
        <w:pStyle w:val="45"/>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45"/>
        <w:rPr>
          <w:rFonts w:hint="eastAsia" w:ascii="宋体" w:hAnsi="宋体" w:eastAsia="宋体" w:cs="宋体"/>
          <w:color w:val="auto"/>
          <w:sz w:val="24"/>
          <w:szCs w:val="24"/>
        </w:rPr>
      </w:pPr>
    </w:p>
    <w:p>
      <w:pPr>
        <w:rPr>
          <w:rFonts w:hint="eastAsia" w:ascii="宋体" w:hAnsi="宋体" w:eastAsia="宋体" w:cs="宋体"/>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pacing w:line="360" w:lineRule="auto"/>
        <w:ind w:right="-25" w:rightChars="-12" w:firstLine="1084" w:firstLineChars="300"/>
        <w:rPr>
          <w:rFonts w:hint="eastAsia" w:ascii="宋体" w:hAnsi="宋体" w:eastAsia="宋体" w:cs="宋体"/>
          <w:b/>
          <w:color w:val="auto"/>
          <w:sz w:val="36"/>
          <w:szCs w:val="36"/>
          <w:u w:val="single"/>
          <w:lang w:val="en-US" w:eastAsia="zh-CN"/>
        </w:rPr>
      </w:pPr>
      <w:r>
        <w:rPr>
          <w:rFonts w:hint="eastAsia" w:ascii="宋体" w:hAnsi="宋体" w:eastAsia="宋体" w:cs="宋体"/>
          <w:b/>
          <w:color w:val="auto"/>
          <w:sz w:val="36"/>
          <w:szCs w:val="36"/>
        </w:rPr>
        <w:t>招   标  人：</w:t>
      </w:r>
      <w:r>
        <w:rPr>
          <w:rFonts w:hint="eastAsia" w:ascii="宋体" w:hAnsi="宋体" w:eastAsia="宋体" w:cs="宋体"/>
          <w:b/>
          <w:color w:val="auto"/>
          <w:sz w:val="36"/>
          <w:szCs w:val="36"/>
          <w:u w:val="single"/>
        </w:rPr>
        <w:t>唐河县农业农村局</w:t>
      </w:r>
    </w:p>
    <w:p>
      <w:pPr>
        <w:spacing w:line="360" w:lineRule="auto"/>
        <w:ind w:firstLine="1084" w:firstLineChars="300"/>
        <w:jc w:val="left"/>
        <w:rPr>
          <w:rFonts w:hint="eastAsia" w:ascii="宋体" w:hAnsi="宋体" w:eastAsia="宋体" w:cs="宋体"/>
          <w:b/>
          <w:color w:val="auto"/>
          <w:sz w:val="36"/>
          <w:szCs w:val="36"/>
          <w:u w:val="single"/>
          <w:lang w:val="en-US" w:eastAsia="zh-CN"/>
        </w:rPr>
      </w:pPr>
      <w:r>
        <w:rPr>
          <w:rFonts w:hint="eastAsia" w:ascii="宋体" w:hAnsi="宋体" w:eastAsia="宋体" w:cs="宋体"/>
          <w:b/>
          <w:color w:val="auto"/>
          <w:sz w:val="36"/>
          <w:szCs w:val="36"/>
        </w:rPr>
        <w:t>代 理 机 构：</w:t>
      </w:r>
      <w:r>
        <w:rPr>
          <w:rFonts w:hint="eastAsia" w:ascii="宋体" w:hAnsi="宋体" w:eastAsia="宋体" w:cs="宋体"/>
          <w:b/>
          <w:color w:val="auto"/>
          <w:sz w:val="36"/>
          <w:szCs w:val="36"/>
          <w:u w:val="single"/>
          <w:lang w:eastAsia="zh-CN"/>
        </w:rPr>
        <w:t>河南卓建工程管理有限公司</w:t>
      </w:r>
    </w:p>
    <w:p>
      <w:pPr>
        <w:ind w:firstLine="1084" w:firstLineChars="300"/>
        <w:jc w:val="both"/>
        <w:rPr>
          <w:rFonts w:hint="eastAsia" w:ascii="宋体" w:hAnsi="宋体" w:eastAsia="宋体" w:cs="宋体"/>
          <w:b/>
          <w:color w:val="auto"/>
          <w:sz w:val="36"/>
          <w:szCs w:val="36"/>
          <w:u w:val="single"/>
          <w:lang w:eastAsia="zh-CN"/>
        </w:rPr>
      </w:pPr>
      <w:r>
        <w:rPr>
          <w:rFonts w:hint="eastAsia" w:ascii="宋体" w:hAnsi="宋体" w:eastAsia="宋体" w:cs="宋体"/>
          <w:b/>
          <w:color w:val="auto"/>
          <w:sz w:val="36"/>
          <w:szCs w:val="36"/>
        </w:rPr>
        <w:t>日       期：</w:t>
      </w:r>
      <w:r>
        <w:rPr>
          <w:rFonts w:hint="eastAsia" w:ascii="宋体" w:hAnsi="宋体" w:eastAsia="宋体" w:cs="宋体"/>
          <w:b/>
          <w:color w:val="auto"/>
          <w:sz w:val="36"/>
          <w:szCs w:val="36"/>
          <w:u w:val="single"/>
          <w:lang w:val="en-US" w:eastAsia="zh-CN"/>
        </w:rPr>
        <w:t>2023</w:t>
      </w:r>
      <w:r>
        <w:rPr>
          <w:rFonts w:hint="eastAsia" w:ascii="宋体" w:hAnsi="宋体" w:eastAsia="宋体" w:cs="宋体"/>
          <w:b/>
          <w:color w:val="auto"/>
          <w:sz w:val="36"/>
          <w:szCs w:val="36"/>
          <w:u w:val="single"/>
          <w:lang w:eastAsia="zh-CN"/>
        </w:rPr>
        <w:t>年</w:t>
      </w:r>
      <w:r>
        <w:rPr>
          <w:rFonts w:hint="eastAsia" w:ascii="宋体" w:hAnsi="宋体" w:eastAsia="宋体" w:cs="宋体"/>
          <w:b/>
          <w:color w:val="auto"/>
          <w:sz w:val="36"/>
          <w:szCs w:val="36"/>
          <w:u w:val="single"/>
          <w:lang w:val="en-US" w:eastAsia="zh-CN"/>
        </w:rPr>
        <w:t>12</w:t>
      </w:r>
      <w:r>
        <w:rPr>
          <w:rFonts w:hint="eastAsia" w:ascii="宋体" w:hAnsi="宋体" w:eastAsia="宋体" w:cs="宋体"/>
          <w:b/>
          <w:color w:val="auto"/>
          <w:sz w:val="36"/>
          <w:szCs w:val="36"/>
          <w:u w:val="single"/>
          <w:lang w:eastAsia="zh-CN"/>
        </w:rPr>
        <w:t>月</w:t>
      </w:r>
    </w:p>
    <w:p>
      <w:pPr>
        <w:ind w:firstLine="723" w:firstLineChars="300"/>
        <w:jc w:val="center"/>
        <w:rPr>
          <w:rFonts w:hint="eastAsia" w:ascii="宋体" w:hAnsi="宋体" w:eastAsia="宋体" w:cs="宋体"/>
          <w:color w:val="auto"/>
          <w:sz w:val="24"/>
          <w:szCs w:val="24"/>
        </w:rPr>
      </w:pPr>
      <w:r>
        <w:rPr>
          <w:rFonts w:hint="eastAsia" w:ascii="宋体" w:hAnsi="宋体" w:eastAsia="宋体" w:cs="宋体"/>
          <w:b/>
          <w:color w:val="auto"/>
          <w:sz w:val="24"/>
          <w:szCs w:val="24"/>
        </w:rPr>
        <w:br w:type="page"/>
      </w:r>
    </w:p>
    <w:sdt>
      <w:sdtPr>
        <w:rPr>
          <w:rFonts w:hint="eastAsia" w:ascii="宋体" w:hAnsi="宋体" w:eastAsia="宋体" w:cs="宋体"/>
          <w:color w:val="auto"/>
          <w:kern w:val="2"/>
          <w:sz w:val="21"/>
          <w:szCs w:val="21"/>
          <w:lang w:val="en-US" w:eastAsia="zh-CN" w:bidi="ar-SA"/>
        </w:rPr>
        <w:id w:val="147458749"/>
        <w15:color w:val="DBDBDB"/>
        <w:docPartObj>
          <w:docPartGallery w:val="Table of Contents"/>
          <w:docPartUnique/>
        </w:docPartObj>
      </w:sdtPr>
      <w:sdtEndPr>
        <w:rPr>
          <w:rFonts w:hint="eastAsia" w:ascii="宋体" w:hAnsi="宋体" w:eastAsia="宋体" w:cs="宋体"/>
          <w:b/>
          <w:bCs/>
          <w:caps/>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color w:val="auto"/>
            </w:rPr>
          </w:pPr>
          <w:r>
            <w:rPr>
              <w:rFonts w:hint="eastAsia" w:ascii="宋体" w:hAnsi="宋体" w:eastAsia="宋体" w:cs="宋体"/>
              <w:color w:val="auto"/>
              <w:sz w:val="21"/>
            </w:rPr>
            <w:t>目录</w:t>
          </w:r>
        </w:p>
        <w:p>
          <w:pPr>
            <w:pStyle w:val="20"/>
            <w:tabs>
              <w:tab w:val="right" w:leader="dot" w:pos="10629"/>
            </w:tabs>
            <w:rPr>
              <w:rFonts w:hint="eastAsia" w:ascii="宋体" w:hAnsi="宋体" w:eastAsia="宋体" w:cs="宋体"/>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TOC \o "1-2" \h \u </w:instrText>
          </w:r>
          <w:r>
            <w:rPr>
              <w:rFonts w:hint="eastAsia" w:ascii="宋体" w:hAnsi="宋体" w:eastAsia="宋体" w:cs="宋体"/>
              <w:color w:val="auto"/>
              <w:sz w:val="24"/>
              <w:szCs w:val="24"/>
            </w:rPr>
            <w:fldChar w:fldCharType="separate"/>
          </w: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_Toc1375 </w:instrText>
          </w:r>
          <w:r>
            <w:rPr>
              <w:rFonts w:hint="eastAsia" w:ascii="宋体" w:hAnsi="宋体" w:eastAsia="宋体" w:cs="宋体"/>
              <w:szCs w:val="24"/>
            </w:rPr>
            <w:fldChar w:fldCharType="separate"/>
          </w:r>
          <w:r>
            <w:rPr>
              <w:rFonts w:hint="eastAsia" w:ascii="宋体" w:hAnsi="宋体" w:eastAsia="宋体" w:cs="宋体"/>
              <w:lang w:val="en-US" w:eastAsia="zh-CN"/>
            </w:rPr>
            <w:t xml:space="preserve">第一章 </w:t>
          </w:r>
          <w:r>
            <w:rPr>
              <w:rFonts w:hint="eastAsia" w:ascii="宋体" w:hAnsi="宋体" w:eastAsia="宋体" w:cs="宋体"/>
            </w:rPr>
            <w:t>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_Toc1375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0"/>
            <w:tabs>
              <w:tab w:val="right" w:leader="dot" w:pos="10629"/>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_Toc24616 </w:instrText>
          </w:r>
          <w:r>
            <w:rPr>
              <w:rFonts w:hint="eastAsia" w:ascii="宋体" w:hAnsi="宋体" w:eastAsia="宋体" w:cs="宋体"/>
              <w:szCs w:val="24"/>
            </w:rPr>
            <w:fldChar w:fldCharType="separate"/>
          </w:r>
          <w:r>
            <w:rPr>
              <w:rFonts w:hint="eastAsia" w:ascii="宋体" w:hAnsi="宋体" w:eastAsia="宋体" w:cs="宋体"/>
              <w:szCs w:val="24"/>
              <w:lang w:eastAsia="zh-CN"/>
            </w:rPr>
            <w:t>第二章</w:t>
          </w:r>
          <w:r>
            <w:rPr>
              <w:rFonts w:hint="eastAsia" w:ascii="宋体" w:hAnsi="宋体" w:eastAsia="宋体" w:cs="宋体"/>
              <w:szCs w:val="24"/>
            </w:rPr>
            <w:t>投标须知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_Toc24616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_Toc10384 </w:instrText>
          </w:r>
          <w:r>
            <w:rPr>
              <w:rFonts w:hint="eastAsia" w:ascii="宋体" w:hAnsi="宋体" w:eastAsia="宋体" w:cs="宋体"/>
              <w:szCs w:val="24"/>
            </w:rPr>
            <w:fldChar w:fldCharType="separate"/>
          </w:r>
          <w:r>
            <w:rPr>
              <w:rFonts w:hint="eastAsia" w:ascii="宋体" w:hAnsi="宋体" w:eastAsia="宋体" w:cs="宋体"/>
            </w:rPr>
            <w:t>投标</w:t>
          </w:r>
          <w:r>
            <w:rPr>
              <w:rFonts w:hint="eastAsia" w:ascii="宋体" w:hAnsi="宋体" w:eastAsia="宋体" w:cs="宋体"/>
              <w:lang w:val="en-US" w:eastAsia="zh-CN"/>
            </w:rPr>
            <w:t>人</w:t>
          </w:r>
          <w:r>
            <w:rPr>
              <w:rFonts w:hint="eastAsia" w:ascii="宋体" w:hAnsi="宋体" w:eastAsia="宋体" w:cs="宋体"/>
            </w:rPr>
            <w:t>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_Toc10384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_Toc1023 </w:instrText>
          </w:r>
          <w:r>
            <w:rPr>
              <w:rFonts w:hint="eastAsia" w:ascii="宋体" w:hAnsi="宋体" w:eastAsia="宋体" w:cs="宋体"/>
              <w:szCs w:val="24"/>
            </w:rPr>
            <w:fldChar w:fldCharType="separate"/>
          </w:r>
          <w:r>
            <w:rPr>
              <w:rFonts w:hint="eastAsia" w:ascii="宋体" w:hAnsi="宋体" w:eastAsia="宋体" w:cs="宋体"/>
              <w:szCs w:val="24"/>
            </w:rPr>
            <w:t>1．总则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_Toc1023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_Toc22253 </w:instrText>
          </w:r>
          <w:r>
            <w:rPr>
              <w:rFonts w:hint="eastAsia" w:ascii="宋体" w:hAnsi="宋体" w:eastAsia="宋体" w:cs="宋体"/>
              <w:szCs w:val="24"/>
            </w:rPr>
            <w:fldChar w:fldCharType="separate"/>
          </w:r>
          <w:r>
            <w:rPr>
              <w:rFonts w:hint="eastAsia" w:ascii="宋体" w:hAnsi="宋体" w:eastAsia="宋体" w:cs="宋体"/>
              <w:szCs w:val="24"/>
            </w:rPr>
            <w:t>2. 招标文件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_Toc22253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_Toc30811 </w:instrText>
          </w:r>
          <w:r>
            <w:rPr>
              <w:rFonts w:hint="eastAsia" w:ascii="宋体" w:hAnsi="宋体" w:eastAsia="宋体" w:cs="宋体"/>
              <w:szCs w:val="24"/>
            </w:rPr>
            <w:fldChar w:fldCharType="separate"/>
          </w:r>
          <w:r>
            <w:rPr>
              <w:rFonts w:hint="eastAsia" w:ascii="宋体" w:hAnsi="宋体" w:eastAsia="宋体" w:cs="宋体"/>
              <w:szCs w:val="24"/>
            </w:rPr>
            <w:t>3. 投标文件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_Toc30811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_Toc27139 </w:instrText>
          </w:r>
          <w:r>
            <w:rPr>
              <w:rFonts w:hint="eastAsia" w:ascii="宋体" w:hAnsi="宋体" w:eastAsia="宋体" w:cs="宋体"/>
              <w:szCs w:val="24"/>
            </w:rPr>
            <w:fldChar w:fldCharType="separate"/>
          </w:r>
          <w:r>
            <w:rPr>
              <w:rFonts w:hint="eastAsia" w:ascii="宋体" w:hAnsi="宋体" w:eastAsia="宋体" w:cs="宋体"/>
              <w:szCs w:val="24"/>
            </w:rPr>
            <w:t>4. 投标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_Toc27139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_Toc7517 </w:instrText>
          </w:r>
          <w:r>
            <w:rPr>
              <w:rFonts w:hint="eastAsia" w:ascii="宋体" w:hAnsi="宋体" w:eastAsia="宋体" w:cs="宋体"/>
              <w:szCs w:val="24"/>
            </w:rPr>
            <w:fldChar w:fldCharType="separate"/>
          </w:r>
          <w:r>
            <w:rPr>
              <w:rFonts w:hint="eastAsia" w:ascii="宋体" w:hAnsi="宋体" w:eastAsia="宋体" w:cs="宋体"/>
              <w:bCs w:val="0"/>
              <w:szCs w:val="24"/>
            </w:rPr>
            <w:t>5. 开标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_Toc7517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_Toc32267 </w:instrText>
          </w:r>
          <w:r>
            <w:rPr>
              <w:rFonts w:hint="eastAsia" w:ascii="宋体" w:hAnsi="宋体" w:eastAsia="宋体" w:cs="宋体"/>
              <w:szCs w:val="24"/>
            </w:rPr>
            <w:fldChar w:fldCharType="separate"/>
          </w:r>
          <w:r>
            <w:rPr>
              <w:rFonts w:hint="eastAsia" w:ascii="宋体" w:hAnsi="宋体" w:eastAsia="宋体" w:cs="宋体"/>
              <w:szCs w:val="24"/>
            </w:rPr>
            <w:t>6. 评标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_Toc32267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_Toc28860 </w:instrText>
          </w:r>
          <w:r>
            <w:rPr>
              <w:rFonts w:hint="eastAsia" w:ascii="宋体" w:hAnsi="宋体" w:eastAsia="宋体" w:cs="宋体"/>
              <w:szCs w:val="24"/>
            </w:rPr>
            <w:fldChar w:fldCharType="separate"/>
          </w:r>
          <w:r>
            <w:rPr>
              <w:rFonts w:hint="eastAsia" w:ascii="宋体" w:hAnsi="宋体" w:eastAsia="宋体" w:cs="宋体"/>
              <w:szCs w:val="24"/>
            </w:rPr>
            <w:t>7. 合同授予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_Toc28860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_Toc3662 </w:instrText>
          </w:r>
          <w:r>
            <w:rPr>
              <w:rFonts w:hint="eastAsia" w:ascii="宋体" w:hAnsi="宋体" w:eastAsia="宋体" w:cs="宋体"/>
              <w:szCs w:val="24"/>
            </w:rPr>
            <w:fldChar w:fldCharType="separate"/>
          </w:r>
          <w:r>
            <w:rPr>
              <w:rFonts w:hint="eastAsia" w:ascii="宋体" w:hAnsi="宋体" w:eastAsia="宋体" w:cs="宋体"/>
              <w:szCs w:val="24"/>
            </w:rPr>
            <w:t>8. 重新招标和不再招标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_Toc3662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_Toc18118 </w:instrText>
          </w:r>
          <w:r>
            <w:rPr>
              <w:rFonts w:hint="eastAsia" w:ascii="宋体" w:hAnsi="宋体" w:eastAsia="宋体" w:cs="宋体"/>
              <w:szCs w:val="24"/>
            </w:rPr>
            <w:fldChar w:fldCharType="separate"/>
          </w:r>
          <w:r>
            <w:rPr>
              <w:rFonts w:hint="eastAsia" w:ascii="宋体" w:hAnsi="宋体" w:eastAsia="宋体" w:cs="宋体"/>
              <w:szCs w:val="24"/>
            </w:rPr>
            <w:t>9. 纪律和监督</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_Toc18118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_Toc27685 </w:instrText>
          </w:r>
          <w:r>
            <w:rPr>
              <w:rFonts w:hint="eastAsia" w:ascii="宋体" w:hAnsi="宋体" w:eastAsia="宋体" w:cs="宋体"/>
              <w:szCs w:val="24"/>
            </w:rPr>
            <w:fldChar w:fldCharType="separate"/>
          </w:r>
          <w:r>
            <w:rPr>
              <w:rFonts w:hint="eastAsia" w:ascii="宋体" w:hAnsi="宋体" w:eastAsia="宋体" w:cs="宋体"/>
              <w:szCs w:val="24"/>
            </w:rPr>
            <w:t>10. 需要补充的其他内容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_Toc27685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0"/>
            <w:tabs>
              <w:tab w:val="right" w:leader="dot" w:pos="10629"/>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_Toc8163 </w:instrText>
          </w:r>
          <w:r>
            <w:rPr>
              <w:rFonts w:hint="eastAsia" w:ascii="宋体" w:hAnsi="宋体" w:eastAsia="宋体" w:cs="宋体"/>
              <w:szCs w:val="24"/>
            </w:rPr>
            <w:fldChar w:fldCharType="separate"/>
          </w:r>
          <w:r>
            <w:rPr>
              <w:rFonts w:hint="eastAsia" w:ascii="宋体" w:hAnsi="宋体" w:eastAsia="宋体" w:cs="宋体"/>
              <w:szCs w:val="24"/>
            </w:rPr>
            <w:t>第三章 评标办法（综合评估法）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_Toc8163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_Toc10370 </w:instrText>
          </w:r>
          <w:r>
            <w:rPr>
              <w:rFonts w:hint="eastAsia" w:ascii="宋体" w:hAnsi="宋体" w:eastAsia="宋体" w:cs="宋体"/>
              <w:szCs w:val="24"/>
            </w:rPr>
            <w:fldChar w:fldCharType="separate"/>
          </w:r>
          <w:r>
            <w:rPr>
              <w:rFonts w:hint="eastAsia" w:ascii="宋体" w:hAnsi="宋体" w:eastAsia="宋体" w:cs="宋体"/>
              <w:bCs/>
              <w:szCs w:val="24"/>
            </w:rPr>
            <w:t>评标办法前附表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_Toc10370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_Toc13515 </w:instrText>
          </w:r>
          <w:r>
            <w:rPr>
              <w:rFonts w:hint="eastAsia" w:ascii="宋体" w:hAnsi="宋体" w:eastAsia="宋体" w:cs="宋体"/>
              <w:szCs w:val="24"/>
            </w:rPr>
            <w:fldChar w:fldCharType="separate"/>
          </w:r>
          <w:r>
            <w:rPr>
              <w:rFonts w:hint="eastAsia" w:ascii="宋体" w:hAnsi="宋体" w:eastAsia="宋体" w:cs="宋体"/>
              <w:szCs w:val="24"/>
            </w:rPr>
            <w:t>1. 评标方法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_Toc13515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_Toc10350 </w:instrText>
          </w:r>
          <w:r>
            <w:rPr>
              <w:rFonts w:hint="eastAsia" w:ascii="宋体" w:hAnsi="宋体" w:eastAsia="宋体" w:cs="宋体"/>
              <w:szCs w:val="24"/>
            </w:rPr>
            <w:fldChar w:fldCharType="separate"/>
          </w:r>
          <w:r>
            <w:rPr>
              <w:rFonts w:hint="eastAsia" w:ascii="宋体" w:hAnsi="宋体" w:eastAsia="宋体" w:cs="宋体"/>
              <w:szCs w:val="24"/>
            </w:rPr>
            <w:t>2. 评审标准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_Toc10350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4"/>
            <w:tabs>
              <w:tab w:val="right" w:leader="dot" w:pos="10629"/>
              <w:tab w:val="clear" w:pos="8296"/>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_Toc9020 </w:instrText>
          </w:r>
          <w:r>
            <w:rPr>
              <w:rFonts w:hint="eastAsia" w:ascii="宋体" w:hAnsi="宋体" w:eastAsia="宋体" w:cs="宋体"/>
              <w:szCs w:val="24"/>
            </w:rPr>
            <w:fldChar w:fldCharType="separate"/>
          </w:r>
          <w:r>
            <w:rPr>
              <w:rFonts w:hint="eastAsia" w:ascii="宋体" w:hAnsi="宋体" w:eastAsia="宋体" w:cs="宋体"/>
              <w:kern w:val="0"/>
              <w:szCs w:val="24"/>
            </w:rPr>
            <w:t>3. 评标程序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_Toc9020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0"/>
            <w:tabs>
              <w:tab w:val="right" w:leader="dot" w:pos="10629"/>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_Toc5154 </w:instrText>
          </w:r>
          <w:r>
            <w:rPr>
              <w:rFonts w:hint="eastAsia" w:ascii="宋体" w:hAnsi="宋体" w:eastAsia="宋体" w:cs="宋体"/>
              <w:szCs w:val="24"/>
            </w:rPr>
            <w:fldChar w:fldCharType="separate"/>
          </w:r>
          <w:r>
            <w:rPr>
              <w:rFonts w:hint="eastAsia" w:ascii="宋体" w:hAnsi="宋体" w:eastAsia="宋体" w:cs="宋体"/>
              <w:szCs w:val="24"/>
            </w:rPr>
            <w:t>第四章 工程建设委托监理合同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_Toc5154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0"/>
            <w:tabs>
              <w:tab w:val="right" w:leader="dot" w:pos="10629"/>
            </w:tabs>
            <w:rPr>
              <w:rFonts w:hint="eastAsia" w:ascii="宋体" w:hAnsi="宋体" w:eastAsia="宋体" w:cs="宋体"/>
            </w:rPr>
          </w:pPr>
          <w:r>
            <w:rPr>
              <w:rFonts w:hint="eastAsia" w:ascii="宋体" w:hAnsi="宋体" w:eastAsia="宋体" w:cs="宋体"/>
              <w:color w:val="auto"/>
              <w:szCs w:val="24"/>
            </w:rPr>
            <w:fldChar w:fldCharType="begin"/>
          </w:r>
          <w:r>
            <w:rPr>
              <w:rFonts w:hint="eastAsia" w:ascii="宋体" w:hAnsi="宋体" w:eastAsia="宋体" w:cs="宋体"/>
              <w:szCs w:val="24"/>
            </w:rPr>
            <w:instrText xml:space="preserve"> HYPERLINK \l _Toc13875 </w:instrText>
          </w:r>
          <w:r>
            <w:rPr>
              <w:rFonts w:hint="eastAsia" w:ascii="宋体" w:hAnsi="宋体" w:eastAsia="宋体" w:cs="宋体"/>
              <w:szCs w:val="24"/>
            </w:rPr>
            <w:fldChar w:fldCharType="separate"/>
          </w:r>
          <w:r>
            <w:rPr>
              <w:rFonts w:hint="eastAsia" w:ascii="宋体" w:hAnsi="宋体" w:eastAsia="宋体" w:cs="宋体"/>
              <w:szCs w:val="24"/>
            </w:rPr>
            <w:t>第五章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_Toc13875 \h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color w:val="auto"/>
              <w:szCs w:val="24"/>
            </w:rPr>
            <w:fldChar w:fldCharType="end"/>
          </w:r>
        </w:p>
        <w:p>
          <w:pPr>
            <w:pStyle w:val="20"/>
            <w:tabs>
              <w:tab w:val="right" w:leader="dot" w:pos="8935"/>
            </w:tabs>
            <w:rPr>
              <w:rFonts w:hint="eastAsia" w:ascii="宋体" w:hAnsi="宋体" w:eastAsia="宋体" w:cs="宋体"/>
              <w:lang w:val="en-US" w:eastAsia="zh-CN"/>
            </w:rPr>
          </w:pPr>
          <w:r>
            <w:rPr>
              <w:rFonts w:hint="eastAsia" w:ascii="宋体" w:hAnsi="宋体" w:eastAsia="宋体" w:cs="宋体"/>
              <w:color w:val="auto"/>
              <w:szCs w:val="24"/>
            </w:rPr>
            <w:fldChar w:fldCharType="end"/>
          </w:r>
          <w:bookmarkStart w:id="0" w:name="_Toc1391"/>
          <w:bookmarkStart w:id="1" w:name="_Toc19345"/>
        </w:p>
      </w:sdtContent>
    </w:sdt>
    <w:p>
      <w:pPr>
        <w:pStyle w:val="2"/>
        <w:keepNext/>
        <w:keepLines/>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lang w:val="en-US" w:eastAsia="zh-CN"/>
        </w:rPr>
      </w:pPr>
      <w:bookmarkStart w:id="2" w:name="_Toc1375"/>
    </w:p>
    <w:p>
      <w:pPr>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bookmarkEnd w:id="0"/>
    <w:bookmarkEnd w:id="1"/>
    <w:bookmarkEnd w:id="2"/>
    <w:p>
      <w:pPr>
        <w:pStyle w:val="2"/>
        <w:pageBreakBefore/>
        <w:jc w:val="center"/>
        <w:rPr>
          <w:rFonts w:hint="eastAsia" w:ascii="宋体" w:hAnsi="宋体" w:eastAsia="宋体" w:cs="宋体"/>
          <w:highlight w:val="red"/>
        </w:rPr>
      </w:pPr>
      <w:bookmarkStart w:id="3" w:name="_Toc424731802"/>
      <w:bookmarkStart w:id="4" w:name="_Toc256000000"/>
      <w:bookmarkStart w:id="5" w:name="_Toc424826584"/>
      <w:bookmarkStart w:id="6" w:name="_Toc424730913"/>
      <w:bookmarkStart w:id="7" w:name="_Toc24616"/>
      <w:bookmarkStart w:id="8" w:name="_Toc14692"/>
      <w:bookmarkStart w:id="9" w:name="_Toc20238"/>
      <w:bookmarkStart w:id="10" w:name="_Toc9259"/>
      <w:r>
        <w:rPr>
          <w:rFonts w:hint="eastAsia" w:ascii="宋体" w:hAnsi="宋体" w:eastAsia="宋体" w:cs="宋体"/>
          <w:highlight w:val="white"/>
        </w:rPr>
        <w:t>第一章 招标公告</w:t>
      </w:r>
      <w:bookmarkEnd w:id="3"/>
      <w:bookmarkEnd w:id="4"/>
      <w:bookmarkEnd w:id="5"/>
      <w:bookmarkEnd w:id="6"/>
      <w:bookmarkStart w:id="11" w:name="EBb5538ecc420745539a4a29d62ee7562c"/>
    </w:p>
    <w:bookmarkEnd w:id="11"/>
    <w:p>
      <w:pPr>
        <w:widowControl w:val="0"/>
        <w:spacing w:line="620" w:lineRule="exact"/>
        <w:jc w:val="center"/>
        <w:rPr>
          <w:rFonts w:hint="eastAsia" w:ascii="宋体" w:hAnsi="宋体" w:eastAsia="宋体" w:cs="宋体"/>
          <w:b/>
          <w:bCs/>
          <w:color w:val="auto"/>
          <w:kern w:val="2"/>
          <w:sz w:val="36"/>
          <w:szCs w:val="44"/>
          <w:lang w:val="en-US" w:eastAsia="zh-CN" w:bidi="ar-SA"/>
        </w:rPr>
      </w:pPr>
      <w:bookmarkStart w:id="12" w:name="_Toc22983"/>
      <w:bookmarkStart w:id="13" w:name="_Toc28638"/>
      <w:r>
        <w:rPr>
          <w:rFonts w:hint="eastAsia" w:ascii="宋体" w:hAnsi="宋体" w:eastAsia="宋体" w:cs="宋体"/>
          <w:b/>
          <w:bCs/>
          <w:color w:val="auto"/>
          <w:kern w:val="2"/>
          <w:sz w:val="40"/>
          <w:szCs w:val="48"/>
          <w:lang w:val="en-US" w:eastAsia="zh-CN" w:bidi="ar-SA"/>
        </w:rPr>
        <w:t>2023年唐河县农村人居环境整治项目招标公告</w:t>
      </w:r>
      <w:bookmarkEnd w:id="12"/>
      <w:bookmarkEnd w:id="13"/>
    </w:p>
    <w:p>
      <w:pPr>
        <w:bidi w:val="0"/>
        <w:spacing w:line="360" w:lineRule="auto"/>
        <w:ind w:left="0" w:leftChars="0" w:firstLine="420" w:firstLineChars="150"/>
        <w:rPr>
          <w:rFonts w:eastAsia="宋体" w:cs="Times New Roman"/>
          <w:color w:val="auto"/>
          <w:sz w:val="28"/>
          <w:szCs w:val="32"/>
        </w:rPr>
      </w:pPr>
      <w:r>
        <w:rPr>
          <w:rFonts w:eastAsia="宋体" w:cs="Times New Roman"/>
          <w:color w:val="auto"/>
          <w:sz w:val="28"/>
          <w:szCs w:val="32"/>
        </w:rPr>
        <w:t>一、招标条件:</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lang w:eastAsia="zh-CN"/>
        </w:rPr>
        <w:t>2023年唐河县农村人居环境整治项目</w:t>
      </w:r>
      <w:r>
        <w:rPr>
          <w:rFonts w:hint="eastAsia" w:eastAsia="宋体" w:cs="Times New Roman"/>
          <w:color w:val="auto"/>
          <w:sz w:val="28"/>
          <w:szCs w:val="32"/>
        </w:rPr>
        <w:t>已由唐发改农经【2022】228号文批准建设；资金来源为</w:t>
      </w:r>
      <w:r>
        <w:rPr>
          <w:rFonts w:hint="eastAsia" w:ascii="宋体" w:hAnsi="宋体"/>
          <w:color w:val="auto"/>
          <w:sz w:val="28"/>
          <w:szCs w:val="28"/>
          <w:highlight w:val="none"/>
          <w:lang w:val="en-US"/>
        </w:rPr>
        <w:t>中央资金及县财政配套资金</w:t>
      </w:r>
      <w:r>
        <w:rPr>
          <w:rFonts w:hint="eastAsia" w:eastAsia="宋体" w:cs="Times New Roman"/>
          <w:color w:val="auto"/>
          <w:sz w:val="28"/>
          <w:szCs w:val="32"/>
        </w:rPr>
        <w:t>。招标人为唐河县农业农村局，招标代理机构为</w:t>
      </w:r>
      <w:r>
        <w:rPr>
          <w:rFonts w:hint="eastAsia" w:eastAsia="宋体" w:cs="Times New Roman"/>
          <w:color w:val="auto"/>
          <w:sz w:val="28"/>
          <w:szCs w:val="32"/>
          <w:lang w:eastAsia="zh-CN"/>
        </w:rPr>
        <w:t>河南卓建工程管理有限公司</w:t>
      </w:r>
      <w:r>
        <w:rPr>
          <w:rFonts w:hint="eastAsia" w:eastAsia="宋体" w:cs="Times New Roman"/>
          <w:color w:val="auto"/>
          <w:sz w:val="28"/>
          <w:szCs w:val="32"/>
        </w:rPr>
        <w:t>。项目已具备招标条件，现对该项目</w:t>
      </w:r>
      <w:r>
        <w:rPr>
          <w:rFonts w:hint="eastAsia" w:ascii="Calibri" w:eastAsia="宋体" w:cs="Times New Roman"/>
          <w:color w:val="auto"/>
          <w:sz w:val="28"/>
          <w:szCs w:val="32"/>
          <w:lang w:val="en-US" w:eastAsia="zh-CN"/>
        </w:rPr>
        <w:t>工程</w:t>
      </w:r>
      <w:r>
        <w:rPr>
          <w:rFonts w:hint="eastAsia" w:eastAsia="宋体" w:cs="Times New Roman"/>
          <w:color w:val="auto"/>
          <w:sz w:val="28"/>
          <w:szCs w:val="32"/>
        </w:rPr>
        <w:t>施工进行国内公开招标。本次招标采用全流程电子辅助招投标。</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二、项目概况及编号</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2.1工程名称：</w:t>
      </w:r>
      <w:r>
        <w:rPr>
          <w:rFonts w:hint="eastAsia" w:eastAsia="宋体" w:cs="Times New Roman"/>
          <w:color w:val="auto"/>
          <w:sz w:val="28"/>
          <w:szCs w:val="32"/>
          <w:lang w:eastAsia="zh-CN"/>
        </w:rPr>
        <w:t>2023年唐河县农村人居环境整治项目</w:t>
      </w: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eastAsia="宋体" w:cs="Times New Roman"/>
          <w:color w:val="auto"/>
          <w:sz w:val="28"/>
          <w:szCs w:val="32"/>
        </w:rPr>
        <w:t>2.2招标编号：thggzygcjy-2023-</w:t>
      </w:r>
      <w:r>
        <w:rPr>
          <w:rFonts w:hint="eastAsia" w:eastAsia="宋体" w:cs="Times New Roman"/>
          <w:color w:val="auto"/>
          <w:sz w:val="28"/>
          <w:szCs w:val="32"/>
          <w:lang w:val="en-US" w:eastAsia="zh-CN"/>
        </w:rPr>
        <w:t>120</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2.3建设地点：唐河县祁仪镇油坊岗村、古城乡罗岗村、阚庄村，城郊乡大井村，源潭镇袁庄村、张岗村，桐寨铺镇桐寨铺村，上屯镇茨园村，张店镇吴宅村，郭滩镇赵庄村，东王集乡李庄村，苍台镇宋湾村；</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2.4招标范围：</w:t>
      </w:r>
    </w:p>
    <w:p>
      <w:pPr>
        <w:bidi w:val="0"/>
        <w:spacing w:line="360" w:lineRule="auto"/>
        <w:ind w:left="0" w:leftChars="0" w:firstLine="420" w:firstLineChars="150"/>
        <w:rPr>
          <w:rFonts w:hint="eastAsia" w:eastAsia="宋体" w:cs="Times New Roman"/>
          <w:color w:val="auto"/>
          <w:sz w:val="28"/>
          <w:szCs w:val="32"/>
        </w:rPr>
      </w:pPr>
      <w:r>
        <w:rPr>
          <w:rFonts w:hint="eastAsia" w:eastAsia="宋体" w:cs="Times New Roman"/>
          <w:color w:val="auto"/>
          <w:sz w:val="28"/>
          <w:szCs w:val="32"/>
          <w:lang w:eastAsia="zh-CN"/>
        </w:rPr>
        <w:t>施工</w:t>
      </w:r>
      <w:r>
        <w:rPr>
          <w:rFonts w:hint="eastAsia" w:eastAsia="宋体" w:cs="Times New Roman"/>
          <w:color w:val="auto"/>
          <w:sz w:val="28"/>
          <w:szCs w:val="32"/>
        </w:rPr>
        <w:t>标：污水收集处理工程、坑塘沟渠湿地治理工程、道路桥涵工程、环境整治工程等内容</w:t>
      </w:r>
      <w:r>
        <w:rPr>
          <w:rFonts w:hint="eastAsia" w:eastAsia="宋体" w:cs="Times New Roman"/>
          <w:color w:val="auto"/>
          <w:sz w:val="28"/>
          <w:szCs w:val="32"/>
          <w:lang w:eastAsia="zh-CN"/>
        </w:rPr>
        <w:t>（</w:t>
      </w:r>
      <w:r>
        <w:rPr>
          <w:rFonts w:hint="eastAsia" w:eastAsia="宋体" w:cs="Times New Roman"/>
          <w:color w:val="auto"/>
          <w:sz w:val="28"/>
          <w:szCs w:val="32"/>
        </w:rPr>
        <w:t>施工图纸范围内及工程量清单包含的所有工程内容</w:t>
      </w:r>
      <w:r>
        <w:rPr>
          <w:rFonts w:hint="eastAsia" w:eastAsia="宋体" w:cs="Times New Roman"/>
          <w:color w:val="auto"/>
          <w:sz w:val="28"/>
          <w:szCs w:val="32"/>
          <w:lang w:eastAsia="zh-CN"/>
        </w:rPr>
        <w:t>）</w:t>
      </w:r>
      <w:r>
        <w:rPr>
          <w:rFonts w:hint="eastAsia" w:eastAsia="宋体" w:cs="Times New Roman"/>
          <w:color w:val="auto"/>
          <w:sz w:val="28"/>
          <w:szCs w:val="32"/>
        </w:rPr>
        <w:t>；</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lang w:eastAsia="zh-CN"/>
        </w:rPr>
        <w:t>监理标：施工期及缺陷责任期的监理服务；</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2.5工   期：</w:t>
      </w:r>
      <w:r>
        <w:rPr>
          <w:rFonts w:hint="eastAsia" w:eastAsia="宋体" w:cs="Times New Roman"/>
          <w:color w:val="auto"/>
          <w:sz w:val="28"/>
          <w:szCs w:val="32"/>
          <w:lang w:eastAsia="zh-CN"/>
        </w:rPr>
        <w:t>施工标：</w:t>
      </w:r>
      <w:r>
        <w:rPr>
          <w:rFonts w:hint="eastAsia" w:eastAsia="宋体" w:cs="Times New Roman"/>
          <w:color w:val="auto"/>
          <w:sz w:val="28"/>
          <w:szCs w:val="32"/>
          <w:lang w:val="en-US" w:eastAsia="zh-CN"/>
        </w:rPr>
        <w:t>300</w:t>
      </w:r>
      <w:r>
        <w:rPr>
          <w:rFonts w:hint="eastAsia" w:eastAsia="宋体" w:cs="Times New Roman"/>
          <w:color w:val="auto"/>
          <w:sz w:val="28"/>
          <w:szCs w:val="32"/>
        </w:rPr>
        <w:t>日历天；</w:t>
      </w:r>
      <w:r>
        <w:rPr>
          <w:rFonts w:hint="eastAsia" w:eastAsia="宋体" w:cs="Times New Roman"/>
          <w:color w:val="auto"/>
          <w:sz w:val="28"/>
          <w:szCs w:val="32"/>
          <w:lang w:eastAsia="zh-CN"/>
        </w:rPr>
        <w:t>监理标：随施工工期</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2.6质量要求：合格;</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2.7标段划分：共划分</w:t>
      </w:r>
      <w:r>
        <w:rPr>
          <w:rFonts w:hint="eastAsia" w:eastAsia="宋体" w:cs="Times New Roman"/>
          <w:color w:val="auto"/>
          <w:sz w:val="28"/>
          <w:szCs w:val="32"/>
          <w:lang w:val="en-US" w:eastAsia="zh-CN"/>
        </w:rPr>
        <w:t>3</w:t>
      </w:r>
      <w:r>
        <w:rPr>
          <w:rFonts w:hint="eastAsia" w:eastAsia="宋体" w:cs="Times New Roman"/>
          <w:color w:val="auto"/>
          <w:sz w:val="28"/>
          <w:szCs w:val="32"/>
        </w:rPr>
        <w:t>个标段：</w:t>
      </w:r>
    </w:p>
    <w:p>
      <w:pPr>
        <w:bidi w:val="0"/>
        <w:spacing w:line="360" w:lineRule="auto"/>
        <w:ind w:left="0" w:leftChars="0" w:firstLine="420" w:firstLineChars="150"/>
        <w:rPr>
          <w:rFonts w:hint="eastAsia" w:eastAsia="宋体" w:cs="Times New Roman"/>
          <w:color w:val="auto"/>
          <w:sz w:val="28"/>
          <w:szCs w:val="32"/>
        </w:rPr>
      </w:pPr>
      <w:r>
        <w:rPr>
          <w:rFonts w:hint="eastAsia" w:eastAsia="宋体" w:cs="Times New Roman"/>
          <w:color w:val="auto"/>
          <w:sz w:val="28"/>
          <w:szCs w:val="32"/>
        </w:rPr>
        <w:t>一标段：污水收集处理工程、坑塘沟渠湿地治理工程、道路桥涵工程、环境整治工程等（古城乡阚庄村、城郊乡大井村、桐寨铺镇桐寨铺村、上屯镇茨园村、张店镇吴宅村、郭滩镇赵庄村、苍台镇宋湾村）；</w:t>
      </w:r>
    </w:p>
    <w:p>
      <w:pPr>
        <w:bidi w:val="0"/>
        <w:spacing w:line="360" w:lineRule="auto"/>
        <w:ind w:left="0" w:leftChars="0" w:firstLine="420" w:firstLineChars="150"/>
        <w:rPr>
          <w:rFonts w:hint="eastAsia" w:eastAsia="宋体" w:cs="Times New Roman"/>
          <w:color w:val="auto"/>
          <w:sz w:val="28"/>
          <w:szCs w:val="32"/>
        </w:rPr>
      </w:pPr>
      <w:r>
        <w:rPr>
          <w:rFonts w:hint="eastAsia" w:eastAsia="宋体" w:cs="Times New Roman"/>
          <w:color w:val="auto"/>
          <w:sz w:val="28"/>
          <w:szCs w:val="32"/>
          <w:lang w:eastAsia="zh-CN"/>
        </w:rPr>
        <w:t>二</w:t>
      </w:r>
      <w:r>
        <w:rPr>
          <w:rFonts w:hint="eastAsia" w:eastAsia="宋体" w:cs="Times New Roman"/>
          <w:color w:val="auto"/>
          <w:sz w:val="28"/>
          <w:szCs w:val="32"/>
        </w:rPr>
        <w:t>标段：污水收集处理工程、坑塘沟渠湿地治理工程、道路桥涵工程、环境整治工程等（祁仪镇油坊岗村、古城乡罗岗村、源潭镇袁庄村、张岗村、东王集乡李庄村）</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lang w:eastAsia="zh-CN"/>
        </w:rPr>
        <w:t>三</w:t>
      </w:r>
      <w:r>
        <w:rPr>
          <w:rFonts w:hint="eastAsia" w:eastAsia="宋体" w:cs="Times New Roman"/>
          <w:color w:val="auto"/>
          <w:sz w:val="28"/>
          <w:szCs w:val="32"/>
        </w:rPr>
        <w:t>标段：</w:t>
      </w:r>
      <w:r>
        <w:rPr>
          <w:rFonts w:hint="eastAsia" w:eastAsia="宋体" w:cs="Times New Roman"/>
          <w:color w:val="auto"/>
          <w:sz w:val="28"/>
          <w:szCs w:val="32"/>
          <w:lang w:eastAsia="zh-CN"/>
        </w:rPr>
        <w:t>项目施工期及缺陷责任期的监理服务</w:t>
      </w:r>
    </w:p>
    <w:p>
      <w:pPr>
        <w:numPr>
          <w:ilvl w:val="0"/>
          <w:numId w:val="2"/>
        </w:numPr>
        <w:bidi w:val="0"/>
        <w:spacing w:line="360" w:lineRule="auto"/>
        <w:ind w:left="0" w:leftChars="0" w:firstLine="420" w:firstLineChars="150"/>
        <w:rPr>
          <w:rFonts w:hint="eastAsia" w:eastAsia="宋体" w:cs="Times New Roman"/>
          <w:color w:val="auto"/>
          <w:sz w:val="28"/>
          <w:szCs w:val="32"/>
        </w:rPr>
      </w:pPr>
      <w:r>
        <w:rPr>
          <w:rFonts w:hint="eastAsia" w:eastAsia="宋体" w:cs="Times New Roman"/>
          <w:color w:val="auto"/>
          <w:sz w:val="28"/>
          <w:szCs w:val="32"/>
        </w:rPr>
        <w:t>投标人资格要求:</w:t>
      </w:r>
    </w:p>
    <w:p>
      <w:pPr>
        <w:numP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astAsia="宋体" w:cs="Times New Roman"/>
          <w:color w:val="auto"/>
          <w:sz w:val="28"/>
          <w:szCs w:val="32"/>
          <w:lang w:val="en-US" w:eastAsia="zh-CN"/>
        </w:rPr>
        <w:t>3.1</w:t>
      </w:r>
      <w:r>
        <w:rPr>
          <w:rFonts w:hint="eastAsia" w:eastAsia="宋体" w:cs="Times New Roman"/>
          <w:color w:val="auto"/>
          <w:sz w:val="28"/>
          <w:szCs w:val="32"/>
          <w:lang w:eastAsia="zh-CN"/>
        </w:rPr>
        <w:t>施工标：</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3.1</w:t>
      </w:r>
      <w:r>
        <w:rPr>
          <w:rFonts w:hint="eastAsia" w:eastAsia="宋体" w:cs="Times New Roman"/>
          <w:color w:val="auto"/>
          <w:sz w:val="28"/>
          <w:szCs w:val="32"/>
          <w:lang w:val="en-US" w:eastAsia="zh-CN"/>
        </w:rPr>
        <w:t>.1</w:t>
      </w:r>
      <w:r>
        <w:rPr>
          <w:rFonts w:hint="eastAsia" w:eastAsia="宋体" w:cs="Times New Roman"/>
          <w:color w:val="auto"/>
          <w:sz w:val="28"/>
          <w:szCs w:val="32"/>
          <w:lang w:eastAsia="zh-CN"/>
        </w:rPr>
        <w:t>、投标人应具有独立法人资格且具有有效的营业执照；</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.1</w:t>
      </w:r>
      <w:r>
        <w:rPr>
          <w:rFonts w:hint="eastAsia" w:eastAsia="宋体" w:cs="Times New Roman"/>
          <w:color w:val="auto"/>
          <w:sz w:val="28"/>
          <w:szCs w:val="32"/>
          <w:lang w:val="en-US" w:eastAsia="zh-CN"/>
        </w:rPr>
        <w:t>.2</w:t>
      </w:r>
      <w:r>
        <w:rPr>
          <w:rFonts w:hint="eastAsia" w:ascii="Calibri" w:eastAsia="宋体" w:cs="Times New Roman"/>
          <w:color w:val="auto"/>
          <w:sz w:val="28"/>
          <w:szCs w:val="32"/>
          <w:lang w:val="en-US" w:eastAsia="zh-CN"/>
        </w:rPr>
        <w:t>、投标人</w:t>
      </w:r>
      <w:r>
        <w:rPr>
          <w:rFonts w:hint="eastAsia" w:eastAsia="宋体" w:cs="Times New Roman"/>
          <w:color w:val="auto"/>
          <w:sz w:val="28"/>
          <w:szCs w:val="32"/>
          <w:lang w:val="en-US" w:eastAsia="zh-CN"/>
        </w:rPr>
        <w:t>应</w:t>
      </w:r>
      <w:r>
        <w:rPr>
          <w:rFonts w:hint="eastAsia" w:eastAsia="宋体" w:cs="Times New Roman"/>
          <w:color w:val="auto"/>
          <w:sz w:val="28"/>
          <w:szCs w:val="32"/>
        </w:rPr>
        <w:t>具有市政公用工程施工总承包叁级及以上资质，同时具备有效的企业安全生产许可证，并在人员、设备、资金等方面具备相应的专业能力。</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.1</w:t>
      </w:r>
      <w:r>
        <w:rPr>
          <w:rFonts w:hint="eastAsia" w:eastAsia="宋体" w:cs="Times New Roman"/>
          <w:color w:val="auto"/>
          <w:sz w:val="28"/>
          <w:szCs w:val="32"/>
          <w:lang w:val="en-US" w:eastAsia="zh-CN"/>
        </w:rPr>
        <w:t>.3</w:t>
      </w:r>
      <w:r>
        <w:rPr>
          <w:rFonts w:hint="eastAsia" w:ascii="Calibri" w:eastAsia="宋体" w:cs="Times New Roman"/>
          <w:color w:val="auto"/>
          <w:sz w:val="28"/>
          <w:szCs w:val="32"/>
          <w:lang w:val="en-US" w:eastAsia="zh-CN"/>
        </w:rPr>
        <w:t>、拟派项目经理须具有市政公用工程专业贰级及以上注册建造师执业资格证书、有效期内安全生产考核合格证书，企业出具的拟任项目经理无在建承诺书</w:t>
      </w:r>
      <w:r>
        <w:rPr>
          <w:rFonts w:hint="eastAsia" w:eastAsia="宋体" w:cs="Times New Roman"/>
          <w:color w:val="auto"/>
          <w:sz w:val="28"/>
          <w:szCs w:val="32"/>
        </w:rPr>
        <w:t>；</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.1</w:t>
      </w:r>
      <w:r>
        <w:rPr>
          <w:rFonts w:hint="eastAsia" w:eastAsia="宋体" w:cs="Times New Roman"/>
          <w:color w:val="auto"/>
          <w:sz w:val="28"/>
          <w:szCs w:val="32"/>
          <w:lang w:val="en-US" w:eastAsia="zh-CN"/>
        </w:rPr>
        <w:t>.4</w:t>
      </w:r>
      <w:r>
        <w:rPr>
          <w:rFonts w:hint="eastAsia" w:ascii="Calibri" w:eastAsia="宋体" w:cs="Times New Roman"/>
          <w:color w:val="auto"/>
          <w:sz w:val="28"/>
          <w:szCs w:val="32"/>
          <w:lang w:val="en-US" w:eastAsia="zh-CN"/>
        </w:rPr>
        <w:t>、提供</w:t>
      </w:r>
      <w:r>
        <w:rPr>
          <w:rFonts w:hint="eastAsia" w:eastAsia="宋体" w:cs="Times New Roman"/>
          <w:color w:val="auto"/>
          <w:sz w:val="28"/>
          <w:szCs w:val="32"/>
        </w:rPr>
        <w:t>近三年经审计的财务报告，财务状况良好，信誉良好（成立不足三年的企业，从成立之日算起）；</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1.5</w:t>
      </w:r>
      <w:r>
        <w:rPr>
          <w:rFonts w:hint="eastAsia" w:ascii="Calibri" w:eastAsia="宋体" w:cs="Times New Roman"/>
          <w:color w:val="auto"/>
          <w:sz w:val="28"/>
          <w:szCs w:val="32"/>
          <w:lang w:val="en-US" w:eastAsia="zh-CN"/>
        </w:rPr>
        <w:t>、</w:t>
      </w:r>
      <w:r>
        <w:rPr>
          <w:rFonts w:hint="eastAsia" w:eastAsia="宋体" w:cs="Times New Roman"/>
          <w:color w:val="auto"/>
          <w:sz w:val="28"/>
          <w:szCs w:val="32"/>
        </w:rPr>
        <w:t>投标人出具的无行贿行为承诺</w:t>
      </w:r>
      <w:r>
        <w:rPr>
          <w:rFonts w:hint="eastAsia" w:ascii="Calibri" w:eastAsia="宋体" w:cs="Times New Roman"/>
          <w:color w:val="auto"/>
          <w:sz w:val="28"/>
          <w:szCs w:val="32"/>
          <w:lang w:val="en-US" w:eastAsia="zh-CN"/>
        </w:rPr>
        <w:t>函</w:t>
      </w:r>
      <w:r>
        <w:rPr>
          <w:rFonts w:hint="eastAsia" w:eastAsia="宋体" w:cs="Times New Roman"/>
          <w:color w:val="auto"/>
          <w:sz w:val="28"/>
          <w:szCs w:val="32"/>
        </w:rPr>
        <w:t>（承诺对象包括投标人、法定代表人、项目经理）；</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1.6</w:t>
      </w:r>
      <w:r>
        <w:rPr>
          <w:rFonts w:hint="eastAsia" w:ascii="Calibri" w:eastAsia="宋体" w:cs="Times New Roman"/>
          <w:color w:val="auto"/>
          <w:sz w:val="28"/>
          <w:szCs w:val="32"/>
          <w:lang w:val="en-US" w:eastAsia="zh-CN"/>
        </w:rPr>
        <w:t>、列入失信被执行人、重大税收违法案件当事人名单的投标人，拒绝参与本项目招投标活动；【查询渠道：“信用中国”网站（www.creditchina.gov.cn）；“中国裁判文书网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r>
        <w:rPr>
          <w:rFonts w:hint="eastAsia" w:eastAsia="宋体" w:cs="Times New Roman"/>
          <w:color w:val="auto"/>
          <w:sz w:val="28"/>
          <w:szCs w:val="32"/>
        </w:rPr>
        <w:t xml:space="preserve">； </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1.</w:t>
      </w:r>
      <w:r>
        <w:rPr>
          <w:rFonts w:hint="eastAsia" w:ascii="Calibri" w:eastAsia="宋体" w:cs="Times New Roman"/>
          <w:color w:val="auto"/>
          <w:sz w:val="28"/>
          <w:szCs w:val="32"/>
          <w:lang w:val="en-US" w:eastAsia="zh-CN"/>
        </w:rPr>
        <w:t>7、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r>
        <w:rPr>
          <w:rFonts w:hint="eastAsia" w:eastAsia="宋体" w:cs="Times New Roman"/>
          <w:color w:val="auto"/>
          <w:sz w:val="28"/>
          <w:szCs w:val="32"/>
        </w:rPr>
        <w:t>。</w:t>
      </w:r>
    </w:p>
    <w:p>
      <w:pPr>
        <w:bidi w:val="0"/>
        <w:spacing w:line="360" w:lineRule="auto"/>
        <w:ind w:left="0" w:leftChars="0" w:firstLine="420" w:firstLineChars="150"/>
        <w:rPr>
          <w:rFonts w:hint="eastAsia"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1.</w:t>
      </w:r>
      <w:r>
        <w:rPr>
          <w:rFonts w:hint="eastAsia" w:ascii="Calibri" w:eastAsia="宋体" w:cs="Times New Roman"/>
          <w:color w:val="auto"/>
          <w:sz w:val="28"/>
          <w:szCs w:val="32"/>
          <w:lang w:val="en-US" w:eastAsia="zh-CN"/>
        </w:rPr>
        <w:t>8、</w:t>
      </w:r>
      <w:r>
        <w:rPr>
          <w:rFonts w:hint="eastAsia" w:eastAsia="宋体" w:cs="Times New Roman"/>
          <w:color w:val="auto"/>
          <w:sz w:val="28"/>
          <w:szCs w:val="32"/>
        </w:rPr>
        <w:t>本次招标不接受联合体投标，不允许分包和转包。</w:t>
      </w:r>
    </w:p>
    <w:p>
      <w:pPr>
        <w:bidi w:val="0"/>
        <w:spacing w:line="360" w:lineRule="auto"/>
        <w:ind w:left="0" w:leftChars="0" w:firstLine="420" w:firstLineChars="150"/>
        <w:rPr>
          <w:rFonts w:hint="eastAsia" w:eastAsia="宋体" w:cs="Times New Roman"/>
          <w:color w:val="auto"/>
          <w:sz w:val="28"/>
          <w:szCs w:val="32"/>
          <w:lang w:val="en-US" w:eastAsia="zh-CN"/>
        </w:rPr>
      </w:pPr>
      <w:r>
        <w:rPr>
          <w:rFonts w:hint="eastAsia" w:eastAsia="宋体" w:cs="Times New Roman"/>
          <w:color w:val="auto"/>
          <w:sz w:val="28"/>
          <w:szCs w:val="32"/>
          <w:lang w:val="en-US" w:eastAsia="zh-CN"/>
        </w:rPr>
        <w:t>3.2监理标：</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3.</w:t>
      </w:r>
      <w:r>
        <w:rPr>
          <w:rFonts w:hint="eastAsia" w:eastAsia="宋体" w:cs="Times New Roman"/>
          <w:color w:val="auto"/>
          <w:sz w:val="28"/>
          <w:szCs w:val="32"/>
          <w:lang w:val="en-US" w:eastAsia="zh-CN"/>
        </w:rPr>
        <w:t>2.1</w:t>
      </w:r>
      <w:r>
        <w:rPr>
          <w:rFonts w:hint="eastAsia" w:eastAsia="宋体" w:cs="Times New Roman"/>
          <w:color w:val="auto"/>
          <w:sz w:val="28"/>
          <w:szCs w:val="32"/>
          <w:lang w:eastAsia="zh-CN"/>
        </w:rPr>
        <w:t>、投标人应具有独立法人资格且具有有效的营业执照；</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w:t>
      </w:r>
      <w:r>
        <w:rPr>
          <w:rFonts w:hint="eastAsia" w:eastAsia="宋体" w:cs="Times New Roman"/>
          <w:color w:val="auto"/>
          <w:sz w:val="28"/>
          <w:szCs w:val="32"/>
          <w:lang w:val="en-US" w:eastAsia="zh-CN"/>
        </w:rPr>
        <w:t>2.2</w:t>
      </w:r>
      <w:r>
        <w:rPr>
          <w:rFonts w:hint="eastAsia" w:ascii="Calibri" w:eastAsia="宋体" w:cs="Times New Roman"/>
          <w:color w:val="auto"/>
          <w:sz w:val="28"/>
          <w:szCs w:val="32"/>
          <w:lang w:val="en-US" w:eastAsia="zh-CN"/>
        </w:rPr>
        <w:t>、投标人</w:t>
      </w:r>
      <w:r>
        <w:rPr>
          <w:rFonts w:hint="eastAsia" w:eastAsia="宋体" w:cs="Times New Roman"/>
          <w:color w:val="auto"/>
          <w:sz w:val="28"/>
          <w:szCs w:val="32"/>
          <w:lang w:val="en-US" w:eastAsia="zh-CN"/>
        </w:rPr>
        <w:t>应</w:t>
      </w:r>
      <w:r>
        <w:rPr>
          <w:rFonts w:hint="eastAsia" w:eastAsia="宋体" w:cs="Times New Roman"/>
          <w:color w:val="auto"/>
          <w:sz w:val="28"/>
          <w:szCs w:val="32"/>
        </w:rPr>
        <w:t>具有市政公用工程监理乙级及以上资质</w:t>
      </w:r>
      <w:r>
        <w:rPr>
          <w:rFonts w:hint="eastAsia" w:eastAsia="宋体" w:cs="Times New Roman"/>
          <w:color w:val="auto"/>
          <w:sz w:val="28"/>
          <w:szCs w:val="32"/>
          <w:lang w:eastAsia="zh-CN"/>
        </w:rPr>
        <w:t>或监理综合资质</w:t>
      </w:r>
      <w:r>
        <w:rPr>
          <w:rFonts w:hint="eastAsia" w:eastAsia="宋体" w:cs="Times New Roman"/>
          <w:color w:val="auto"/>
          <w:sz w:val="28"/>
          <w:szCs w:val="32"/>
        </w:rPr>
        <w:t>，并在人员、设备、资金等方面具备相应的专业能力。</w:t>
      </w:r>
    </w:p>
    <w:p>
      <w:pPr>
        <w:spacing w:before="214" w:line="359" w:lineRule="auto"/>
        <w:ind w:left="1" w:firstLine="552"/>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w:t>
      </w:r>
      <w:r>
        <w:rPr>
          <w:rFonts w:hint="eastAsia" w:eastAsia="宋体" w:cs="Times New Roman"/>
          <w:color w:val="auto"/>
          <w:sz w:val="28"/>
          <w:szCs w:val="32"/>
          <w:lang w:val="en-US" w:eastAsia="zh-CN"/>
        </w:rPr>
        <w:t>2.3</w:t>
      </w:r>
      <w:r>
        <w:rPr>
          <w:rFonts w:hint="eastAsia" w:ascii="Calibri" w:eastAsia="宋体" w:cs="Times New Roman"/>
          <w:color w:val="auto"/>
          <w:sz w:val="28"/>
          <w:szCs w:val="32"/>
          <w:lang w:val="en-US" w:eastAsia="zh-CN"/>
        </w:rPr>
        <w:t>、拟派项目</w:t>
      </w:r>
      <w:r>
        <w:rPr>
          <w:rFonts w:hint="eastAsia" w:eastAsia="宋体" w:cs="Times New Roman"/>
          <w:color w:val="auto"/>
          <w:sz w:val="28"/>
          <w:szCs w:val="32"/>
          <w:lang w:val="en-US" w:eastAsia="zh-CN"/>
        </w:rPr>
        <w:t>总监</w:t>
      </w:r>
      <w:r>
        <w:rPr>
          <w:rFonts w:hint="eastAsia" w:ascii="Calibri" w:eastAsia="宋体" w:cs="Times New Roman"/>
          <w:color w:val="auto"/>
          <w:sz w:val="28"/>
          <w:szCs w:val="32"/>
          <w:lang w:val="en-US" w:eastAsia="zh-CN"/>
        </w:rPr>
        <w:t>须具有市政公用工程专业注册监理工程师执业资格证书，企业出具的拟任项目</w:t>
      </w:r>
      <w:r>
        <w:rPr>
          <w:rFonts w:hint="eastAsia" w:eastAsia="宋体" w:cs="Times New Roman"/>
          <w:color w:val="auto"/>
          <w:sz w:val="28"/>
          <w:szCs w:val="32"/>
          <w:lang w:val="en-US" w:eastAsia="zh-CN"/>
        </w:rPr>
        <w:t>总监</w:t>
      </w:r>
      <w:r>
        <w:rPr>
          <w:rFonts w:hint="eastAsia" w:ascii="Calibri" w:eastAsia="宋体" w:cs="Times New Roman"/>
          <w:color w:val="auto"/>
          <w:sz w:val="28"/>
          <w:szCs w:val="32"/>
          <w:lang w:val="en-US" w:eastAsia="zh-CN"/>
        </w:rPr>
        <w:t>无在建承诺书</w:t>
      </w:r>
      <w:r>
        <w:rPr>
          <w:rFonts w:hint="eastAsia" w:eastAsia="宋体" w:cs="Times New Roman"/>
          <w:color w:val="auto"/>
          <w:sz w:val="28"/>
          <w:szCs w:val="32"/>
        </w:rPr>
        <w:t>；</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w:t>
      </w:r>
      <w:r>
        <w:rPr>
          <w:rFonts w:hint="eastAsia" w:eastAsia="宋体" w:cs="Times New Roman"/>
          <w:color w:val="auto"/>
          <w:sz w:val="28"/>
          <w:szCs w:val="32"/>
          <w:lang w:val="en-US" w:eastAsia="zh-CN"/>
        </w:rPr>
        <w:t>2.4</w:t>
      </w:r>
      <w:r>
        <w:rPr>
          <w:rFonts w:hint="eastAsia" w:ascii="Calibri" w:eastAsia="宋体" w:cs="Times New Roman"/>
          <w:color w:val="auto"/>
          <w:sz w:val="28"/>
          <w:szCs w:val="32"/>
          <w:lang w:val="en-US" w:eastAsia="zh-CN"/>
        </w:rPr>
        <w:t>、提供</w:t>
      </w:r>
      <w:r>
        <w:rPr>
          <w:rFonts w:hint="eastAsia" w:eastAsia="宋体" w:cs="Times New Roman"/>
          <w:color w:val="auto"/>
          <w:sz w:val="28"/>
          <w:szCs w:val="32"/>
        </w:rPr>
        <w:t>近三年经审计的财务报告，财务状况良好，信誉良好（成立不足三年的企业，从成立之日算起）；</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2.5</w:t>
      </w:r>
      <w:r>
        <w:rPr>
          <w:rFonts w:hint="eastAsia" w:ascii="Calibri" w:eastAsia="宋体" w:cs="Times New Roman"/>
          <w:color w:val="auto"/>
          <w:sz w:val="28"/>
          <w:szCs w:val="32"/>
          <w:lang w:val="en-US" w:eastAsia="zh-CN"/>
        </w:rPr>
        <w:t>、</w:t>
      </w:r>
      <w:r>
        <w:rPr>
          <w:rFonts w:hint="eastAsia" w:eastAsia="宋体" w:cs="Times New Roman"/>
          <w:color w:val="auto"/>
          <w:sz w:val="28"/>
          <w:szCs w:val="32"/>
        </w:rPr>
        <w:t>投标人出具的无行贿行为承诺</w:t>
      </w:r>
      <w:r>
        <w:rPr>
          <w:rFonts w:hint="eastAsia" w:ascii="Calibri" w:eastAsia="宋体" w:cs="Times New Roman"/>
          <w:color w:val="auto"/>
          <w:sz w:val="28"/>
          <w:szCs w:val="32"/>
          <w:lang w:val="en-US" w:eastAsia="zh-CN"/>
        </w:rPr>
        <w:t>函</w:t>
      </w:r>
      <w:r>
        <w:rPr>
          <w:rFonts w:hint="eastAsia" w:eastAsia="宋体" w:cs="Times New Roman"/>
          <w:color w:val="auto"/>
          <w:sz w:val="28"/>
          <w:szCs w:val="32"/>
        </w:rPr>
        <w:t>（承诺对象包括投标人、法定代表人、项目</w:t>
      </w:r>
      <w:r>
        <w:rPr>
          <w:rFonts w:hint="eastAsia" w:eastAsia="宋体" w:cs="Times New Roman"/>
          <w:color w:val="auto"/>
          <w:sz w:val="28"/>
          <w:szCs w:val="32"/>
          <w:lang w:eastAsia="zh-CN"/>
        </w:rPr>
        <w:t>总监</w:t>
      </w:r>
      <w:r>
        <w:rPr>
          <w:rFonts w:hint="eastAsia" w:eastAsia="宋体" w:cs="Times New Roman"/>
          <w:color w:val="auto"/>
          <w:sz w:val="28"/>
          <w:szCs w:val="32"/>
        </w:rPr>
        <w:t>）；</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2.6</w:t>
      </w:r>
      <w:r>
        <w:rPr>
          <w:rFonts w:hint="eastAsia" w:ascii="Calibri" w:eastAsia="宋体" w:cs="Times New Roman"/>
          <w:color w:val="auto"/>
          <w:sz w:val="28"/>
          <w:szCs w:val="32"/>
          <w:lang w:val="en-US" w:eastAsia="zh-CN"/>
        </w:rPr>
        <w:t>、列入失信被执行人、重大税收违法案件当事人名单的投标人，拒绝参与本项目招投标活动；【查询渠道：“信用中国”网站（www.creditchina.gov.cn）；“中国裁判文书网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w:t>
      </w:r>
      <w:r>
        <w:rPr>
          <w:rFonts w:hint="eastAsia" w:eastAsia="宋体" w:cs="Times New Roman"/>
          <w:color w:val="auto"/>
          <w:sz w:val="28"/>
          <w:szCs w:val="32"/>
          <w:lang w:val="en-US" w:eastAsia="zh-CN"/>
        </w:rPr>
        <w:t>总监</w:t>
      </w:r>
      <w:r>
        <w:rPr>
          <w:rFonts w:hint="eastAsia" w:ascii="Calibri" w:eastAsia="宋体" w:cs="Times New Roman"/>
          <w:color w:val="auto"/>
          <w:sz w:val="28"/>
          <w:szCs w:val="32"/>
          <w:lang w:val="en-US" w:eastAsia="zh-CN"/>
        </w:rPr>
        <w:t>）的查询结果，凡被列入重大违法案件（刑事案件、强制清算与破产）的，依法限制其参与投标和工程建设】（提供网站截图加盖公章，查询日期不得早于招标公告发布之日）</w:t>
      </w:r>
      <w:r>
        <w:rPr>
          <w:rFonts w:hint="eastAsia" w:eastAsia="宋体" w:cs="Times New Roman"/>
          <w:color w:val="auto"/>
          <w:sz w:val="28"/>
          <w:szCs w:val="32"/>
        </w:rPr>
        <w:t xml:space="preserve">； </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2.</w:t>
      </w:r>
      <w:r>
        <w:rPr>
          <w:rFonts w:hint="eastAsia" w:ascii="Calibri" w:eastAsia="宋体" w:cs="Times New Roman"/>
          <w:color w:val="auto"/>
          <w:sz w:val="28"/>
          <w:szCs w:val="32"/>
          <w:lang w:val="en-US" w:eastAsia="zh-CN"/>
        </w:rPr>
        <w:t>7、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r>
        <w:rPr>
          <w:rFonts w:hint="eastAsia" w:eastAsia="宋体" w:cs="Times New Roman"/>
          <w:color w:val="auto"/>
          <w:sz w:val="28"/>
          <w:szCs w:val="32"/>
        </w:rPr>
        <w:t>。</w:t>
      </w: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2.</w:t>
      </w:r>
      <w:r>
        <w:rPr>
          <w:rFonts w:hint="eastAsia" w:ascii="Calibri" w:eastAsia="宋体" w:cs="Times New Roman"/>
          <w:color w:val="auto"/>
          <w:sz w:val="28"/>
          <w:szCs w:val="32"/>
          <w:lang w:val="en-US" w:eastAsia="zh-CN"/>
        </w:rPr>
        <w:t>8、</w:t>
      </w:r>
      <w:r>
        <w:rPr>
          <w:rFonts w:hint="eastAsia" w:eastAsia="宋体" w:cs="Times New Roman"/>
          <w:color w:val="auto"/>
          <w:sz w:val="28"/>
          <w:szCs w:val="32"/>
        </w:rPr>
        <w:t>本次招标不接受联合体投标，不允许分包和转包。</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四、招标文件的获取方法</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4.1招标文件的获取方式： 网上下载</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潜在投标人在南阳市公共资源交易中心办理 CA 数字证书，在南阳市交易平台诚信库进行登记注册，验证通过后可直接运用 CA 证书登录唐河县公共资源交易中心网站（www.thggzy.cn）诚信库会员系统进行网上下载招标文件。唐河县公共资源交易平台与南阳市公共资源交易平台诚信库系统互认共享、CA 数字证书互认共享。</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4.2获取招标文件时间：202</w:t>
      </w:r>
      <w:r>
        <w:rPr>
          <w:rFonts w:hint="eastAsia" w:eastAsia="宋体" w:cs="Times New Roman"/>
          <w:color w:val="auto"/>
          <w:sz w:val="28"/>
          <w:szCs w:val="32"/>
          <w:lang w:val="en-US" w:eastAsia="zh-CN"/>
        </w:rPr>
        <w:t>4</w:t>
      </w:r>
      <w:r>
        <w:rPr>
          <w:rFonts w:hint="eastAsia" w:eastAsia="宋体" w:cs="Times New Roman"/>
          <w:color w:val="auto"/>
          <w:sz w:val="28"/>
          <w:szCs w:val="32"/>
        </w:rPr>
        <w:t>年</w:t>
      </w:r>
      <w:r>
        <w:rPr>
          <w:rFonts w:hint="eastAsia" w:eastAsia="宋体" w:cs="Times New Roman"/>
          <w:color w:val="auto"/>
          <w:sz w:val="28"/>
          <w:szCs w:val="32"/>
          <w:lang w:val="en-US" w:eastAsia="zh-CN"/>
        </w:rPr>
        <w:t>1</w:t>
      </w:r>
      <w:r>
        <w:rPr>
          <w:rFonts w:hint="eastAsia" w:eastAsia="宋体" w:cs="Times New Roman"/>
          <w:color w:val="auto"/>
          <w:sz w:val="28"/>
          <w:szCs w:val="32"/>
        </w:rPr>
        <w:t>月</w:t>
      </w:r>
      <w:r>
        <w:rPr>
          <w:rFonts w:hint="eastAsia" w:eastAsia="宋体" w:cs="Times New Roman"/>
          <w:color w:val="auto"/>
          <w:sz w:val="28"/>
          <w:szCs w:val="32"/>
          <w:lang w:val="en-US" w:eastAsia="zh-CN"/>
        </w:rPr>
        <w:t>2</w:t>
      </w:r>
      <w:r>
        <w:rPr>
          <w:rFonts w:hint="eastAsia" w:eastAsia="宋体" w:cs="Times New Roman"/>
          <w:color w:val="auto"/>
          <w:sz w:val="28"/>
          <w:szCs w:val="32"/>
        </w:rPr>
        <w:t>日</w:t>
      </w:r>
      <w:r>
        <w:rPr>
          <w:rFonts w:hint="eastAsia" w:eastAsia="宋体" w:cs="Times New Roman"/>
          <w:color w:val="auto"/>
          <w:sz w:val="28"/>
          <w:szCs w:val="32"/>
          <w:lang w:val="en-US" w:eastAsia="zh-CN"/>
        </w:rPr>
        <w:t>10</w:t>
      </w:r>
      <w:r>
        <w:rPr>
          <w:rFonts w:hint="eastAsia" w:eastAsia="宋体" w:cs="Times New Roman"/>
          <w:color w:val="auto"/>
          <w:sz w:val="28"/>
          <w:szCs w:val="32"/>
        </w:rPr>
        <w:t>时00分至202</w:t>
      </w:r>
      <w:r>
        <w:rPr>
          <w:rFonts w:hint="eastAsia" w:eastAsia="宋体" w:cs="Times New Roman"/>
          <w:color w:val="auto"/>
          <w:sz w:val="28"/>
          <w:szCs w:val="32"/>
          <w:lang w:val="en-US" w:eastAsia="zh-CN"/>
        </w:rPr>
        <w:t>4</w:t>
      </w:r>
      <w:r>
        <w:rPr>
          <w:rFonts w:hint="eastAsia" w:eastAsia="宋体" w:cs="Times New Roman"/>
          <w:color w:val="auto"/>
          <w:sz w:val="28"/>
          <w:szCs w:val="32"/>
        </w:rPr>
        <w:t>年</w:t>
      </w:r>
      <w:r>
        <w:rPr>
          <w:rFonts w:hint="eastAsia" w:eastAsia="宋体" w:cs="Times New Roman"/>
          <w:color w:val="auto"/>
          <w:sz w:val="28"/>
          <w:szCs w:val="32"/>
          <w:lang w:val="en-US" w:eastAsia="zh-CN"/>
        </w:rPr>
        <w:t>1</w:t>
      </w:r>
      <w:r>
        <w:rPr>
          <w:rFonts w:hint="eastAsia" w:eastAsia="宋体" w:cs="Times New Roman"/>
          <w:color w:val="auto"/>
          <w:sz w:val="28"/>
          <w:szCs w:val="32"/>
        </w:rPr>
        <w:t>月</w:t>
      </w:r>
      <w:r>
        <w:rPr>
          <w:rFonts w:hint="eastAsia" w:eastAsia="宋体" w:cs="Times New Roman"/>
          <w:color w:val="auto"/>
          <w:sz w:val="28"/>
          <w:szCs w:val="32"/>
          <w:lang w:val="en-US" w:eastAsia="zh-CN"/>
        </w:rPr>
        <w:t>8</w:t>
      </w:r>
      <w:r>
        <w:rPr>
          <w:rFonts w:hint="eastAsia" w:eastAsia="宋体" w:cs="Times New Roman"/>
          <w:color w:val="auto"/>
          <w:sz w:val="28"/>
          <w:szCs w:val="32"/>
        </w:rPr>
        <w:t>日</w:t>
      </w:r>
      <w:r>
        <w:rPr>
          <w:rFonts w:hint="eastAsia" w:eastAsia="宋体" w:cs="Times New Roman"/>
          <w:color w:val="auto"/>
          <w:sz w:val="28"/>
          <w:szCs w:val="32"/>
          <w:lang w:val="en-US" w:eastAsia="zh-CN"/>
        </w:rPr>
        <w:t>17</w:t>
      </w:r>
      <w:r>
        <w:rPr>
          <w:rFonts w:hint="eastAsia" w:eastAsia="宋体" w:cs="Times New Roman"/>
          <w:color w:val="auto"/>
          <w:sz w:val="28"/>
          <w:szCs w:val="32"/>
        </w:rPr>
        <w:t>时</w:t>
      </w:r>
      <w:r>
        <w:rPr>
          <w:rFonts w:hint="eastAsia" w:eastAsia="宋体" w:cs="Times New Roman"/>
          <w:color w:val="auto"/>
          <w:sz w:val="28"/>
          <w:szCs w:val="32"/>
          <w:lang w:val="en-US" w:eastAsia="zh-CN"/>
        </w:rPr>
        <w:t>30</w:t>
      </w:r>
      <w:r>
        <w:rPr>
          <w:rFonts w:hint="eastAsia" w:eastAsia="宋体" w:cs="Times New Roman"/>
          <w:color w:val="auto"/>
          <w:sz w:val="28"/>
          <w:szCs w:val="32"/>
        </w:rPr>
        <w:t xml:space="preserve">分。 </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 xml:space="preserve">4.3招标文件售价：本项目不收取招标文件费用。 </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4.4成功下载本项目招标文件的投标单位为合格投标人。 </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五、投标文件的递交时间及地点：</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5.1电子投标文件递交的截止时间及开标时间：202</w:t>
      </w:r>
      <w:r>
        <w:rPr>
          <w:rFonts w:hint="eastAsia" w:eastAsia="宋体" w:cs="Times New Roman"/>
          <w:color w:val="auto"/>
          <w:sz w:val="28"/>
          <w:szCs w:val="32"/>
          <w:lang w:val="en-US" w:eastAsia="zh-CN"/>
        </w:rPr>
        <w:t>4</w:t>
      </w:r>
      <w:r>
        <w:rPr>
          <w:rFonts w:hint="eastAsia" w:eastAsia="宋体" w:cs="Times New Roman"/>
          <w:color w:val="auto"/>
          <w:sz w:val="28"/>
          <w:szCs w:val="32"/>
        </w:rPr>
        <w:t>年</w:t>
      </w:r>
      <w:r>
        <w:rPr>
          <w:rFonts w:hint="eastAsia" w:eastAsia="宋体" w:cs="Times New Roman"/>
          <w:color w:val="auto"/>
          <w:sz w:val="28"/>
          <w:szCs w:val="32"/>
          <w:lang w:val="en-US" w:eastAsia="zh-CN"/>
        </w:rPr>
        <w:t>1</w:t>
      </w:r>
      <w:r>
        <w:rPr>
          <w:rFonts w:hint="eastAsia" w:eastAsia="宋体" w:cs="Times New Roman"/>
          <w:color w:val="auto"/>
          <w:sz w:val="28"/>
          <w:szCs w:val="32"/>
        </w:rPr>
        <w:t>月</w:t>
      </w:r>
      <w:r>
        <w:rPr>
          <w:rFonts w:hint="eastAsia" w:eastAsia="宋体" w:cs="Times New Roman"/>
          <w:color w:val="auto"/>
          <w:sz w:val="28"/>
          <w:szCs w:val="32"/>
          <w:lang w:val="en-US" w:eastAsia="zh-CN"/>
        </w:rPr>
        <w:t>23</w:t>
      </w:r>
      <w:r>
        <w:rPr>
          <w:rFonts w:hint="eastAsia" w:eastAsia="宋体" w:cs="Times New Roman"/>
          <w:color w:val="auto"/>
          <w:sz w:val="28"/>
          <w:szCs w:val="32"/>
        </w:rPr>
        <w:t>日上午9:30整；</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5.2开标地点：唐河县公共资源交易中心第三开标室（本项目采用网上不见面方式开标，投标企业无需到达开标现场）；</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5.4该项目自行上传投标文件，无需寄送和递交非加密投标文件光盘等。需要注意开标前登录不见面系统；</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5.5因投标人无需现场参与开标，所有准备工作需要自行到位。开标过程中如遇到紧急事项，可在不见面开标大厅中进行提出异议或文字交流。</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5.6不见面开标过程中，如投标人准备不到位，造成无法及时解密、网络问题等情况造成开标无法继续的，视为该投标人自动放弃投标（30分钟内），将被退回投标文件；</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5.7电子投标文件应在招标文件规定的投标截止时间前到达交易系统。逾期到达交易系统的电子投标文件视为放弃本次投标。</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六、本次招标项目招标人不组织踏勘现场和投标预备会。</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七、发布公告的媒介：</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本次招标公告同时在《中国招标投标公共服务平台》、《河南省电子招标投标公共服务平台》、《唐河县公共资源交易中心》发布。</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八、联系方式:</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招标人：唐河县农业农村局</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联系人：靖先生         </w:t>
      </w: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eastAsia="宋体" w:cs="Times New Roman"/>
          <w:color w:val="auto"/>
          <w:sz w:val="28"/>
          <w:szCs w:val="32"/>
        </w:rPr>
        <w:t>电  话：15237769879</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地  址：唐河县凤山路  </w:t>
      </w:r>
    </w:p>
    <w:p>
      <w:pPr>
        <w:bidi w:val="0"/>
        <w:spacing w:line="360" w:lineRule="auto"/>
        <w:ind w:left="0" w:leftChars="0" w:firstLine="420" w:firstLineChars="150"/>
        <w:rPr>
          <w:rFonts w:hint="eastAsia" w:eastAsia="宋体" w:cs="Times New Roman"/>
          <w:color w:val="auto"/>
          <w:sz w:val="28"/>
          <w:szCs w:val="32"/>
        </w:rPr>
      </w:pP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eastAsia="宋体" w:cs="Times New Roman"/>
          <w:color w:val="auto"/>
          <w:sz w:val="28"/>
          <w:szCs w:val="32"/>
        </w:rPr>
        <w:t>监督单位：唐河县住房和城乡建设局</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联 系 人： 杨女士</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电    话：0377-68927775</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地    址：唐河县新春路北段</w:t>
      </w:r>
    </w:p>
    <w:p>
      <w:pPr>
        <w:bidi w:val="0"/>
        <w:spacing w:line="360" w:lineRule="auto"/>
        <w:ind w:left="0" w:leftChars="0" w:firstLine="420" w:firstLineChars="150"/>
        <w:rPr>
          <w:rFonts w:hint="eastAsia" w:eastAsia="宋体" w:cs="Times New Roman"/>
          <w:color w:val="auto"/>
          <w:sz w:val="28"/>
          <w:szCs w:val="32"/>
        </w:rPr>
      </w:pP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招标代理机构：</w:t>
      </w:r>
      <w:r>
        <w:rPr>
          <w:rFonts w:hint="eastAsia" w:eastAsia="宋体" w:cs="Times New Roman"/>
          <w:color w:val="auto"/>
          <w:sz w:val="28"/>
          <w:szCs w:val="32"/>
          <w:lang w:eastAsia="zh-CN"/>
        </w:rPr>
        <w:t>河南卓建工程管理有限公司</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联系人：</w:t>
      </w:r>
      <w:r>
        <w:rPr>
          <w:rFonts w:hint="eastAsia" w:eastAsia="宋体" w:cs="Times New Roman"/>
          <w:color w:val="auto"/>
          <w:sz w:val="28"/>
          <w:szCs w:val="32"/>
          <w:lang w:eastAsia="zh-CN"/>
        </w:rPr>
        <w:t>尹航</w:t>
      </w:r>
      <w:r>
        <w:rPr>
          <w:rFonts w:hint="eastAsia" w:eastAsia="宋体" w:cs="Times New Roman"/>
          <w:color w:val="auto"/>
          <w:sz w:val="28"/>
          <w:szCs w:val="32"/>
        </w:rPr>
        <w:t xml:space="preserve">           </w:t>
      </w: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eastAsia="宋体" w:cs="Times New Roman"/>
          <w:color w:val="auto"/>
          <w:sz w:val="28"/>
          <w:szCs w:val="32"/>
        </w:rPr>
        <w:t>电  话：</w:t>
      </w:r>
      <w:r>
        <w:rPr>
          <w:rFonts w:hint="eastAsia" w:eastAsia="宋体" w:cs="Times New Roman"/>
          <w:color w:val="auto"/>
          <w:sz w:val="28"/>
          <w:szCs w:val="32"/>
          <w:lang w:val="en-US" w:eastAsia="zh-CN"/>
        </w:rPr>
        <w:t>16692073666</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地   址：郑州市金水区南阳路277号7号楼2单元24号</w:t>
      </w:r>
    </w:p>
    <w:p>
      <w:pPr>
        <w:bidi w:val="0"/>
        <w:spacing w:line="360" w:lineRule="auto"/>
        <w:ind w:left="0" w:leftChars="0" w:firstLine="420" w:firstLineChars="150"/>
        <w:rPr>
          <w:rFonts w:hint="eastAsia" w:eastAsia="宋体" w:cs="Times New Roman"/>
          <w:color w:val="auto"/>
          <w:sz w:val="28"/>
          <w:szCs w:val="32"/>
        </w:rPr>
      </w:pP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唐河县公共资源交易中心</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联系人：杨先生     </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电话：0377-68513299</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地址：唐河县和谐广场三号楼     </w:t>
      </w:r>
    </w:p>
    <w:p>
      <w:pPr>
        <w:bidi w:val="0"/>
        <w:spacing w:line="360" w:lineRule="auto"/>
        <w:ind w:left="0" w:leftChars="0" w:firstLine="420" w:firstLineChars="150"/>
        <w:jc w:val="right"/>
        <w:rPr>
          <w:rFonts w:hint="eastAsia" w:eastAsia="宋体" w:cs="Times New Roman"/>
          <w:color w:val="auto"/>
          <w:sz w:val="28"/>
          <w:szCs w:val="32"/>
          <w:lang w:eastAsia="zh-CN"/>
        </w:rPr>
      </w:pPr>
      <w:r>
        <w:rPr>
          <w:rFonts w:hint="eastAsia" w:eastAsia="宋体" w:cs="Times New Roman"/>
          <w:color w:val="auto"/>
          <w:sz w:val="28"/>
          <w:szCs w:val="32"/>
          <w:lang w:eastAsia="zh-CN"/>
        </w:rPr>
        <w:t>唐河县农业农村局</w:t>
      </w:r>
    </w:p>
    <w:p>
      <w:pPr>
        <w:bidi w:val="0"/>
        <w:spacing w:line="360" w:lineRule="auto"/>
        <w:ind w:left="0" w:leftChars="0" w:firstLine="420" w:firstLineChars="150"/>
        <w:jc w:val="right"/>
        <w:rPr>
          <w:rFonts w:hint="eastAsia" w:eastAsia="宋体" w:cs="Times New Roman"/>
          <w:color w:val="auto"/>
          <w:sz w:val="28"/>
          <w:szCs w:val="32"/>
          <w:lang w:eastAsia="zh-CN"/>
        </w:rPr>
      </w:pPr>
      <w:r>
        <w:rPr>
          <w:rFonts w:hint="eastAsia" w:eastAsia="宋体" w:cs="Times New Roman"/>
          <w:color w:val="auto"/>
          <w:sz w:val="28"/>
          <w:szCs w:val="32"/>
          <w:lang w:eastAsia="zh-CN"/>
        </w:rPr>
        <w:t>河南卓建工程管理有限公司</w:t>
      </w:r>
    </w:p>
    <w:p>
      <w:pPr>
        <w:jc w:val="right"/>
        <w:rPr>
          <w:rFonts w:eastAsia="宋体" w:cs="Times New Roman"/>
          <w:color w:val="auto"/>
        </w:rPr>
      </w:pPr>
      <w:r>
        <w:rPr>
          <w:rFonts w:hint="eastAsia" w:eastAsia="宋体" w:cs="Times New Roman"/>
          <w:color w:val="auto"/>
          <w:sz w:val="28"/>
          <w:szCs w:val="32"/>
          <w:lang w:eastAsia="zh-CN"/>
        </w:rPr>
        <w:t>2023年</w:t>
      </w:r>
      <w:r>
        <w:rPr>
          <w:rFonts w:hint="eastAsia" w:eastAsia="宋体" w:cs="Times New Roman"/>
          <w:color w:val="auto"/>
          <w:sz w:val="28"/>
          <w:szCs w:val="32"/>
          <w:lang w:val="en-US" w:eastAsia="zh-CN"/>
        </w:rPr>
        <w:t>12</w:t>
      </w:r>
      <w:r>
        <w:rPr>
          <w:rFonts w:hint="eastAsia" w:eastAsia="宋体" w:cs="Times New Roman"/>
          <w:color w:val="auto"/>
          <w:sz w:val="28"/>
          <w:szCs w:val="32"/>
          <w:lang w:eastAsia="zh-CN"/>
        </w:rPr>
        <w:t>月</w:t>
      </w:r>
      <w:r>
        <w:rPr>
          <w:rFonts w:hint="eastAsia" w:eastAsia="宋体" w:cs="Times New Roman"/>
          <w:color w:val="auto"/>
          <w:sz w:val="28"/>
          <w:szCs w:val="32"/>
          <w:lang w:val="en-US" w:eastAsia="zh-CN"/>
        </w:rPr>
        <w:t>29</w:t>
      </w:r>
      <w:r>
        <w:rPr>
          <w:rFonts w:hint="eastAsia" w:eastAsia="宋体" w:cs="Times New Roman"/>
          <w:color w:val="auto"/>
          <w:sz w:val="28"/>
          <w:szCs w:val="32"/>
          <w:lang w:eastAsia="zh-CN"/>
        </w:rPr>
        <w:t>日</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br w:type="page"/>
      </w:r>
    </w:p>
    <w:p>
      <w:pPr>
        <w:pStyle w:val="2"/>
        <w:bidi w:val="0"/>
        <w:rPr>
          <w:rFonts w:hint="eastAsia"/>
        </w:rPr>
      </w:pPr>
      <w:r>
        <w:rPr>
          <w:rFonts w:hint="eastAsia"/>
          <w:lang w:eastAsia="zh-CN"/>
        </w:rPr>
        <w:t>第二章</w:t>
      </w:r>
      <w:r>
        <w:rPr>
          <w:rFonts w:hint="eastAsia"/>
        </w:rPr>
        <w:t>投标须知</w:t>
      </w:r>
      <w:bookmarkEnd w:id="7"/>
      <w:bookmarkEnd w:id="8"/>
      <w:bookmarkEnd w:id="9"/>
      <w:bookmarkEnd w:id="10"/>
    </w:p>
    <w:p>
      <w:pPr>
        <w:pStyle w:val="4"/>
        <w:bidi w:val="0"/>
        <w:jc w:val="center"/>
        <w:rPr>
          <w:rFonts w:hint="eastAsia" w:ascii="宋体" w:hAnsi="宋体" w:eastAsia="宋体" w:cs="宋体"/>
          <w:color w:val="auto"/>
        </w:rPr>
      </w:pPr>
      <w:bookmarkStart w:id="14" w:name="_Toc10384"/>
      <w:bookmarkStart w:id="15" w:name="_Toc199309392"/>
      <w:bookmarkStart w:id="16" w:name="_Toc31887"/>
      <w:bookmarkStart w:id="17" w:name="_Toc276979398"/>
      <w:bookmarkStart w:id="18" w:name="_Toc277453831"/>
      <w:bookmarkStart w:id="19" w:name="_Toc14489"/>
      <w:bookmarkStart w:id="20" w:name="_Toc277453749"/>
      <w:bookmarkStart w:id="21" w:name="_Toc25571"/>
      <w:r>
        <w:rPr>
          <w:rFonts w:hint="eastAsia" w:ascii="宋体" w:hAnsi="宋体" w:eastAsia="宋体" w:cs="宋体"/>
          <w:color w:val="auto"/>
        </w:rPr>
        <w:t>投标</w:t>
      </w:r>
      <w:r>
        <w:rPr>
          <w:rFonts w:hint="eastAsia" w:ascii="宋体" w:hAnsi="宋体" w:eastAsia="宋体" w:cs="宋体"/>
          <w:color w:val="auto"/>
          <w:lang w:val="en-US" w:eastAsia="zh-CN"/>
        </w:rPr>
        <w:t>人</w:t>
      </w:r>
      <w:r>
        <w:rPr>
          <w:rFonts w:hint="eastAsia" w:ascii="宋体" w:hAnsi="宋体" w:eastAsia="宋体" w:cs="宋体"/>
          <w:color w:val="auto"/>
        </w:rPr>
        <w:t>须知前附表</w:t>
      </w:r>
      <w:bookmarkEnd w:id="14"/>
      <w:bookmarkEnd w:id="15"/>
      <w:bookmarkEnd w:id="16"/>
      <w:bookmarkEnd w:id="17"/>
      <w:bookmarkEnd w:id="18"/>
      <w:bookmarkEnd w:id="19"/>
      <w:bookmarkEnd w:id="20"/>
      <w:bookmarkEnd w:id="21"/>
    </w:p>
    <w:tbl>
      <w:tblPr>
        <w:tblStyle w:val="30"/>
        <w:tblW w:w="9859"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99"/>
        <w:gridCol w:w="1592"/>
        <w:gridCol w:w="68"/>
        <w:gridCol w:w="730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99" w:type="dxa"/>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条款号</w:t>
            </w:r>
          </w:p>
        </w:tc>
        <w:tc>
          <w:tcPr>
            <w:tcW w:w="1660" w:type="dxa"/>
            <w:gridSpan w:val="2"/>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条 款 名 称</w:t>
            </w:r>
          </w:p>
        </w:tc>
        <w:tc>
          <w:tcPr>
            <w:tcW w:w="7300" w:type="dxa"/>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编 列 内 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31" w:hRule="atLeast"/>
        </w:trPr>
        <w:tc>
          <w:tcPr>
            <w:tcW w:w="89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1.1.</w:t>
            </w:r>
            <w:r>
              <w:rPr>
                <w:rFonts w:hint="eastAsia" w:ascii="宋体" w:hAnsi="宋体" w:eastAsia="宋体" w:cs="宋体"/>
                <w:color w:val="auto"/>
                <w:sz w:val="24"/>
                <w:szCs w:val="24"/>
                <w:lang w:val="en-US" w:eastAsia="zh-CN"/>
              </w:rPr>
              <w:t>1</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招标人</w:t>
            </w:r>
          </w:p>
        </w:tc>
        <w:tc>
          <w:tcPr>
            <w:tcW w:w="7300" w:type="dxa"/>
            <w:noWrap w:val="0"/>
            <w:vAlign w:val="center"/>
          </w:tcPr>
          <w:p>
            <w:pPr>
              <w:widowControl/>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名称：唐河县农业农村局</w:t>
            </w:r>
          </w:p>
          <w:p>
            <w:pPr>
              <w:widowControl/>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地址：唐河县凤山路  </w:t>
            </w:r>
          </w:p>
          <w:p>
            <w:pPr>
              <w:widowControl/>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联系人：靖先生 </w:t>
            </w:r>
          </w:p>
          <w:p>
            <w:pPr>
              <w:widowControl/>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电话：15237769879</w:t>
            </w:r>
          </w:p>
          <w:p>
            <w:pPr>
              <w:widowControl/>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电子邮件：/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4"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1.1.2</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监督单位</w:t>
            </w:r>
          </w:p>
        </w:tc>
        <w:tc>
          <w:tcPr>
            <w:tcW w:w="7300" w:type="dxa"/>
            <w:noWrap w:val="0"/>
            <w:vAlign w:val="center"/>
          </w:tcPr>
          <w:p>
            <w:pPr>
              <w:widowControl/>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监督单位：唐河县住房和城乡建设局</w:t>
            </w:r>
          </w:p>
          <w:p>
            <w:pPr>
              <w:widowControl/>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 杨女士</w:t>
            </w:r>
          </w:p>
          <w:p>
            <w:pPr>
              <w:widowControl/>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    话：0377-68927775</w:t>
            </w:r>
          </w:p>
          <w:p>
            <w:pPr>
              <w:widowControl/>
              <w:spacing w:line="360" w:lineRule="auto"/>
              <w:rPr>
                <w:rFonts w:hint="eastAsia" w:ascii="宋体" w:hAnsi="宋体" w:eastAsia="宋体" w:cs="宋体"/>
                <w:color w:val="FF0000"/>
                <w:kern w:val="0"/>
                <w:sz w:val="24"/>
                <w:szCs w:val="24"/>
                <w:lang w:val="en-US" w:bidi="ar"/>
              </w:rPr>
            </w:pPr>
            <w:r>
              <w:rPr>
                <w:rFonts w:hint="eastAsia" w:ascii="宋体" w:hAnsi="宋体" w:eastAsia="宋体" w:cs="宋体"/>
                <w:color w:val="auto"/>
                <w:sz w:val="24"/>
                <w:szCs w:val="24"/>
                <w:lang w:val="en-US" w:eastAsia="zh-CN"/>
              </w:rPr>
              <w:t>地    址：唐河县新春路北段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18"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1.1.3</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招标代理机构</w:t>
            </w:r>
          </w:p>
        </w:tc>
        <w:tc>
          <w:tcPr>
            <w:tcW w:w="7300" w:type="dxa"/>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名称：河南卓建工程管理有限公司</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地址：郑州市金水区南阳路277号7号楼2单元24号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联系人：尹航</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电话：16692073666</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电子邮件：/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89"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1.1.4</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7300" w:type="dxa"/>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2023年唐河县农村人居环境整治项目第三标段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34"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1.1.5</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建设地点</w:t>
            </w:r>
          </w:p>
        </w:tc>
        <w:tc>
          <w:tcPr>
            <w:tcW w:w="7300" w:type="dxa"/>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唐河县祁仪镇油坊岗村、古城乡罗岗村、阚庄村，城郊乡大井村，源潭镇袁庄村、张岗村，桐寨铺镇桐寨铺村，上屯镇茨园村，张店镇吴宅村，郭滩镇赵庄村，东王集乡李庄村，苍台镇宋湾村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8"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1.2.1</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资金来源</w:t>
            </w:r>
          </w:p>
        </w:tc>
        <w:tc>
          <w:tcPr>
            <w:tcW w:w="7300" w:type="dxa"/>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中央资金及县财政资金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exact"/>
        </w:trPr>
        <w:tc>
          <w:tcPr>
            <w:tcW w:w="89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en-US" w:eastAsia="zh-CN"/>
              </w:rPr>
              <w:t>2</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资金落实情况</w:t>
            </w:r>
          </w:p>
        </w:tc>
        <w:tc>
          <w:tcPr>
            <w:tcW w:w="7300" w:type="dxa"/>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已落实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3"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1.3.1</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招标范围</w:t>
            </w:r>
          </w:p>
        </w:tc>
        <w:tc>
          <w:tcPr>
            <w:tcW w:w="7300" w:type="dxa"/>
            <w:noWrap w:val="0"/>
            <w:vAlign w:val="center"/>
          </w:tcPr>
          <w:p>
            <w:pPr>
              <w:spacing w:line="360" w:lineRule="auto"/>
              <w:rPr>
                <w:rFonts w:hint="eastAsia" w:ascii="宋体" w:hAnsi="宋体" w:eastAsia="宋体" w:cs="宋体"/>
                <w:lang w:eastAsia="zh-CN"/>
              </w:rPr>
            </w:pPr>
            <w:r>
              <w:rPr>
                <w:rFonts w:hint="eastAsia" w:ascii="宋体" w:hAnsi="宋体" w:eastAsia="宋体" w:cs="宋体"/>
                <w:color w:val="auto"/>
                <w:sz w:val="24"/>
                <w:szCs w:val="24"/>
                <w:lang w:val="en-US" w:eastAsia="zh-CN"/>
              </w:rPr>
              <w:t>三标段：项目施工期及缺陷责任期的监理服务。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830"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1.3.2</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监理服务期限</w:t>
            </w:r>
          </w:p>
        </w:tc>
        <w:tc>
          <w:tcPr>
            <w:tcW w:w="7300" w:type="dxa"/>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随施工工期；监理服务期限自本合同生效之日起至本工程项目全面验收结束及保修期满为止。其中，计划工期300日历天、质量保修期按国家相关规定执行，缺陷责任期按国家相关规定执行。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4"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1.3.3</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质量要求</w:t>
            </w:r>
          </w:p>
        </w:tc>
        <w:tc>
          <w:tcPr>
            <w:tcW w:w="7300" w:type="dxa"/>
            <w:noWrap w:val="0"/>
            <w:vAlign w:val="center"/>
          </w:tcPr>
          <w:p>
            <w:pPr>
              <w:spacing w:line="360" w:lineRule="auto"/>
              <w:ind w:right="2066" w:rightChars="984"/>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合格</w:t>
            </w:r>
            <w:r>
              <w:rPr>
                <w:rFonts w:hint="eastAsia" w:ascii="宋体" w:hAnsi="宋体" w:eastAsia="宋体" w:cs="宋体"/>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25"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1.4.1</w:t>
            </w:r>
          </w:p>
        </w:tc>
        <w:tc>
          <w:tcPr>
            <w:tcW w:w="1660" w:type="dxa"/>
            <w:gridSpan w:val="2"/>
            <w:noWrap w:val="0"/>
            <w:vAlign w:val="center"/>
          </w:tcPr>
          <w:p>
            <w:pPr>
              <w:spacing w:line="360" w:lineRule="auto"/>
              <w:jc w:val="center"/>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投标人资质条件、能力和信誉</w:t>
            </w:r>
          </w:p>
        </w:tc>
        <w:tc>
          <w:tcPr>
            <w:tcW w:w="7300" w:type="dxa"/>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详见招标公告。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92"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1.4.2</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是否接受联合体投标</w:t>
            </w:r>
          </w:p>
        </w:tc>
        <w:tc>
          <w:tcPr>
            <w:tcW w:w="7300" w:type="dxa"/>
            <w:noWrap w:val="0"/>
            <w:vAlign w:val="center"/>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不接受</w:t>
            </w:r>
            <w:r>
              <w:rPr>
                <w:rFonts w:hint="eastAsia" w:ascii="宋体" w:hAnsi="宋体" w:eastAsia="宋体" w:cs="宋体"/>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8"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1.9</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踏勘现场</w:t>
            </w:r>
          </w:p>
        </w:tc>
        <w:tc>
          <w:tcPr>
            <w:tcW w:w="7300" w:type="dxa"/>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8"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1.10</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投标预备会</w:t>
            </w:r>
          </w:p>
        </w:tc>
        <w:tc>
          <w:tcPr>
            <w:tcW w:w="7300" w:type="dxa"/>
            <w:noWrap w:val="0"/>
            <w:vAlign w:val="center"/>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不召开</w:t>
            </w:r>
            <w:r>
              <w:rPr>
                <w:rFonts w:hint="eastAsia" w:ascii="宋体" w:hAnsi="宋体" w:eastAsia="宋体" w:cs="宋体"/>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32"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1.11</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分包</w:t>
            </w:r>
          </w:p>
        </w:tc>
        <w:tc>
          <w:tcPr>
            <w:tcW w:w="7300" w:type="dxa"/>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不允许。中标人必须承担总包责任，不得转包和擅自分包工程。否则招标人有权终止合同并追究中标人的责任。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7"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1.12</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偏离</w:t>
            </w:r>
          </w:p>
        </w:tc>
        <w:tc>
          <w:tcPr>
            <w:tcW w:w="7300" w:type="dxa"/>
            <w:noWrap w:val="0"/>
            <w:vAlign w:val="center"/>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不允许</w:t>
            </w:r>
            <w:r>
              <w:rPr>
                <w:rFonts w:hint="eastAsia" w:ascii="宋体" w:hAnsi="宋体" w:eastAsia="宋体" w:cs="宋体"/>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构成招标文件</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的其他材料</w:t>
            </w:r>
          </w:p>
        </w:tc>
        <w:tc>
          <w:tcPr>
            <w:tcW w:w="7300" w:type="dxa"/>
            <w:noWrap w:val="0"/>
            <w:vAlign w:val="center"/>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招标文件的补充文件（如有）</w:t>
            </w:r>
            <w:r>
              <w:rPr>
                <w:rFonts w:hint="eastAsia" w:ascii="宋体" w:hAnsi="宋体" w:eastAsia="宋体" w:cs="宋体"/>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99" w:type="dxa"/>
            <w:noWrap w:val="0"/>
            <w:vAlign w:val="center"/>
          </w:tcPr>
          <w:p>
            <w:pPr>
              <w:spacing w:line="360" w:lineRule="auto"/>
              <w:jc w:val="center"/>
              <w:rPr>
                <w:rFonts w:hint="eastAsia" w:ascii="宋体" w:hAnsi="宋体" w:eastAsia="宋体" w:cs="宋体"/>
                <w:color w:val="auto"/>
                <w:sz w:val="24"/>
                <w:szCs w:val="24"/>
              </w:rPr>
            </w:pP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构成投标文件的其他材料</w:t>
            </w:r>
          </w:p>
        </w:tc>
        <w:tc>
          <w:tcPr>
            <w:tcW w:w="7300" w:type="dxa"/>
            <w:noWrap w:val="0"/>
            <w:vAlign w:val="center"/>
          </w:tcPr>
          <w:p>
            <w:p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投标文件澄清、说明或补正</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w:t>
            </w:r>
          </w:p>
          <w:p>
            <w:pPr>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依据宛公管办【2018】8号文规定，各投标单位应作出包含投标单位及项目</w:t>
            </w:r>
            <w:r>
              <w:rPr>
                <w:rFonts w:hint="eastAsia" w:ascii="宋体" w:hAnsi="宋体" w:eastAsia="宋体" w:cs="宋体"/>
                <w:b/>
                <w:bCs/>
                <w:color w:val="auto"/>
                <w:sz w:val="24"/>
                <w:szCs w:val="24"/>
                <w:lang w:val="en-US" w:eastAsia="zh-CN"/>
              </w:rPr>
              <w:t>经理</w:t>
            </w:r>
            <w:r>
              <w:rPr>
                <w:rFonts w:hint="eastAsia" w:ascii="宋体" w:hAnsi="宋体" w:eastAsia="宋体" w:cs="宋体"/>
                <w:b/>
                <w:bCs/>
                <w:color w:val="auto"/>
                <w:sz w:val="24"/>
                <w:szCs w:val="24"/>
              </w:rPr>
              <w:t>的“无行贿行为承诺”，作为投标要件，附于投标文件内。如遇投诉、举报，经查其承诺不实，由此造成的后果由各投标人承担一切责任。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40"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2.2</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投标人提出问题的截止时间</w:t>
            </w:r>
          </w:p>
        </w:tc>
        <w:tc>
          <w:tcPr>
            <w:tcW w:w="7300" w:type="dxa"/>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递交投标文件截止之日前17日前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832"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2.2</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投标人确认收到招标文件澄清的时间</w:t>
            </w:r>
          </w:p>
        </w:tc>
        <w:tc>
          <w:tcPr>
            <w:tcW w:w="7300" w:type="dxa"/>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在收到相应澄清文件后24小时内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0"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2.3</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招标人书面修改</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的时间</w:t>
            </w:r>
          </w:p>
        </w:tc>
        <w:tc>
          <w:tcPr>
            <w:tcW w:w="7300" w:type="dxa"/>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递交投标文件的</w:t>
            </w:r>
            <w:r>
              <w:rPr>
                <w:rFonts w:hint="eastAsia" w:ascii="宋体" w:hAnsi="宋体" w:eastAsia="宋体" w:cs="宋体"/>
                <w:color w:val="auto"/>
                <w:sz w:val="24"/>
                <w:szCs w:val="24"/>
                <w:highlight w:val="none"/>
              </w:rPr>
              <w:t>截止</w:t>
            </w:r>
            <w:r>
              <w:rPr>
                <w:rFonts w:hint="eastAsia" w:ascii="宋体" w:hAnsi="宋体" w:eastAsia="宋体" w:cs="宋体"/>
                <w:color w:val="auto"/>
                <w:sz w:val="24"/>
                <w:szCs w:val="24"/>
              </w:rPr>
              <w:t>之日15日前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09" w:hRule="exac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2.3</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投标人确认收到招标文件修改的时间</w:t>
            </w:r>
          </w:p>
        </w:tc>
        <w:tc>
          <w:tcPr>
            <w:tcW w:w="7300" w:type="dxa"/>
            <w:noWrap w:val="0"/>
            <w:vAlign w:val="center"/>
          </w:tcPr>
          <w:p>
            <w:pPr>
              <w:spacing w:line="360" w:lineRule="auto"/>
              <w:ind w:right="2066" w:rightChars="984"/>
              <w:rPr>
                <w:rFonts w:hint="eastAsia" w:ascii="宋体" w:hAnsi="宋体" w:eastAsia="宋体" w:cs="宋体"/>
                <w:color w:val="auto"/>
                <w:sz w:val="24"/>
                <w:szCs w:val="24"/>
              </w:rPr>
            </w:pPr>
            <w:r>
              <w:rPr>
                <w:rFonts w:hint="eastAsia" w:ascii="宋体" w:hAnsi="宋体" w:eastAsia="宋体" w:cs="宋体"/>
                <w:color w:val="auto"/>
                <w:sz w:val="24"/>
                <w:szCs w:val="24"/>
              </w:rPr>
              <w:t>在收到相应修改文件后24小时内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2"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3.3.1</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投标有效期</w:t>
            </w:r>
          </w:p>
        </w:tc>
        <w:tc>
          <w:tcPr>
            <w:tcW w:w="7300" w:type="dxa"/>
            <w:noWrap w:val="0"/>
            <w:vAlign w:val="center"/>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自投标截止之日起</w:t>
            </w:r>
            <w:r>
              <w:rPr>
                <w:rFonts w:hint="eastAsia" w:ascii="宋体" w:hAnsi="宋体" w:eastAsia="宋体" w:cs="宋体"/>
                <w:color w:val="auto"/>
                <w:sz w:val="24"/>
                <w:szCs w:val="24"/>
                <w:lang w:val="en-US" w:eastAsia="zh-CN"/>
              </w:rPr>
              <w:t>60</w:t>
            </w:r>
            <w:r>
              <w:rPr>
                <w:rFonts w:hint="eastAsia" w:ascii="宋体" w:hAnsi="宋体" w:eastAsia="宋体" w:cs="宋体"/>
                <w:color w:val="auto"/>
                <w:sz w:val="24"/>
                <w:szCs w:val="24"/>
                <w:lang w:eastAsia="zh-CN"/>
              </w:rPr>
              <w:t>日历天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3.4</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投标保证金</w:t>
            </w:r>
          </w:p>
        </w:tc>
        <w:tc>
          <w:tcPr>
            <w:tcW w:w="7300" w:type="dxa"/>
            <w:noWrap w:val="0"/>
            <w:vAlign w:val="center"/>
          </w:tcPr>
          <w:p>
            <w:pPr>
              <w:pStyle w:val="23"/>
              <w:numPr>
                <w:ilvl w:val="0"/>
                <w:numId w:val="3"/>
              </w:numPr>
              <w:spacing w:line="360" w:lineRule="auto"/>
              <w:ind w:left="0" w:firstLine="0"/>
              <w:rPr>
                <w:rFonts w:hint="eastAsia" w:ascii="宋体" w:hAnsi="宋体" w:eastAsia="宋体" w:cs="宋体"/>
                <w:b/>
                <w:bCs/>
                <w:color w:val="auto"/>
                <w:kern w:val="0"/>
                <w:sz w:val="24"/>
                <w:szCs w:val="24"/>
              </w:rPr>
            </w:pPr>
            <w:r>
              <w:rPr>
                <w:rFonts w:hint="eastAsia" w:ascii="宋体" w:hAnsi="宋体" w:eastAsia="宋体" w:cs="宋体"/>
                <w:color w:val="auto"/>
                <w:kern w:val="0"/>
                <w:sz w:val="24"/>
                <w:szCs w:val="24"/>
              </w:rPr>
              <w:t>投标保证金的金额：</w:t>
            </w:r>
          </w:p>
          <w:p>
            <w:pPr>
              <w:pStyle w:val="23"/>
              <w:numPr>
                <w:ilvl w:val="0"/>
                <w:numId w:val="0"/>
              </w:numPr>
              <w:spacing w:line="360" w:lineRule="auto"/>
              <w:ind w:leftChars="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人民币</w:t>
            </w:r>
            <w:r>
              <w:rPr>
                <w:rFonts w:hint="eastAsia" w:ascii="宋体" w:hAnsi="宋体" w:eastAsia="宋体" w:cs="宋体"/>
                <w:b/>
                <w:bCs/>
                <w:color w:val="auto"/>
                <w:kern w:val="0"/>
                <w:sz w:val="24"/>
                <w:szCs w:val="24"/>
                <w:lang w:eastAsia="zh-CN"/>
              </w:rPr>
              <w:t>：</w:t>
            </w:r>
            <w:r>
              <w:rPr>
                <w:rFonts w:hint="eastAsia" w:ascii="宋体" w:hAnsi="宋体" w:eastAsia="宋体" w:cs="宋体"/>
                <w:b/>
                <w:bCs/>
                <w:color w:val="auto"/>
                <w:kern w:val="0"/>
                <w:sz w:val="24"/>
                <w:szCs w:val="24"/>
                <w:lang w:val="en-US" w:eastAsia="zh-CN"/>
              </w:rPr>
              <w:t>捌仟元整</w:t>
            </w:r>
            <w:r>
              <w:rPr>
                <w:rFonts w:hint="eastAsia" w:ascii="宋体" w:hAnsi="宋体" w:eastAsia="宋体" w:cs="宋体"/>
                <w:b/>
                <w:bCs/>
                <w:color w:val="0000FF"/>
                <w:kern w:val="0"/>
                <w:sz w:val="24"/>
                <w:szCs w:val="24"/>
              </w:rPr>
              <w:t>（￥：</w:t>
            </w:r>
            <w:r>
              <w:rPr>
                <w:rFonts w:hint="eastAsia" w:ascii="宋体" w:hAnsi="宋体" w:eastAsia="宋体" w:cs="宋体"/>
                <w:b/>
                <w:bCs/>
                <w:color w:val="0000FF"/>
                <w:kern w:val="0"/>
                <w:sz w:val="24"/>
                <w:szCs w:val="24"/>
                <w:lang w:val="en-US" w:eastAsia="zh-CN"/>
              </w:rPr>
              <w:t>8000.00</w:t>
            </w:r>
            <w:r>
              <w:rPr>
                <w:rFonts w:hint="eastAsia" w:ascii="宋体" w:hAnsi="宋体" w:eastAsia="宋体" w:cs="宋体"/>
                <w:b/>
                <w:bCs/>
                <w:color w:val="0000FF"/>
                <w:kern w:val="0"/>
                <w:sz w:val="24"/>
                <w:szCs w:val="24"/>
              </w:rPr>
              <w:t>元）；</w:t>
            </w:r>
          </w:p>
          <w:p>
            <w:pPr>
              <w:pStyle w:val="23"/>
              <w:numPr>
                <w:ilvl w:val="0"/>
                <w:numId w:val="3"/>
              </w:numPr>
              <w:spacing w:line="360" w:lineRule="auto"/>
              <w:ind w:left="0" w:leftChars="0"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本招标项目投标保证金同时允许转账、电子投标保函、银行保函和承诺函四种方式，未按以下要求将视为未交纳投标保证金，其投标文件将被拒绝，不能参加开标活动。</w:t>
            </w:r>
          </w:p>
          <w:p>
            <w:pPr>
              <w:pStyle w:val="23"/>
              <w:numPr>
                <w:ilvl w:val="0"/>
                <w:numId w:val="4"/>
              </w:numPr>
              <w:spacing w:line="360" w:lineRule="auto"/>
              <w:ind w:left="0" w:firstLine="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以转账方式交纳投标保证金，具体要求如下：</w:t>
            </w:r>
          </w:p>
          <w:p>
            <w:pPr>
              <w:pStyle w:val="23"/>
              <w:numPr>
                <w:ilvl w:val="0"/>
                <w:numId w:val="0"/>
              </w:numPr>
              <w:spacing w:line="360" w:lineRule="auto"/>
              <w:ind w:left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投标保证金交至：唐河县公共资源交易中心</w:t>
            </w:r>
          </w:p>
          <w:p>
            <w:pPr>
              <w:pStyle w:val="23"/>
              <w:spacing w:line="360" w:lineRule="auto"/>
              <w:ind w:left="0" w:firstLine="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于</w:t>
            </w:r>
            <w:r>
              <w:rPr>
                <w:rFonts w:hint="eastAsia" w:ascii="宋体" w:hAnsi="宋体" w:eastAsia="宋体" w:cs="宋体"/>
                <w:b/>
                <w:bCs/>
                <w:color w:val="0000FF"/>
                <w:kern w:val="0"/>
                <w:sz w:val="24"/>
                <w:szCs w:val="24"/>
                <w:lang w:val="en-US" w:eastAsia="zh-CN"/>
              </w:rPr>
              <w:t>2024年01月23日09:30</w:t>
            </w:r>
            <w:r>
              <w:rPr>
                <w:rFonts w:hint="eastAsia" w:ascii="宋体" w:hAnsi="宋体" w:eastAsia="宋体" w:cs="宋体"/>
                <w:b/>
                <w:bCs/>
                <w:color w:val="auto"/>
                <w:kern w:val="0"/>
                <w:sz w:val="24"/>
                <w:szCs w:val="24"/>
              </w:rPr>
              <w:t>前</w:t>
            </w:r>
            <w:r>
              <w:rPr>
                <w:rFonts w:hint="eastAsia" w:ascii="宋体" w:hAnsi="宋体" w:eastAsia="宋体" w:cs="宋体"/>
                <w:color w:val="auto"/>
                <w:kern w:val="0"/>
                <w:sz w:val="24"/>
                <w:szCs w:val="24"/>
              </w:rPr>
              <w:t>交至下列账户（以到账时间为准）：</w:t>
            </w:r>
          </w:p>
          <w:p>
            <w:pPr>
              <w:pStyle w:val="23"/>
              <w:spacing w:line="360" w:lineRule="auto"/>
              <w:ind w:left="0" w:firstLine="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账户户名：唐河县公共资源交易中心</w:t>
            </w:r>
          </w:p>
          <w:p>
            <w:pPr>
              <w:pStyle w:val="23"/>
              <w:spacing w:line="360" w:lineRule="auto"/>
              <w:ind w:left="0" w:firstLine="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开户银行：中国工商银行（唐河县支行）</w:t>
            </w:r>
          </w:p>
          <w:p>
            <w:pPr>
              <w:pStyle w:val="23"/>
              <w:spacing w:line="360" w:lineRule="auto"/>
              <w:ind w:left="0" w:firstLine="0"/>
              <w:rPr>
                <w:rFonts w:hint="eastAsia" w:ascii="宋体" w:hAnsi="宋体" w:eastAsia="宋体" w:cs="宋体"/>
                <w:b/>
                <w:bCs/>
                <w:color w:val="0000FF"/>
                <w:kern w:val="0"/>
                <w:sz w:val="32"/>
                <w:szCs w:val="32"/>
                <w:lang w:val="en-US" w:eastAsia="zh-CN"/>
              </w:rPr>
            </w:pPr>
            <w:r>
              <w:rPr>
                <w:rFonts w:hint="eastAsia" w:ascii="宋体" w:hAnsi="宋体" w:eastAsia="宋体" w:cs="宋体"/>
                <w:b/>
                <w:bCs/>
                <w:color w:val="0000FF"/>
                <w:kern w:val="0"/>
                <w:sz w:val="24"/>
                <w:szCs w:val="24"/>
              </w:rPr>
              <w:t>虚拟子账号：</w:t>
            </w:r>
            <w:r>
              <w:rPr>
                <w:rFonts w:hint="eastAsia" w:ascii="宋体" w:hAnsi="宋体" w:eastAsia="宋体" w:cs="宋体"/>
                <w:b/>
                <w:bCs/>
                <w:color w:val="0000FF"/>
                <w:kern w:val="0"/>
                <w:sz w:val="32"/>
                <w:szCs w:val="32"/>
                <w:lang w:val="en-US" w:eastAsia="zh-CN"/>
              </w:rPr>
              <w:t xml:space="preserve">  </w:t>
            </w:r>
          </w:p>
          <w:p>
            <w:pPr>
              <w:pStyle w:val="23"/>
              <w:spacing w:line="360" w:lineRule="auto"/>
              <w:ind w:left="0" w:firstLine="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转账判定有效性的几个条件：</w:t>
            </w:r>
          </w:p>
          <w:p>
            <w:pPr>
              <w:pStyle w:val="23"/>
              <w:spacing w:line="360" w:lineRule="auto"/>
              <w:ind w:left="0" w:firstLine="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①必须从诚信库基本户转账（账户户名和账户号码和诚信库中完全一致）；</w:t>
            </w:r>
          </w:p>
          <w:p>
            <w:pPr>
              <w:pStyle w:val="23"/>
              <w:spacing w:line="360" w:lineRule="auto"/>
              <w:ind w:left="0" w:firstLine="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②到账时间，必须在开标时间到达前到账，以实际到账时间为判定依据（建议投标单位提前转账）；</w:t>
            </w:r>
          </w:p>
          <w:p>
            <w:pPr>
              <w:pStyle w:val="23"/>
              <w:spacing w:line="360" w:lineRule="auto"/>
              <w:ind w:left="0" w:firstLine="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③一次性足额交纳，金额可以大于等于系统设定的金额；</w:t>
            </w:r>
          </w:p>
          <w:p>
            <w:pPr>
              <w:pStyle w:val="23"/>
              <w:spacing w:line="360" w:lineRule="auto"/>
              <w:ind w:left="0" w:firstLine="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④因每个标段保证金账号各不相同，以上账号仅对当前标段投标有效；</w:t>
            </w:r>
          </w:p>
          <w:p>
            <w:pPr>
              <w:pStyle w:val="23"/>
              <w:spacing w:line="360" w:lineRule="auto"/>
              <w:ind w:left="0" w:firstLine="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B．以保函形式交纳投标保证金，具体要求如下：</w:t>
            </w:r>
          </w:p>
          <w:p>
            <w:pPr>
              <w:pStyle w:val="23"/>
              <w:spacing w:line="360" w:lineRule="auto"/>
              <w:ind w:left="0" w:firstLine="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①投标企业必须首先确认本企业诚信库内填写的基本账户相关信息真实准确；</w:t>
            </w:r>
          </w:p>
          <w:p>
            <w:pPr>
              <w:pStyle w:val="23"/>
              <w:spacing w:line="360" w:lineRule="auto"/>
              <w:ind w:left="0" w:firstLine="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②企业可以在交易中心电子交易系统业务管理“</w:t>
            </w:r>
            <w:r>
              <w:rPr>
                <w:rFonts w:hint="eastAsia" w:ascii="宋体" w:hAnsi="宋体" w:eastAsia="宋体" w:cs="宋体"/>
                <w:color w:val="auto"/>
                <w:kern w:val="0"/>
                <w:sz w:val="24"/>
                <w:szCs w:val="24"/>
                <w:lang w:eastAsia="zh-CN"/>
              </w:rPr>
              <w:t>电子保函申请</w:t>
            </w:r>
            <w:r>
              <w:rPr>
                <w:rFonts w:hint="eastAsia" w:ascii="宋体" w:hAnsi="宋体" w:eastAsia="宋体" w:cs="宋体"/>
                <w:color w:val="auto"/>
                <w:kern w:val="0"/>
                <w:sz w:val="24"/>
                <w:szCs w:val="24"/>
              </w:rPr>
              <w:t>”功能中自主选择电子保函平台、承保机构办理电子保函业务；</w:t>
            </w:r>
          </w:p>
          <w:p>
            <w:pPr>
              <w:pStyle w:val="23"/>
              <w:spacing w:line="360" w:lineRule="auto"/>
              <w:ind w:left="0" w:firstLine="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③办理电子投标保函费用必须出自投标企业基本账户；</w:t>
            </w:r>
          </w:p>
          <w:p>
            <w:pPr>
              <w:pStyle w:val="23"/>
              <w:spacing w:line="360" w:lineRule="auto"/>
              <w:ind w:left="0" w:firstLine="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④投标截止时间前投标企业应按照以上要求在保函平台中申请并生成电子投标保函。否则开标现场交易系统将无法获取到该投标单位的电子投标保函</w:t>
            </w:r>
            <w:r>
              <w:rPr>
                <w:rFonts w:hint="eastAsia" w:ascii="宋体" w:hAnsi="宋体" w:eastAsia="宋体" w:cs="宋体"/>
                <w:color w:val="auto"/>
                <w:kern w:val="0"/>
                <w:sz w:val="24"/>
                <w:szCs w:val="24"/>
                <w:lang w:eastAsia="zh-CN"/>
              </w:rPr>
              <w:t>。</w:t>
            </w:r>
          </w:p>
          <w:p>
            <w:pPr>
              <w:pStyle w:val="23"/>
              <w:spacing w:line="360" w:lineRule="auto"/>
              <w:ind w:left="0" w:firstLine="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C、以银行保函形式交纳投标保证金：</w:t>
            </w:r>
          </w:p>
          <w:p>
            <w:pPr>
              <w:pStyle w:val="23"/>
              <w:spacing w:line="360" w:lineRule="auto"/>
              <w:ind w:left="0" w:firstLine="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使用银行保函的投标企业需在投标截止时间前，通过唐河县交易平台保证金缴纳系统在“银行保函和承诺函”端口上传银行保函原件电子扫描件。</w:t>
            </w:r>
          </w:p>
          <w:p>
            <w:pPr>
              <w:pStyle w:val="23"/>
              <w:numPr>
                <w:ilvl w:val="0"/>
                <w:numId w:val="5"/>
              </w:numPr>
              <w:spacing w:line="360" w:lineRule="auto"/>
              <w:ind w:left="0" w:firstLine="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具备AAA级信用投标企业和建设工程服务类项目免缴投标保证金。</w:t>
            </w:r>
          </w:p>
          <w:p>
            <w:pPr>
              <w:pStyle w:val="23"/>
              <w:numPr>
                <w:ilvl w:val="0"/>
                <w:numId w:val="0"/>
              </w:numPr>
              <w:spacing w:line="360" w:lineRule="auto"/>
              <w:ind w:left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pStyle w:val="23"/>
              <w:numPr>
                <w:ilvl w:val="0"/>
                <w:numId w:val="0"/>
              </w:numPr>
              <w:spacing w:line="360" w:lineRule="auto"/>
              <w:ind w:leftChars="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eastAsia="zh-CN"/>
              </w:rPr>
              <w:t>投标承诺函</w:t>
            </w:r>
            <w:r>
              <w:rPr>
                <w:rFonts w:hint="eastAsia" w:ascii="宋体" w:hAnsi="宋体" w:eastAsia="宋体" w:cs="宋体"/>
                <w:b/>
                <w:bCs/>
                <w:color w:val="auto"/>
                <w:kern w:val="0"/>
                <w:sz w:val="24"/>
                <w:szCs w:val="24"/>
                <w:lang w:val="en-US" w:eastAsia="zh-CN"/>
              </w:rPr>
              <w:t>格式如下：</w:t>
            </w:r>
          </w:p>
          <w:p>
            <w:pPr>
              <w:pStyle w:val="23"/>
              <w:numPr>
                <w:ilvl w:val="0"/>
                <w:numId w:val="0"/>
              </w:numPr>
              <w:spacing w:line="360" w:lineRule="auto"/>
              <w:ind w:leftChars="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投标承诺函</w:t>
            </w:r>
          </w:p>
          <w:p>
            <w:pPr>
              <w:pStyle w:val="23"/>
              <w:numPr>
                <w:ilvl w:val="0"/>
                <w:numId w:val="0"/>
              </w:numPr>
              <w:spacing w:line="360" w:lineRule="auto"/>
              <w:ind w:leftChars="0"/>
              <w:rPr>
                <w:rFonts w:hint="eastAsia" w:ascii="宋体" w:hAnsi="宋体" w:eastAsia="宋体" w:cs="宋体"/>
                <w:b/>
                <w:bCs/>
                <w:color w:val="auto"/>
                <w:kern w:val="0"/>
                <w:sz w:val="24"/>
                <w:szCs w:val="24"/>
              </w:rPr>
            </w:pPr>
          </w:p>
          <w:p>
            <w:pPr>
              <w:pStyle w:val="23"/>
              <w:numPr>
                <w:ilvl w:val="0"/>
                <w:numId w:val="0"/>
              </w:numPr>
              <w:spacing w:line="360" w:lineRule="auto"/>
              <w:ind w:leftChars="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 xml:space="preserve">市场主体名称：                                    </w:t>
            </w:r>
          </w:p>
          <w:p>
            <w:pPr>
              <w:pStyle w:val="23"/>
              <w:numPr>
                <w:ilvl w:val="0"/>
                <w:numId w:val="0"/>
              </w:numPr>
              <w:spacing w:line="360" w:lineRule="auto"/>
              <w:ind w:leftChars="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 xml:space="preserve">统一社会信用代码：                                </w:t>
            </w:r>
          </w:p>
          <w:p>
            <w:pPr>
              <w:pStyle w:val="23"/>
              <w:numPr>
                <w:ilvl w:val="0"/>
                <w:numId w:val="0"/>
              </w:numPr>
              <w:spacing w:line="360" w:lineRule="auto"/>
              <w:ind w:leftChars="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 xml:space="preserve">主管部门：                                         </w:t>
            </w:r>
          </w:p>
          <w:p>
            <w:pPr>
              <w:pStyle w:val="23"/>
              <w:numPr>
                <w:ilvl w:val="0"/>
                <w:numId w:val="0"/>
              </w:numPr>
              <w:spacing w:line="360" w:lineRule="auto"/>
              <w:ind w:leftChars="0"/>
              <w:rPr>
                <w:rFonts w:hint="eastAsia" w:ascii="宋体" w:hAnsi="宋体" w:eastAsia="宋体" w:cs="宋体"/>
                <w:b/>
                <w:bCs/>
                <w:color w:val="auto"/>
                <w:kern w:val="0"/>
                <w:sz w:val="24"/>
                <w:szCs w:val="24"/>
              </w:rPr>
            </w:pPr>
          </w:p>
          <w:p>
            <w:pPr>
              <w:pStyle w:val="23"/>
              <w:numPr>
                <w:ilvl w:val="0"/>
                <w:numId w:val="0"/>
              </w:numPr>
              <w:spacing w:line="360" w:lineRule="auto"/>
              <w:ind w:leftChars="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本单位自愿作出如下承诺：</w:t>
            </w:r>
          </w:p>
          <w:p>
            <w:pPr>
              <w:pStyle w:val="23"/>
              <w:numPr>
                <w:ilvl w:val="0"/>
                <w:numId w:val="0"/>
              </w:numPr>
              <w:spacing w:line="360" w:lineRule="auto"/>
              <w:ind w:leftChars="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pStyle w:val="23"/>
              <w:numPr>
                <w:ilvl w:val="0"/>
                <w:numId w:val="0"/>
              </w:numPr>
              <w:spacing w:line="360" w:lineRule="auto"/>
              <w:ind w:leftChars="0"/>
              <w:rPr>
                <w:rFonts w:hint="eastAsia" w:ascii="宋体" w:hAnsi="宋体" w:eastAsia="宋体" w:cs="宋体"/>
                <w:b/>
                <w:bCs/>
                <w:color w:val="auto"/>
                <w:kern w:val="0"/>
                <w:sz w:val="24"/>
                <w:szCs w:val="24"/>
              </w:rPr>
            </w:pPr>
          </w:p>
          <w:p>
            <w:pPr>
              <w:pStyle w:val="23"/>
              <w:numPr>
                <w:ilvl w:val="0"/>
                <w:numId w:val="0"/>
              </w:numPr>
              <w:spacing w:line="360" w:lineRule="auto"/>
              <w:ind w:leftChars="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授权委托人签字：</w:t>
            </w:r>
          </w:p>
          <w:p>
            <w:pPr>
              <w:pStyle w:val="23"/>
              <w:numPr>
                <w:ilvl w:val="0"/>
                <w:numId w:val="0"/>
              </w:numPr>
              <w:spacing w:line="360" w:lineRule="auto"/>
              <w:ind w:leftChars="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授权委托人联系电话：</w:t>
            </w:r>
          </w:p>
          <w:p>
            <w:pPr>
              <w:pStyle w:val="23"/>
              <w:numPr>
                <w:ilvl w:val="0"/>
                <w:numId w:val="0"/>
              </w:numPr>
              <w:spacing w:line="360" w:lineRule="auto"/>
              <w:ind w:leftChars="0"/>
              <w:rPr>
                <w:rFonts w:hint="eastAsia" w:ascii="宋体" w:hAnsi="宋体" w:eastAsia="宋体" w:cs="宋体"/>
                <w:b/>
                <w:bCs/>
                <w:color w:val="auto"/>
                <w:kern w:val="0"/>
                <w:sz w:val="24"/>
                <w:szCs w:val="24"/>
              </w:rPr>
            </w:pPr>
          </w:p>
          <w:p>
            <w:pPr>
              <w:pStyle w:val="23"/>
              <w:numPr>
                <w:ilvl w:val="0"/>
                <w:numId w:val="0"/>
              </w:numPr>
              <w:spacing w:line="360" w:lineRule="auto"/>
              <w:ind w:leftChars="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企业公章：           法人签字或盖章：</w:t>
            </w:r>
            <w:r>
              <w:rPr>
                <w:rFonts w:hint="eastAsia" w:ascii="宋体" w:hAnsi="宋体" w:eastAsia="宋体" w:cs="宋体"/>
                <w:color w:val="auto"/>
                <w:kern w:val="0"/>
                <w:sz w:val="24"/>
                <w:szCs w:val="24"/>
              </w:rPr>
              <w:t xml:space="preserve">           </w:t>
            </w:r>
          </w:p>
          <w:p>
            <w:pPr>
              <w:pStyle w:val="23"/>
              <w:numPr>
                <w:ilvl w:val="0"/>
                <w:numId w:val="3"/>
              </w:numPr>
              <w:spacing w:line="360" w:lineRule="auto"/>
              <w:ind w:left="0" w:leftChars="0" w:firstLine="0" w:firstLineChars="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缴纳投标保证金后，在规定的投标有效期内撤回投标文件或未按招标文件要求递交投标文件的，在开标结束后当日内退还保证金。</w:t>
            </w:r>
          </w:p>
          <w:p>
            <w:pPr>
              <w:pStyle w:val="23"/>
              <w:numPr>
                <w:ilvl w:val="0"/>
                <w:numId w:val="0"/>
              </w:numPr>
              <w:spacing w:line="360" w:lineRule="auto"/>
              <w:ind w:left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废标项目重新招标时，必须按修改后的招标文件重新缴纳保证金，原缴纳保证金废标后一日内退还。</w:t>
            </w:r>
          </w:p>
          <w:p>
            <w:pPr>
              <w:pStyle w:val="23"/>
              <w:numPr>
                <w:ilvl w:val="0"/>
                <w:numId w:val="0"/>
              </w:numPr>
              <w:spacing w:line="36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退还保证金：</w:t>
            </w:r>
            <w:r>
              <w:rPr>
                <w:rFonts w:hint="eastAsia" w:ascii="宋体" w:hAnsi="宋体" w:eastAsia="宋体" w:cs="宋体"/>
                <w:color w:val="auto"/>
                <w:kern w:val="0"/>
                <w:sz w:val="24"/>
                <w:szCs w:val="24"/>
                <w:lang w:val="en-US" w:eastAsia="zh-CN"/>
              </w:rPr>
              <w:t>评标结果公告发布后 1 个工作日内系统自动退还未中标单位投标保证金；招标人与中标人在交易平台合同管理系统网上签订合同，进行合同备案后 2 个工作日内，系统自动退还中标单位的投标保证金。</w:t>
            </w:r>
          </w:p>
          <w:p>
            <w:pPr>
              <w:pStyle w:val="23"/>
              <w:spacing w:line="360" w:lineRule="auto"/>
              <w:ind w:left="0" w:leftChars="0" w:firstLine="0" w:firstLineChars="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注：投标人须根据投标保证金缴纳方式将投标保证金缴纳凭证或保函或承诺函附在投标文件中。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3.6</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是否允许递交备选投标方案</w:t>
            </w:r>
          </w:p>
        </w:tc>
        <w:tc>
          <w:tcPr>
            <w:tcW w:w="7300" w:type="dxa"/>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不允许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3.7.3</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电子签名或签字</w:t>
            </w:r>
            <w:r>
              <w:rPr>
                <w:rFonts w:hint="eastAsia" w:ascii="宋体" w:hAnsi="宋体" w:eastAsia="宋体" w:cs="宋体"/>
                <w:color w:val="auto"/>
                <w:sz w:val="24"/>
                <w:szCs w:val="24"/>
              </w:rPr>
              <w:t>要求</w:t>
            </w:r>
          </w:p>
        </w:tc>
        <w:tc>
          <w:tcPr>
            <w:tcW w:w="7300" w:type="dxa"/>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（1）所有要求法定代表人</w:t>
            </w:r>
            <w:r>
              <w:rPr>
                <w:rFonts w:hint="eastAsia" w:ascii="宋体" w:hAnsi="宋体" w:eastAsia="宋体" w:cs="宋体"/>
                <w:color w:val="auto"/>
                <w:kern w:val="0"/>
                <w:sz w:val="24"/>
                <w:szCs w:val="24"/>
                <w:lang w:eastAsia="zh-CN"/>
              </w:rPr>
              <w:t>电子签名或签字</w:t>
            </w:r>
            <w:r>
              <w:rPr>
                <w:rFonts w:hint="eastAsia" w:ascii="宋体" w:hAnsi="宋体" w:eastAsia="宋体" w:cs="宋体"/>
                <w:color w:val="auto"/>
                <w:kern w:val="0"/>
                <w:sz w:val="24"/>
                <w:szCs w:val="24"/>
              </w:rPr>
              <w:t>的地方都应用本人的CA印章签章；</w:t>
            </w:r>
          </w:p>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（2）所有要求单位</w:t>
            </w:r>
            <w:r>
              <w:rPr>
                <w:rFonts w:hint="eastAsia" w:ascii="宋体" w:hAnsi="宋体" w:eastAsia="宋体" w:cs="宋体"/>
                <w:color w:val="auto"/>
                <w:kern w:val="0"/>
                <w:sz w:val="24"/>
                <w:szCs w:val="24"/>
                <w:lang w:eastAsia="zh-CN"/>
              </w:rPr>
              <w:t>电子签章</w:t>
            </w:r>
            <w:r>
              <w:rPr>
                <w:rFonts w:hint="eastAsia" w:ascii="宋体" w:hAnsi="宋体" w:eastAsia="宋体" w:cs="宋体"/>
                <w:color w:val="auto"/>
                <w:kern w:val="0"/>
                <w:sz w:val="24"/>
                <w:szCs w:val="24"/>
              </w:rPr>
              <w:t>的地方都应加盖投标人单位（法定名称）的CA印章；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96" w:hRule="atLeast"/>
        </w:trPr>
        <w:tc>
          <w:tcPr>
            <w:tcW w:w="899" w:type="dxa"/>
            <w:noWrap w:val="0"/>
            <w:vAlign w:val="center"/>
          </w:tcPr>
          <w:p>
            <w:pPr>
              <w:widowControl/>
              <w:spacing w:line="360" w:lineRule="auto"/>
              <w:ind w:firstLine="240" w:firstLineChars="100"/>
              <w:jc w:val="left"/>
              <w:rPr>
                <w:rFonts w:hint="eastAsia" w:ascii="宋体" w:hAnsi="宋体" w:eastAsia="宋体" w:cs="宋体"/>
                <w:color w:val="auto"/>
                <w:kern w:val="0"/>
                <w:sz w:val="24"/>
                <w:szCs w:val="24"/>
              </w:rPr>
            </w:pPr>
          </w:p>
        </w:tc>
        <w:tc>
          <w:tcPr>
            <w:tcW w:w="1660" w:type="dxa"/>
            <w:gridSpan w:val="2"/>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监理大纲是否采用暗标</w:t>
            </w:r>
          </w:p>
        </w:tc>
        <w:tc>
          <w:tcPr>
            <w:tcW w:w="7300" w:type="dxa"/>
            <w:noWrap w:val="0"/>
            <w:vAlign w:val="top"/>
          </w:tcPr>
          <w:p>
            <w:pPr>
              <w:widowControl/>
              <w:spacing w:line="360" w:lineRule="auto"/>
              <w:jc w:val="left"/>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采用暗标：</w:t>
            </w:r>
          </w:p>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监理大纲须按照第五章投标文件格式中监理大纲（暗标）中要求编制；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4.2.1</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投标截止时间</w:t>
            </w:r>
          </w:p>
        </w:tc>
        <w:tc>
          <w:tcPr>
            <w:tcW w:w="7300" w:type="dxa"/>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b/>
                <w:bCs/>
                <w:color w:val="auto"/>
                <w:sz w:val="24"/>
                <w:szCs w:val="24"/>
              </w:rPr>
              <w:t>20</w:t>
            </w:r>
            <w:r>
              <w:rPr>
                <w:rFonts w:hint="eastAsia" w:ascii="宋体" w:hAnsi="宋体" w:eastAsia="宋体" w:cs="宋体"/>
                <w:b/>
                <w:bCs/>
                <w:color w:val="auto"/>
                <w:sz w:val="24"/>
                <w:szCs w:val="24"/>
                <w:lang w:val="en-US" w:eastAsia="zh-CN"/>
              </w:rPr>
              <w:t>24</w:t>
            </w:r>
            <w:r>
              <w:rPr>
                <w:rFonts w:hint="eastAsia" w:ascii="宋体" w:hAnsi="宋体" w:eastAsia="宋体" w:cs="宋体"/>
                <w:b/>
                <w:bCs/>
                <w:color w:val="auto"/>
                <w:sz w:val="24"/>
                <w:szCs w:val="24"/>
              </w:rPr>
              <w:t>年</w:t>
            </w:r>
            <w:r>
              <w:rPr>
                <w:rFonts w:hint="eastAsia" w:ascii="宋体" w:hAnsi="宋体" w:eastAsia="宋体" w:cs="宋体"/>
                <w:b/>
                <w:bCs/>
                <w:color w:val="auto"/>
                <w:sz w:val="24"/>
                <w:szCs w:val="24"/>
                <w:lang w:val="en-US" w:eastAsia="zh-CN"/>
              </w:rPr>
              <w:t>01月23</w:t>
            </w:r>
            <w:r>
              <w:rPr>
                <w:rFonts w:hint="eastAsia" w:ascii="宋体" w:hAnsi="宋体" w:eastAsia="宋体" w:cs="宋体"/>
                <w:b/>
                <w:bCs/>
                <w:color w:val="auto"/>
                <w:sz w:val="24"/>
                <w:szCs w:val="24"/>
              </w:rPr>
              <w:t>日</w:t>
            </w:r>
            <w:r>
              <w:rPr>
                <w:rFonts w:hint="eastAsia" w:ascii="宋体" w:hAnsi="宋体" w:eastAsia="宋体" w:cs="宋体"/>
                <w:b/>
                <w:bCs/>
                <w:color w:val="auto"/>
                <w:kern w:val="0"/>
                <w:sz w:val="24"/>
                <w:szCs w:val="24"/>
              </w:rPr>
              <w:t>上午</w:t>
            </w:r>
            <w:r>
              <w:rPr>
                <w:rFonts w:hint="eastAsia" w:ascii="宋体" w:hAnsi="宋体" w:eastAsia="宋体" w:cs="宋体"/>
                <w:b/>
                <w:bCs/>
                <w:color w:val="auto"/>
                <w:kern w:val="0"/>
                <w:sz w:val="24"/>
                <w:szCs w:val="24"/>
                <w:lang w:val="en-US" w:eastAsia="zh-CN"/>
              </w:rPr>
              <w:t>09</w:t>
            </w:r>
            <w:r>
              <w:rPr>
                <w:rFonts w:hint="eastAsia" w:ascii="宋体" w:hAnsi="宋体" w:eastAsia="宋体" w:cs="宋体"/>
                <w:b/>
                <w:bCs/>
                <w:color w:val="auto"/>
                <w:kern w:val="0"/>
                <w:sz w:val="24"/>
                <w:szCs w:val="24"/>
              </w:rPr>
              <w:t>时</w:t>
            </w:r>
            <w:r>
              <w:rPr>
                <w:rFonts w:hint="eastAsia" w:ascii="宋体" w:hAnsi="宋体" w:eastAsia="宋体" w:cs="宋体"/>
                <w:b/>
                <w:bCs/>
                <w:color w:val="auto"/>
                <w:kern w:val="0"/>
                <w:sz w:val="24"/>
                <w:szCs w:val="24"/>
                <w:lang w:val="en-US" w:eastAsia="zh-CN"/>
              </w:rPr>
              <w:t>30</w:t>
            </w:r>
            <w:r>
              <w:rPr>
                <w:rFonts w:hint="eastAsia" w:ascii="宋体" w:hAnsi="宋体" w:eastAsia="宋体" w:cs="宋体"/>
                <w:b/>
                <w:bCs/>
                <w:color w:val="auto"/>
                <w:kern w:val="0"/>
                <w:sz w:val="24"/>
                <w:szCs w:val="24"/>
              </w:rPr>
              <w:t>分（北京时间）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8"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4.2.2</w:t>
            </w:r>
          </w:p>
        </w:tc>
        <w:tc>
          <w:tcPr>
            <w:tcW w:w="1660" w:type="dxa"/>
            <w:gridSpan w:val="2"/>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电子投标文件递交</w:t>
            </w:r>
          </w:p>
        </w:tc>
        <w:tc>
          <w:tcPr>
            <w:tcW w:w="7300" w:type="dxa"/>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1、投标人应在南阳市公共资源交易系统下载“电子投标文件制作工具”，并按照招标文件要求编制和上传递交加密的电子投标文件</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rPr>
              <w:t>.nyTF格式</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rPr>
              <w:t>。投标人上传时必须得到系统“上传成功”的确认回复，并认真检查电子投标文件是否完整、正确。递交网址：</w:t>
            </w:r>
            <w:r>
              <w:rPr>
                <w:rFonts w:hint="eastAsia" w:ascii="宋体" w:hAnsi="宋体" w:eastAsia="宋体" w:cs="宋体"/>
                <w:color w:val="auto"/>
                <w:kern w:val="0"/>
                <w:sz w:val="24"/>
                <w:szCs w:val="24"/>
              </w:rPr>
              <w:fldChar w:fldCharType="begin"/>
            </w:r>
            <w:r>
              <w:rPr>
                <w:rFonts w:hint="eastAsia" w:ascii="宋体" w:hAnsi="宋体" w:eastAsia="宋体" w:cs="宋体"/>
                <w:color w:val="auto"/>
                <w:kern w:val="0"/>
                <w:sz w:val="24"/>
                <w:szCs w:val="24"/>
              </w:rPr>
              <w:instrText xml:space="preserve"> HYPERLINK "http://www.thggzy.cn" </w:instrText>
            </w:r>
            <w:r>
              <w:rPr>
                <w:rFonts w:hint="eastAsia" w:ascii="宋体" w:hAnsi="宋体" w:eastAsia="宋体" w:cs="宋体"/>
                <w:color w:val="auto"/>
                <w:kern w:val="0"/>
                <w:sz w:val="24"/>
                <w:szCs w:val="24"/>
              </w:rPr>
              <w:fldChar w:fldCharType="separate"/>
            </w:r>
            <w:r>
              <w:rPr>
                <w:rFonts w:hint="eastAsia" w:ascii="宋体" w:hAnsi="宋体" w:eastAsia="宋体" w:cs="宋体"/>
                <w:color w:val="auto"/>
                <w:kern w:val="0"/>
                <w:sz w:val="24"/>
                <w:szCs w:val="24"/>
              </w:rPr>
              <w:t>http://www.th</w:t>
            </w:r>
            <w:r>
              <w:rPr>
                <w:rFonts w:hint="eastAsia" w:ascii="宋体" w:hAnsi="宋体" w:eastAsia="宋体" w:cs="宋体"/>
                <w:color w:val="auto"/>
                <w:kern w:val="0"/>
                <w:sz w:val="24"/>
                <w:szCs w:val="24"/>
                <w:highlight w:val="none"/>
              </w:rPr>
              <w:t>gg</w:t>
            </w:r>
            <w:r>
              <w:rPr>
                <w:rFonts w:hint="eastAsia" w:ascii="宋体" w:hAnsi="宋体" w:eastAsia="宋体" w:cs="宋体"/>
                <w:color w:val="auto"/>
                <w:kern w:val="0"/>
                <w:sz w:val="24"/>
                <w:szCs w:val="24"/>
              </w:rPr>
              <w:t>zy.cn</w:t>
            </w:r>
            <w:r>
              <w:rPr>
                <w:rFonts w:hint="eastAsia" w:ascii="宋体" w:hAnsi="宋体" w:eastAsia="宋体" w:cs="宋体"/>
                <w:color w:val="auto"/>
                <w:kern w:val="0"/>
                <w:sz w:val="24"/>
                <w:szCs w:val="24"/>
              </w:rPr>
              <w:fldChar w:fldCharType="end"/>
            </w:r>
          </w:p>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2、投标人的电子投标文件应在招标文件规定的投标截止时间前到达交易系统。逾期到达交易系统的电子投标文件视为放弃本次投标。</w:t>
            </w:r>
          </w:p>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3、投标人所递交的电子投标文件在投标截止时间之后不予退回。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0"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5.1</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开标时间和地点</w:t>
            </w:r>
          </w:p>
        </w:tc>
        <w:tc>
          <w:tcPr>
            <w:tcW w:w="7300" w:type="dxa"/>
            <w:noWrap w:val="0"/>
            <w:vAlign w:val="center"/>
          </w:tcPr>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开标时间：同投标截止时间</w:t>
            </w:r>
          </w:p>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开标地点：唐河县公共资源交易中心（本项目采用网上不见面方式开标，投标企业无须到达开标现场）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685" w:hRule="atLeast"/>
        </w:trPr>
        <w:tc>
          <w:tcPr>
            <w:tcW w:w="89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5.2</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开标程序</w:t>
            </w:r>
          </w:p>
        </w:tc>
        <w:tc>
          <w:tcPr>
            <w:tcW w:w="7300" w:type="dxa"/>
            <w:noWrap w:val="0"/>
            <w:vAlign w:val="center"/>
          </w:tcPr>
          <w:p>
            <w:pPr>
              <w:pStyle w:val="28"/>
              <w:numPr>
                <w:ilvl w:val="0"/>
                <w:numId w:val="6"/>
              </w:numPr>
              <w:tabs>
                <w:tab w:val="left" w:pos="953"/>
              </w:tabs>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投标人代表持本单位CA数字证书提前登录不见面开标系统。</w:t>
            </w:r>
          </w:p>
          <w:p>
            <w:pPr>
              <w:pStyle w:val="28"/>
              <w:numPr>
                <w:ilvl w:val="0"/>
                <w:numId w:val="0"/>
              </w:numPr>
              <w:tabs>
                <w:tab w:val="left" w:pos="953"/>
              </w:tabs>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2、开标时间到，在线公布投标人、招标人代表、监标人等有关名单。主持人（代理公司）根据保证金交纳情况来确定有效投标人，并退回不符合要求的投标文件。　</w:t>
            </w:r>
          </w:p>
          <w:p>
            <w:pPr>
              <w:pStyle w:val="28"/>
              <w:tabs>
                <w:tab w:val="left" w:pos="953"/>
              </w:tabs>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3、开标顺序：　</w:t>
            </w:r>
          </w:p>
          <w:p>
            <w:pPr>
              <w:pStyle w:val="28"/>
              <w:tabs>
                <w:tab w:val="left" w:pos="953"/>
              </w:tabs>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pStyle w:val="28"/>
              <w:tabs>
                <w:tab w:val="left" w:pos="953"/>
              </w:tabs>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②招标人解密。目前无需招标人进行二次解密。</w:t>
            </w:r>
          </w:p>
          <w:p>
            <w:pPr>
              <w:pStyle w:val="28"/>
              <w:tabs>
                <w:tab w:val="left" w:pos="953"/>
              </w:tabs>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③随机抽取参数（K值）并在线录入不见面系统。</w:t>
            </w:r>
          </w:p>
          <w:p>
            <w:pPr>
              <w:pStyle w:val="28"/>
              <w:tabs>
                <w:tab w:val="left" w:pos="953"/>
              </w:tabs>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唱标。查看唱标信息（系统不提供语音在线播放，该页面停留1分钟供投标人查看，如无异议视为同意）。招标人、监督人需要关注开标过程中，投标人随时在线提出的异议、问题沟通等信息，并做好及时回复；</w:t>
            </w:r>
          </w:p>
          <w:p>
            <w:pPr>
              <w:pStyle w:val="28"/>
              <w:tabs>
                <w:tab w:val="left" w:pos="953"/>
              </w:tabs>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⑤招标代理机构宣布开标结束，点击“开标结束”操作按钮（系统自动进行“招标文件导入”、“控制价文件导入”）。</w:t>
            </w:r>
          </w:p>
          <w:p>
            <w:pPr>
              <w:pStyle w:val="28"/>
              <w:tabs>
                <w:tab w:val="left" w:pos="953"/>
              </w:tabs>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⑥招标人（代理机构）、投标人等相关人员在开标记录表上进行CA签字确认。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82"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6.1.1</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评标委员会的组建</w:t>
            </w:r>
          </w:p>
        </w:tc>
        <w:tc>
          <w:tcPr>
            <w:tcW w:w="7300" w:type="dxa"/>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评标委员会</w:t>
            </w:r>
            <w:r>
              <w:rPr>
                <w:rFonts w:hint="eastAsia" w:ascii="宋体" w:hAnsi="宋体" w:eastAsia="宋体" w:cs="宋体"/>
                <w:color w:val="auto"/>
                <w:sz w:val="24"/>
                <w:szCs w:val="24"/>
                <w:lang w:val="en-US" w:eastAsia="zh-CN"/>
              </w:rPr>
              <w:t>构成</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人，</w:t>
            </w:r>
            <w:r>
              <w:rPr>
                <w:rFonts w:hint="eastAsia" w:ascii="宋体" w:hAnsi="宋体" w:eastAsia="宋体" w:cs="宋体"/>
                <w:color w:val="auto"/>
                <w:sz w:val="24"/>
                <w:szCs w:val="24"/>
                <w:lang w:val="en-US" w:eastAsia="zh-CN"/>
              </w:rPr>
              <w:t>其中</w:t>
            </w:r>
            <w:r>
              <w:rPr>
                <w:rFonts w:hint="eastAsia" w:ascii="宋体" w:hAnsi="宋体" w:eastAsia="宋体" w:cs="宋体"/>
                <w:color w:val="auto"/>
                <w:sz w:val="24"/>
                <w:szCs w:val="24"/>
              </w:rPr>
              <w:t>招标人代表</w:t>
            </w:r>
            <w:r>
              <w:rPr>
                <w:rFonts w:hint="eastAsia" w:ascii="宋体" w:hAnsi="宋体" w:eastAsia="宋体" w:cs="宋体"/>
                <w:color w:val="auto"/>
                <w:sz w:val="24"/>
                <w:szCs w:val="24"/>
                <w:lang w:val="en-US" w:eastAsia="zh-CN"/>
              </w:rPr>
              <w:t>2人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专家5人</w:t>
            </w:r>
            <w:r>
              <w:rPr>
                <w:rFonts w:hint="eastAsia" w:ascii="宋体" w:hAnsi="宋体" w:eastAsia="宋体" w:cs="宋体"/>
                <w:color w:val="auto"/>
                <w:sz w:val="24"/>
                <w:szCs w:val="24"/>
              </w:rPr>
              <w:t>。</w:t>
            </w:r>
          </w:p>
          <w:p>
            <w:pPr>
              <w:pStyle w:val="28"/>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评标专家确定方式：从河南省综合评标专家库中</w:t>
            </w:r>
            <w:r>
              <w:rPr>
                <w:rFonts w:hint="eastAsia" w:ascii="宋体" w:hAnsi="宋体" w:eastAsia="宋体" w:cs="宋体"/>
                <w:color w:val="auto"/>
                <w:sz w:val="24"/>
                <w:szCs w:val="24"/>
              </w:rPr>
              <w:t>随机抽取</w:t>
            </w:r>
            <w:r>
              <w:rPr>
                <w:rFonts w:hint="eastAsia" w:ascii="宋体" w:hAnsi="宋体" w:eastAsia="宋体" w:cs="宋体"/>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0"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7.1</w:t>
            </w:r>
          </w:p>
        </w:tc>
        <w:tc>
          <w:tcPr>
            <w:tcW w:w="1660"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是否授权评</w:t>
            </w:r>
            <w:r>
              <w:rPr>
                <w:rFonts w:hint="eastAsia" w:ascii="宋体" w:hAnsi="宋体" w:eastAsia="宋体" w:cs="宋体"/>
                <w:color w:val="auto"/>
                <w:sz w:val="24"/>
                <w:szCs w:val="24"/>
                <w:lang w:val="en-US" w:eastAsia="zh-CN"/>
              </w:rPr>
              <w:t>标</w:t>
            </w:r>
            <w:r>
              <w:rPr>
                <w:rFonts w:hint="eastAsia" w:ascii="宋体" w:hAnsi="宋体" w:eastAsia="宋体" w:cs="宋体"/>
                <w:color w:val="auto"/>
                <w:sz w:val="24"/>
                <w:szCs w:val="24"/>
              </w:rPr>
              <w:t>委员会确定中标人</w:t>
            </w:r>
          </w:p>
        </w:tc>
        <w:tc>
          <w:tcPr>
            <w:tcW w:w="7300" w:type="dxa"/>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否，推荐的中标候选人数：</w:t>
            </w:r>
            <w:r>
              <w:rPr>
                <w:rFonts w:hint="eastAsia" w:ascii="宋体" w:hAnsi="宋体" w:eastAsia="宋体" w:cs="宋体"/>
                <w:color w:val="auto"/>
                <w:sz w:val="24"/>
                <w:szCs w:val="24"/>
                <w:u w:val="single"/>
              </w:rPr>
              <w:t xml:space="preserve">  1-3  </w:t>
            </w:r>
            <w:r>
              <w:rPr>
                <w:rFonts w:hint="eastAsia" w:ascii="宋体" w:hAnsi="宋体" w:eastAsia="宋体" w:cs="宋体"/>
                <w:color w:val="auto"/>
                <w:sz w:val="24"/>
                <w:szCs w:val="24"/>
              </w:rPr>
              <w:t>名；</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按</w:t>
            </w:r>
            <w:r>
              <w:rPr>
                <w:rFonts w:hint="eastAsia" w:ascii="宋体" w:hAnsi="宋体" w:eastAsia="宋体" w:cs="宋体"/>
                <w:color w:val="auto"/>
                <w:sz w:val="24"/>
                <w:szCs w:val="24"/>
                <w:highlight w:val="none"/>
              </w:rPr>
              <w:t>建设部</w:t>
            </w:r>
            <w:r>
              <w:rPr>
                <w:rFonts w:hint="eastAsia" w:ascii="宋体" w:hAnsi="宋体" w:eastAsia="宋体" w:cs="宋体"/>
                <w:color w:val="auto"/>
                <w:sz w:val="24"/>
                <w:szCs w:val="24"/>
              </w:rPr>
              <w:t>30号令《工程建设项目施工招标投标办法》相关规定：招标人应当确定排名第一的中标候选人为中标人。排名第一的中标候选人放弃中标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rPr>
              <w:t>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5"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8960" w:type="dxa"/>
            <w:gridSpan w:val="3"/>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10.1</w:t>
            </w:r>
          </w:p>
        </w:tc>
        <w:tc>
          <w:tcPr>
            <w:tcW w:w="159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招标控制价</w:t>
            </w:r>
          </w:p>
        </w:tc>
        <w:tc>
          <w:tcPr>
            <w:tcW w:w="7368" w:type="dxa"/>
            <w:gridSpan w:val="2"/>
            <w:noWrap w:val="0"/>
            <w:vAlign w:val="center"/>
          </w:tcPr>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本项目设</w:t>
            </w:r>
            <w:r>
              <w:rPr>
                <w:rFonts w:hint="eastAsia" w:ascii="宋体" w:hAnsi="宋体" w:eastAsia="宋体" w:cs="宋体"/>
                <w:b/>
                <w:bCs/>
                <w:color w:val="auto"/>
                <w:sz w:val="24"/>
                <w:szCs w:val="24"/>
              </w:rPr>
              <w:t>招标控制价：</w:t>
            </w:r>
          </w:p>
          <w:p>
            <w:pPr>
              <w:spacing w:line="360" w:lineRule="auto"/>
              <w:rPr>
                <w:rFonts w:hint="eastAsia" w:ascii="宋体" w:hAnsi="宋体" w:eastAsia="宋体" w:cs="宋体"/>
                <w:b/>
                <w:bCs/>
                <w:color w:val="0000FF"/>
                <w:sz w:val="24"/>
                <w:szCs w:val="24"/>
                <w:lang w:val="en-US" w:eastAsia="zh-CN"/>
              </w:rPr>
            </w:pPr>
            <w:r>
              <w:rPr>
                <w:rFonts w:hint="eastAsia" w:ascii="宋体" w:hAnsi="宋体" w:eastAsia="宋体" w:cs="宋体"/>
                <w:b/>
                <w:bCs/>
                <w:color w:val="0000FF"/>
                <w:sz w:val="24"/>
                <w:szCs w:val="24"/>
              </w:rPr>
              <w:t>大写：</w:t>
            </w:r>
            <w:r>
              <w:rPr>
                <w:rFonts w:hint="eastAsia" w:ascii="宋体" w:hAnsi="宋体" w:eastAsia="宋体" w:cs="宋体"/>
                <w:b/>
                <w:bCs/>
                <w:color w:val="0000FF"/>
                <w:sz w:val="24"/>
                <w:szCs w:val="24"/>
                <w:lang w:val="en-US" w:eastAsia="zh-CN"/>
              </w:rPr>
              <w:t>肆拾伍万元整</w:t>
            </w:r>
          </w:p>
          <w:p>
            <w:pPr>
              <w:spacing w:line="360" w:lineRule="auto"/>
              <w:rPr>
                <w:rFonts w:hint="eastAsia" w:ascii="宋体" w:hAnsi="宋体" w:eastAsia="宋体" w:cs="宋体"/>
                <w:b/>
                <w:bCs/>
                <w:color w:val="0000FF"/>
                <w:sz w:val="24"/>
                <w:szCs w:val="24"/>
              </w:rPr>
            </w:pPr>
            <w:r>
              <w:rPr>
                <w:rFonts w:hint="eastAsia" w:ascii="宋体" w:hAnsi="宋体" w:eastAsia="宋体" w:cs="宋体"/>
                <w:b/>
                <w:bCs/>
                <w:color w:val="0000FF"/>
                <w:sz w:val="24"/>
                <w:szCs w:val="24"/>
              </w:rPr>
              <w:t>小写：</w:t>
            </w:r>
            <w:r>
              <w:rPr>
                <w:rFonts w:hint="eastAsia" w:ascii="宋体" w:hAnsi="宋体" w:eastAsia="宋体" w:cs="宋体"/>
                <w:b/>
                <w:bCs/>
                <w:color w:val="0000FF"/>
                <w:sz w:val="24"/>
                <w:szCs w:val="24"/>
                <w:lang w:val="en-US" w:eastAsia="zh-CN"/>
              </w:rPr>
              <w:t>450000</w:t>
            </w:r>
            <w:r>
              <w:rPr>
                <w:rFonts w:hint="eastAsia" w:ascii="宋体" w:hAnsi="宋体" w:eastAsia="宋体" w:cs="宋体"/>
                <w:b/>
                <w:bCs/>
                <w:color w:val="0000FF"/>
                <w:sz w:val="24"/>
                <w:szCs w:val="24"/>
              </w:rPr>
              <w:t>元</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招标控制价是招标人控制招标工程造价的最高限价，投标人的投标报价高于招标控制价的视为无效报价，其投标按废标处理。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10.2</w:t>
            </w:r>
          </w:p>
        </w:tc>
        <w:tc>
          <w:tcPr>
            <w:tcW w:w="159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是否实行计算机辅助评标</w:t>
            </w:r>
          </w:p>
        </w:tc>
        <w:tc>
          <w:tcPr>
            <w:tcW w:w="7368" w:type="dxa"/>
            <w:gridSpan w:val="2"/>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5"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10.3</w:t>
            </w:r>
          </w:p>
        </w:tc>
        <w:tc>
          <w:tcPr>
            <w:tcW w:w="159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投标人代表出席开标会</w:t>
            </w:r>
          </w:p>
        </w:tc>
        <w:tc>
          <w:tcPr>
            <w:tcW w:w="7368" w:type="dxa"/>
            <w:gridSpan w:val="2"/>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参照不见面开标手册和流程。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10.4</w:t>
            </w:r>
          </w:p>
        </w:tc>
        <w:tc>
          <w:tcPr>
            <w:tcW w:w="159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中标公示</w:t>
            </w:r>
          </w:p>
        </w:tc>
        <w:tc>
          <w:tcPr>
            <w:tcW w:w="7368" w:type="dxa"/>
            <w:gridSpan w:val="2"/>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在中标通知书发出前，招标人将中标候选人的情况在本招标项目招标公告发布的同一媒体上予以公示，公示期3日。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10.5</w:t>
            </w:r>
          </w:p>
        </w:tc>
        <w:tc>
          <w:tcPr>
            <w:tcW w:w="159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知识产权</w:t>
            </w:r>
          </w:p>
        </w:tc>
        <w:tc>
          <w:tcPr>
            <w:tcW w:w="7368" w:type="dxa"/>
            <w:gridSpan w:val="2"/>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构成本招标文件各组成部分的文件，未经招标人或招标代理机构书面同意，投标人不得擅自复印和用于非招标项目所需的其他目的。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5"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10.6</w:t>
            </w:r>
          </w:p>
        </w:tc>
        <w:tc>
          <w:tcPr>
            <w:tcW w:w="159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重新招标的情形</w:t>
            </w:r>
          </w:p>
        </w:tc>
        <w:tc>
          <w:tcPr>
            <w:tcW w:w="7368" w:type="dxa"/>
            <w:gridSpan w:val="2"/>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除投标人须知正文第八条规定的情形外，除非已产生中标候选人，在投标有效期内同意延长投标有效期的投标人少于三个的，招标人应依法组织重新招标。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10.7</w:t>
            </w:r>
          </w:p>
        </w:tc>
        <w:tc>
          <w:tcPr>
            <w:tcW w:w="159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同义词语</w:t>
            </w:r>
          </w:p>
        </w:tc>
        <w:tc>
          <w:tcPr>
            <w:tcW w:w="7368" w:type="dxa"/>
            <w:gridSpan w:val="2"/>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构成招标文件组成的“通用合同条款”、“技术标准和要求”和“工程量清单”等章节中出现的措辞“发包人”和“承包人”，在招标投标阶段应该分别按“招标人”和“投标人”理解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56"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10.8</w:t>
            </w:r>
          </w:p>
        </w:tc>
        <w:tc>
          <w:tcPr>
            <w:tcW w:w="159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监督</w:t>
            </w:r>
          </w:p>
        </w:tc>
        <w:tc>
          <w:tcPr>
            <w:tcW w:w="7368" w:type="dxa"/>
            <w:gridSpan w:val="2"/>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本项目的招投标活动及其相关当事人应当接受有管辖权的建设工程招投标行政监督部门依法实施的监督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10.9</w:t>
            </w:r>
          </w:p>
        </w:tc>
        <w:tc>
          <w:tcPr>
            <w:tcW w:w="159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解释权</w:t>
            </w:r>
          </w:p>
        </w:tc>
        <w:tc>
          <w:tcPr>
            <w:tcW w:w="7368" w:type="dxa"/>
            <w:gridSpan w:val="2"/>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编排顺序在前者为准解释；同一组成文件中就同一事项的规定或约定不一致的，以编排顺序在前者为准；同一组成文件不同版本之间有不一致的，以形成时间在后者为准。按本款前述规定仍不能形成结论的，由招标人负责解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10.10</w:t>
            </w:r>
          </w:p>
        </w:tc>
        <w:tc>
          <w:tcPr>
            <w:tcW w:w="159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价款支付方式</w:t>
            </w:r>
          </w:p>
        </w:tc>
        <w:tc>
          <w:tcPr>
            <w:tcW w:w="7368" w:type="dxa"/>
            <w:gridSpan w:val="2"/>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价款支付方式按合同约定确定。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10.11</w:t>
            </w:r>
          </w:p>
        </w:tc>
        <w:tc>
          <w:tcPr>
            <w:tcW w:w="1592" w:type="dxa"/>
            <w:noWrap w:val="0"/>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原件审查</w:t>
            </w:r>
          </w:p>
        </w:tc>
        <w:tc>
          <w:tcPr>
            <w:tcW w:w="7368" w:type="dxa"/>
            <w:gridSpan w:val="2"/>
            <w:noWrap w:val="0"/>
            <w:vAlign w:val="center"/>
          </w:tcPr>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rPr>
              <w:t>1</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rPr>
              <w:t>招标文件中凡</w:t>
            </w:r>
            <w:r>
              <w:rPr>
                <w:rFonts w:hint="eastAsia" w:ascii="宋体" w:hAnsi="宋体" w:eastAsia="宋体" w:cs="宋体"/>
                <w:b/>
                <w:color w:val="auto"/>
                <w:sz w:val="24"/>
                <w:szCs w:val="24"/>
                <w:highlight w:val="none"/>
              </w:rPr>
              <w:t>涉及到</w:t>
            </w:r>
            <w:r>
              <w:rPr>
                <w:rFonts w:hint="eastAsia" w:ascii="宋体" w:hAnsi="宋体" w:eastAsia="宋体" w:cs="宋体"/>
                <w:b/>
                <w:color w:val="auto"/>
                <w:sz w:val="24"/>
                <w:szCs w:val="24"/>
              </w:rPr>
              <w:t>资格审查或加分项目，全部以投标单位（南阳市）诚信库中证件原件的扫描件为准，并且投标文件中所附复印件必须和企业（南阳市）诚信库中证件原件的扫描件一致。</w:t>
            </w:r>
          </w:p>
          <w:p>
            <w:pPr>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rPr>
              <w:t>2</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rPr>
              <w:t>本项目实行资格后审，审查内容以投标截止时间24小时前填报上传企业（南阳市）诚信库信息为准，过期更改的（南阳市）诚信库信息不作为本项目评审依据。开评标现场不接受（南阳市）诚信库信息原件。（南阳市）诚信库上传信息必须内容齐全，真实有效，原件扫描件清晰可辨。否则，由此造成应得分而未得分或资格审查不合格等情况的，由投标企业承担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899" w:type="dxa"/>
            <w:noWrap w:val="0"/>
            <w:vAlign w:val="center"/>
          </w:tcPr>
          <w:p>
            <w:pPr>
              <w:spacing w:line="360" w:lineRule="auto"/>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10.1</w:t>
            </w:r>
            <w:r>
              <w:rPr>
                <w:rFonts w:hint="eastAsia" w:ascii="宋体" w:hAnsi="宋体" w:eastAsia="宋体" w:cs="宋体"/>
                <w:b/>
                <w:bCs/>
                <w:color w:val="auto"/>
                <w:sz w:val="24"/>
                <w:szCs w:val="24"/>
                <w:lang w:val="en-US" w:eastAsia="zh-CN"/>
              </w:rPr>
              <w:t>2</w:t>
            </w:r>
          </w:p>
        </w:tc>
        <w:tc>
          <w:tcPr>
            <w:tcW w:w="1592" w:type="dxa"/>
            <w:noWrap w:val="0"/>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履约担保 </w:t>
            </w:r>
          </w:p>
        </w:tc>
        <w:tc>
          <w:tcPr>
            <w:tcW w:w="7368" w:type="dxa"/>
            <w:gridSpan w:val="2"/>
            <w:noWrap w:val="0"/>
            <w:vAlign w:val="center"/>
          </w:tcPr>
          <w:p>
            <w:pPr>
              <w:spacing w:line="360" w:lineRule="auto"/>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履约担保的形式：保函（电子保函、银行纸质保函等）、转账、支票、信用担保等形式，推广使用电子保函、银行纸质保函、信用担保形式缴纳。</w:t>
            </w:r>
          </w:p>
          <w:p>
            <w:pPr>
              <w:spacing w:line="360" w:lineRule="auto"/>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履约担保的金额：根据《中华人民共和国招标投标法实施条例》第58条规定，履约保证金不高于项目中标价的10%，按照省市优化营商环境之规定，建议项目履约保证金按中标价的3%进行缴纳。</w:t>
            </w:r>
          </w:p>
          <w:p>
            <w:pPr>
              <w:spacing w:line="360" w:lineRule="auto"/>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履约保证金由招标人按照合同之约定进行收取。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9859" w:type="dxa"/>
            <w:gridSpan w:val="4"/>
            <w:noWrap w:val="0"/>
            <w:vAlign w:val="center"/>
          </w:tcPr>
          <w:p>
            <w:pPr>
              <w:spacing w:line="30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w:t>注：</w:t>
            </w:r>
          </w:p>
          <w:p>
            <w:pPr>
              <w:spacing w:line="30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w:t>1、招标文件的最终解释权归招标人；</w:t>
            </w:r>
            <w:r>
              <w:rPr>
                <w:rFonts w:hint="eastAsia" w:ascii="宋体" w:hAnsi="宋体" w:eastAsia="宋体" w:cs="宋体"/>
                <w:b/>
                <w:bCs/>
                <w:color w:val="auto"/>
                <w:sz w:val="24"/>
                <w:szCs w:val="24"/>
                <w:highlight w:val="none"/>
              </w:rPr>
              <w:t>其它</w:t>
            </w:r>
            <w:r>
              <w:rPr>
                <w:rFonts w:hint="eastAsia" w:ascii="宋体" w:hAnsi="宋体" w:eastAsia="宋体" w:cs="宋体"/>
                <w:b/>
                <w:bCs/>
                <w:color w:val="auto"/>
                <w:sz w:val="24"/>
                <w:szCs w:val="24"/>
              </w:rPr>
              <w:t>未尽事宜，按国家有关法律、法规执行。</w:t>
            </w:r>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t>2、参加多个标段投标的投标人必须分别获取相应标段的招标文件，并对每个标段单独递交投标文件。</w:t>
            </w:r>
          </w:p>
          <w:p>
            <w:pPr>
              <w:pStyle w:val="45"/>
              <w:rPr>
                <w:rFonts w:hint="eastAsia" w:ascii="宋体" w:hAnsi="宋体" w:eastAsia="宋体" w:cs="宋体"/>
              </w:rPr>
            </w:pPr>
            <w:r>
              <w:rPr>
                <w:rFonts w:hint="eastAsia" w:ascii="宋体" w:hAnsi="宋体" w:eastAsia="宋体" w:cs="宋体"/>
                <w:b/>
                <w:bCs/>
                <w:color w:val="auto"/>
                <w:kern w:val="2"/>
                <w:sz w:val="24"/>
                <w:szCs w:val="24"/>
                <w:lang w:val="en-US" w:eastAsia="zh-CN" w:bidi="ar-SA"/>
              </w:rPr>
              <w:t>3、招标代理费：按照豫招协【2023】002号文规定之招标代理服务收费计算标准，由中标人向招标代理机构一次性支付招标代理服务费。</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4、投标人信用承诺书：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依据宛发改公管〔2022〕125号文件要求，投标人在每次参与招投标活动前，应按照信用承诺书范本签订信用承诺（附在投标文件中），投标人对各自提供的资料、证照的真实性负责，对在交易活动中的行为负责。</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b/>
                <w:bCs/>
                <w:kern w:val="0"/>
                <w:sz w:val="24"/>
                <w:szCs w:val="24"/>
                <w:u w:val="none"/>
                <w:shd w:val="clear" w:color="auto" w:fill="auto"/>
                <w:lang w:val="en-US" w:eastAsia="zh-CN" w:bidi="zh-TW"/>
              </w:rPr>
              <w:t>信用承诺书模板如下：</w:t>
            </w:r>
          </w:p>
          <w:p>
            <w:pPr>
              <w:pStyle w:val="7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b/>
                <w:bCs/>
                <w:color w:val="000000"/>
                <w:spacing w:val="0"/>
                <w:w w:val="100"/>
                <w:kern w:val="0"/>
                <w:position w:val="0"/>
                <w:sz w:val="24"/>
                <w:szCs w:val="24"/>
                <w:lang w:eastAsia="zh-CN"/>
              </w:rPr>
            </w:pPr>
            <w:r>
              <w:rPr>
                <w:rFonts w:hint="eastAsia" w:ascii="宋体" w:hAnsi="宋体" w:eastAsia="宋体" w:cs="宋体"/>
                <w:b/>
                <w:bCs/>
                <w:color w:val="000000"/>
                <w:spacing w:val="0"/>
                <w:w w:val="100"/>
                <w:kern w:val="0"/>
                <w:position w:val="0"/>
                <w:sz w:val="24"/>
                <w:szCs w:val="24"/>
                <w:lang w:eastAsia="zh-CN"/>
              </w:rPr>
              <w:t>信用承诺书（投标人范本）</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依据宛发改公管〔2022〕125号文件要求：为营造公开、公平、公正、诚实守信的公共资源交易环境，树立诚信守法的投标人形象，本人代表本单位作出以下承诺;</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（二）严格依照国家和河南省关于招标投标的法律、法规、规章、规范性文件，参加公共资源招标投标活动，不挂靠、借用、出租、出借、转让资质，积极履行社会责任，促进廉政建设。</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（三）自我约束、自我管理，守合同、重信用，不参与围标串标、弄虚作假、骗取中标、干扰评标、胁迫他人投标（放弃中标）、恶意投诉、违约毁约等行为，自觉维护公共资源招标投标的良好秩序。</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（四）本单位及项目经办人员信用状况良好，未被列为失信惩戒对象或"老赖""，符合参与公共资源交易活动的相关要求。</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五）本单位不存在被人力资源和社会保障部门列入拖欠农民工工资"黑名单"或因拖欠农民工工资被县级及以上有关行政主管部门限制投标资格之情形，若中标，本单位将自觉落实农民工工资保障的有关措施，及时交纳农民工工资保证金，切实维护农民工权益。</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（六）若中标，本单位将在规定的时间内与招标人签订合同并自觉履行合同义务，不转包或违法分包中标项目。</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（七）自觉接受政府、行业组织、社会公众、新闻舆论的监督。</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（八）本单位自愿接受招标投标综合监督管理机构和</w:t>
            </w:r>
            <w:r>
              <w:rPr>
                <w:rFonts w:hint="eastAsia" w:ascii="宋体" w:hAnsi="宋体" w:eastAsia="宋体" w:cs="宋体"/>
                <w:color w:val="000000"/>
                <w:spacing w:val="0"/>
                <w:w w:val="100"/>
                <w:kern w:val="0"/>
                <w:position w:val="0"/>
                <w:sz w:val="24"/>
                <w:szCs w:val="24"/>
                <w:u w:val="none"/>
                <w:shd w:val="clear" w:color="auto" w:fill="auto"/>
                <w:lang w:val="en-US" w:eastAsia="zh-CN" w:bidi="zh-TW"/>
              </w:rPr>
              <w:t>有关行政监督部门依法开展的监督检查，积极配合行政监督部门的投诉处理;本单位及项目经办人员如发生违法违规或不良行为，自愿接受招</w:t>
            </w:r>
            <w:r>
              <w:rPr>
                <w:rFonts w:hint="eastAsia" w:ascii="宋体" w:hAnsi="宋体" w:eastAsia="宋体" w:cs="宋体"/>
                <w:kern w:val="0"/>
                <w:sz w:val="24"/>
                <w:szCs w:val="24"/>
                <w:u w:val="none"/>
                <w:shd w:val="clear" w:color="auto" w:fill="auto"/>
                <w:lang w:val="en-US" w:eastAsia="zh-CN" w:bidi="zh-TW"/>
              </w:rPr>
              <w:t>标投标综合监督管理机构和有关行政监督部门依法给予的行政处罚（处理），依法承担赔偿责任和刑事责任，并同意按照相关规定记入本单位及项目经办人员诚信档案或不良行为（信用）记录。</w:t>
            </w:r>
          </w:p>
          <w:p>
            <w:pPr>
              <w:ind w:firstLine="480" w:firstLineChars="2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（九）本人已认真阅读了上述承诺，并向本单位员工作了宣传教育。</w:t>
            </w:r>
          </w:p>
          <w:p>
            <w:pPr>
              <w:ind w:firstLine="960" w:firstLineChars="400"/>
              <w:rPr>
                <w:rFonts w:hint="eastAsia" w:ascii="宋体" w:hAnsi="宋体" w:eastAsia="宋体" w:cs="宋体"/>
                <w:kern w:val="0"/>
                <w:sz w:val="24"/>
                <w:szCs w:val="24"/>
                <w:u w:val="none"/>
                <w:shd w:val="clear" w:color="auto" w:fill="auto"/>
                <w:lang w:val="en-US" w:eastAsia="zh-CN" w:bidi="zh-TW"/>
              </w:rPr>
            </w:pPr>
          </w:p>
          <w:p>
            <w:pPr>
              <w:ind w:firstLine="960" w:firstLineChars="400"/>
              <w:rPr>
                <w:rFonts w:hint="eastAsia" w:ascii="宋体" w:hAnsi="宋体" w:eastAsia="宋体" w:cs="宋体"/>
                <w:kern w:val="0"/>
                <w:sz w:val="24"/>
                <w:szCs w:val="24"/>
                <w:u w:val="none"/>
                <w:shd w:val="clear" w:color="auto" w:fill="auto"/>
                <w:lang w:val="en-US" w:eastAsia="zh-CN" w:bidi="zh-TW"/>
              </w:rPr>
            </w:pPr>
          </w:p>
          <w:p>
            <w:pPr>
              <w:ind w:firstLine="960" w:firstLineChars="400"/>
              <w:rPr>
                <w:rFonts w:hint="eastAsia" w:ascii="宋体" w:hAnsi="宋体" w:eastAsia="宋体" w:cs="宋体"/>
                <w:kern w:val="0"/>
                <w:sz w:val="24"/>
                <w:szCs w:val="24"/>
                <w:u w:val="none"/>
                <w:shd w:val="clear" w:color="auto" w:fill="auto"/>
                <w:lang w:val="en-US" w:eastAsia="zh-CN" w:bidi="zh-TW"/>
              </w:rPr>
            </w:pPr>
          </w:p>
          <w:p>
            <w:pPr>
              <w:ind w:firstLine="960" w:firstLineChars="4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法定代表人或（委托代理人）签字∶</w:t>
            </w:r>
          </w:p>
          <w:p>
            <w:pPr>
              <w:pStyle w:val="28"/>
              <w:rPr>
                <w:rFonts w:hint="eastAsia" w:ascii="宋体" w:hAnsi="宋体" w:eastAsia="宋体" w:cs="宋体"/>
                <w:lang w:val="en-US" w:eastAsia="zh-CN"/>
              </w:rPr>
            </w:pPr>
          </w:p>
          <w:p>
            <w:pPr>
              <w:ind w:firstLine="2640" w:firstLineChars="11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 xml:space="preserve">企业名称（盖章）∶ </w:t>
            </w:r>
          </w:p>
          <w:p>
            <w:pPr>
              <w:pStyle w:val="28"/>
              <w:rPr>
                <w:rFonts w:hint="eastAsia" w:ascii="宋体" w:hAnsi="宋体" w:eastAsia="宋体" w:cs="宋体"/>
                <w:lang w:val="en-US" w:eastAsia="zh-CN"/>
              </w:rPr>
            </w:pPr>
          </w:p>
          <w:p>
            <w:pPr>
              <w:ind w:firstLine="2400" w:firstLineChars="1000"/>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项目负责人（签字）∶</w:t>
            </w:r>
          </w:p>
          <w:p>
            <w:pPr>
              <w:pStyle w:val="28"/>
              <w:rPr>
                <w:rFonts w:hint="eastAsia" w:ascii="宋体" w:hAnsi="宋体" w:eastAsia="宋体" w:cs="宋体"/>
                <w:lang w:val="en-US" w:eastAsia="zh-CN"/>
              </w:rPr>
            </w:pPr>
          </w:p>
          <w:p>
            <w:pPr>
              <w:jc w:val="right"/>
              <w:rPr>
                <w:rFonts w:hint="eastAsia" w:ascii="宋体" w:hAnsi="宋体" w:eastAsia="宋体" w:cs="宋体"/>
                <w:kern w:val="0"/>
                <w:sz w:val="24"/>
                <w:szCs w:val="24"/>
                <w:u w:val="none"/>
                <w:shd w:val="clear" w:color="auto" w:fill="auto"/>
                <w:lang w:val="en-US" w:eastAsia="zh-CN" w:bidi="zh-TW"/>
              </w:rPr>
            </w:pPr>
            <w:r>
              <w:rPr>
                <w:rFonts w:hint="eastAsia" w:ascii="宋体" w:hAnsi="宋体" w:eastAsia="宋体" w:cs="宋体"/>
                <w:kern w:val="0"/>
                <w:sz w:val="24"/>
                <w:szCs w:val="24"/>
                <w:u w:val="none"/>
                <w:shd w:val="clear" w:color="auto" w:fill="auto"/>
                <w:lang w:val="en-US" w:eastAsia="zh-CN" w:bidi="zh-TW"/>
              </w:rPr>
              <w:t xml:space="preserve"> 年   月   日</w:t>
            </w:r>
          </w:p>
          <w:p>
            <w:pPr>
              <w:rPr>
                <w:rFonts w:hint="eastAsia" w:ascii="宋体" w:hAnsi="宋体" w:eastAsia="宋体" w:cs="宋体"/>
                <w:kern w:val="0"/>
                <w:sz w:val="24"/>
                <w:szCs w:val="24"/>
                <w:u w:val="none"/>
                <w:shd w:val="clear" w:color="auto" w:fill="auto"/>
                <w:lang w:val="en-US" w:eastAsia="zh-CN" w:bidi="zh-TW"/>
              </w:rPr>
            </w:pPr>
          </w:p>
          <w:p>
            <w:pPr>
              <w:rPr>
                <w:rFonts w:hint="eastAsia" w:ascii="宋体" w:hAnsi="宋体" w:eastAsia="宋体" w:cs="宋体"/>
                <w:b/>
                <w:bCs/>
                <w:color w:val="auto"/>
                <w:kern w:val="2"/>
                <w:sz w:val="24"/>
                <w:szCs w:val="24"/>
                <w:lang w:val="en-US" w:eastAsia="zh-CN" w:bidi="ar-SA"/>
              </w:rPr>
            </w:pPr>
          </w:p>
        </w:tc>
      </w:tr>
    </w:tbl>
    <w:p>
      <w:pPr>
        <w:outlineLvl w:val="1"/>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br w:type="page"/>
      </w:r>
      <w:bookmarkStart w:id="22" w:name="_Toc1023"/>
      <w:bookmarkStart w:id="23" w:name="_Toc19069"/>
      <w:bookmarkStart w:id="24" w:name="_Toc28849"/>
      <w:bookmarkStart w:id="25" w:name="_Toc277453832"/>
      <w:bookmarkStart w:id="26" w:name="_Toc431542563"/>
      <w:bookmarkStart w:id="27" w:name="_Toc277453750"/>
      <w:bookmarkStart w:id="28" w:name="_Toc199309393"/>
      <w:bookmarkStart w:id="29" w:name="_Toc14910"/>
      <w:bookmarkStart w:id="30" w:name="_Toc276979399"/>
      <w:r>
        <w:rPr>
          <w:rStyle w:val="48"/>
          <w:rFonts w:hint="eastAsia" w:ascii="宋体" w:hAnsi="宋体" w:eastAsia="宋体" w:cs="宋体"/>
          <w:color w:val="auto"/>
          <w:sz w:val="24"/>
          <w:szCs w:val="24"/>
        </w:rPr>
        <w:t>1．总则</w:t>
      </w:r>
      <w:bookmarkEnd w:id="22"/>
      <w:bookmarkEnd w:id="23"/>
      <w:bookmarkEnd w:id="24"/>
      <w:bookmarkEnd w:id="25"/>
      <w:bookmarkEnd w:id="26"/>
      <w:bookmarkEnd w:id="27"/>
      <w:bookmarkEnd w:id="28"/>
      <w:bookmarkEnd w:id="29"/>
      <w:bookmarkEnd w:id="30"/>
      <w:bookmarkStart w:id="31" w:name="_Toc431542564"/>
      <w:bookmarkStart w:id="32" w:name="_Toc275511630"/>
      <w:bookmarkStart w:id="33" w:name="_Toc277453751"/>
      <w:bookmarkStart w:id="34" w:name="_Toc275512407"/>
      <w:bookmarkStart w:id="35" w:name="_Toc276979400"/>
      <w:bookmarkStart w:id="36" w:name="_Toc277453833"/>
      <w:bookmarkStart w:id="37" w:name="_Toc199309394"/>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t>1.1 项目概况</w:t>
      </w:r>
      <w:bookmarkEnd w:id="31"/>
      <w:bookmarkEnd w:id="32"/>
      <w:bookmarkEnd w:id="33"/>
      <w:bookmarkEnd w:id="34"/>
      <w:bookmarkEnd w:id="35"/>
      <w:bookmarkEnd w:id="36"/>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1.1.1 根据《中华人民共和国招标投标法》等有关法律、法规和规章的规定，本招标项目已具备招标条件，现对本项目监理进行招标。</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1.1.2 本招标项目招标人：见投标人须知前附表。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1.1.3 本招标项目招标代理机构：见投标人须知前附表。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1.1.4 本招标项目名称：见投标人须知前附表。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1.1.5 本招标项目建设地点：见投标人须知前附表。</w:t>
      </w:r>
    </w:p>
    <w:p>
      <w:pPr>
        <w:rPr>
          <w:rFonts w:hint="eastAsia" w:ascii="宋体" w:hAnsi="宋体" w:eastAsia="宋体" w:cs="宋体"/>
          <w:b/>
          <w:bCs/>
          <w:color w:val="auto"/>
          <w:sz w:val="24"/>
          <w:szCs w:val="24"/>
        </w:rPr>
      </w:pPr>
      <w:bookmarkStart w:id="38" w:name="_Toc275511631"/>
      <w:bookmarkStart w:id="39" w:name="_Toc431542565"/>
      <w:bookmarkStart w:id="40" w:name="_Toc277453752"/>
      <w:bookmarkStart w:id="41" w:name="_Toc277453834"/>
      <w:bookmarkStart w:id="42" w:name="_Toc276979401"/>
      <w:bookmarkStart w:id="43" w:name="_Toc275512408"/>
      <w:r>
        <w:rPr>
          <w:rFonts w:hint="eastAsia" w:ascii="宋体" w:hAnsi="宋体" w:eastAsia="宋体" w:cs="宋体"/>
          <w:b/>
          <w:bCs/>
          <w:color w:val="auto"/>
          <w:sz w:val="24"/>
          <w:szCs w:val="24"/>
        </w:rPr>
        <w:t>1.2 资金来源和落实情况</w:t>
      </w:r>
      <w:bookmarkEnd w:id="38"/>
      <w:bookmarkEnd w:id="39"/>
      <w:bookmarkEnd w:id="40"/>
      <w:bookmarkEnd w:id="41"/>
      <w:bookmarkEnd w:id="42"/>
      <w:bookmarkEnd w:id="43"/>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1.2.1 本招标项目的资金来源：见投标人须知前附表。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1.2.2 本招标项目的资金落实情况：见投标人须知前附表。</w:t>
      </w:r>
    </w:p>
    <w:p>
      <w:pPr>
        <w:rPr>
          <w:rFonts w:hint="eastAsia" w:ascii="宋体" w:hAnsi="宋体" w:eastAsia="宋体" w:cs="宋体"/>
          <w:b/>
          <w:bCs/>
          <w:color w:val="auto"/>
          <w:sz w:val="24"/>
          <w:szCs w:val="24"/>
        </w:rPr>
      </w:pPr>
      <w:bookmarkStart w:id="44" w:name="_Toc275511632"/>
      <w:bookmarkStart w:id="45" w:name="_Toc431542566"/>
      <w:bookmarkStart w:id="46" w:name="_Toc277453835"/>
      <w:bookmarkStart w:id="47" w:name="_Toc277453753"/>
      <w:bookmarkStart w:id="48" w:name="_Toc275512409"/>
      <w:bookmarkStart w:id="49" w:name="_Toc276979402"/>
      <w:r>
        <w:rPr>
          <w:rFonts w:hint="eastAsia" w:ascii="宋体" w:hAnsi="宋体" w:eastAsia="宋体" w:cs="宋体"/>
          <w:b/>
          <w:bCs/>
          <w:color w:val="auto"/>
          <w:sz w:val="24"/>
          <w:szCs w:val="24"/>
        </w:rPr>
        <w:t>1.3 招标范围、计划工期和质量要求</w:t>
      </w:r>
      <w:bookmarkEnd w:id="44"/>
      <w:bookmarkEnd w:id="45"/>
      <w:bookmarkEnd w:id="46"/>
      <w:bookmarkEnd w:id="47"/>
      <w:bookmarkEnd w:id="48"/>
      <w:bookmarkEnd w:id="49"/>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1.3.1 本次招标范围：见投标人须知前附表。</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1.3.2 本招标项目的</w:t>
      </w:r>
      <w:r>
        <w:rPr>
          <w:rFonts w:hint="eastAsia" w:ascii="宋体" w:hAnsi="宋体" w:eastAsia="宋体" w:cs="宋体"/>
          <w:color w:val="auto"/>
          <w:sz w:val="24"/>
          <w:szCs w:val="24"/>
        </w:rPr>
        <w:t>工期</w:t>
      </w:r>
      <w:r>
        <w:rPr>
          <w:rFonts w:hint="eastAsia" w:ascii="宋体" w:hAnsi="宋体" w:eastAsia="宋体" w:cs="宋体"/>
          <w:color w:val="auto"/>
          <w:kern w:val="0"/>
          <w:sz w:val="24"/>
          <w:szCs w:val="24"/>
        </w:rPr>
        <w:t>：见投标人须知前附表。</w:t>
      </w:r>
    </w:p>
    <w:p>
      <w:pPr>
        <w:rPr>
          <w:rFonts w:hint="eastAsia" w:ascii="宋体" w:hAnsi="宋体" w:eastAsia="宋体" w:cs="宋体"/>
          <w:b/>
          <w:bCs/>
          <w:color w:val="auto"/>
          <w:sz w:val="24"/>
          <w:szCs w:val="24"/>
        </w:rPr>
      </w:pPr>
      <w:bookmarkStart w:id="50" w:name="_Toc431542567"/>
      <w:bookmarkStart w:id="51" w:name="_Toc277453836"/>
      <w:bookmarkStart w:id="52" w:name="_Toc276979403"/>
      <w:bookmarkStart w:id="53" w:name="_Toc277453754"/>
      <w:bookmarkStart w:id="54" w:name="_Toc275512410"/>
      <w:bookmarkStart w:id="55" w:name="_Toc275511633"/>
      <w:r>
        <w:rPr>
          <w:rFonts w:hint="eastAsia" w:ascii="宋体" w:hAnsi="宋体" w:eastAsia="宋体" w:cs="宋体"/>
          <w:b/>
          <w:bCs/>
          <w:color w:val="auto"/>
          <w:sz w:val="24"/>
          <w:szCs w:val="24"/>
        </w:rPr>
        <w:t>1.4 投标人资格要求</w:t>
      </w:r>
      <w:bookmarkEnd w:id="50"/>
      <w:bookmarkEnd w:id="51"/>
      <w:bookmarkEnd w:id="52"/>
      <w:bookmarkEnd w:id="53"/>
      <w:bookmarkEnd w:id="54"/>
      <w:bookmarkEnd w:id="55"/>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1.4.1 投标人应具备承担本项目监理的资质条件、能力和信誉。</w:t>
      </w:r>
    </w:p>
    <w:p>
      <w:pPr>
        <w:autoSpaceDE w:val="0"/>
        <w:autoSpaceDN w:val="0"/>
        <w:adjustRightInd w:val="0"/>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（1）资质条件：见投标人须知前附表；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（2）财务要求：见投标人须知前附表；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（3）业绩要求：见投标人须知前附表；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（4）信誉要求：见投标人须知前附表</w:t>
      </w:r>
      <w:r>
        <w:rPr>
          <w:rFonts w:hint="eastAsia" w:ascii="宋体" w:hAnsi="宋体" w:eastAsia="宋体" w:cs="宋体"/>
          <w:color w:val="auto"/>
          <w:kern w:val="0"/>
          <w:sz w:val="24"/>
          <w:szCs w:val="24"/>
          <w:highlight w:val="none"/>
        </w:rPr>
        <w:t>;</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（5）项目总监资格：见投标人须知前附表；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（6）其他要求：见投标人须知前附表。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1.4.2 本次招标不接受联合体投标。</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1.4.3 投标人不得存在下列情形之一：</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（1）为招标人不具有独立法人资格的附属机构（单位）；</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（2）为本项目前期准备提供设计或咨询服务的；</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（3）为本项目的代建人；</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（4）为本项目提供招标代理服务的；</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（5）与本项目的代建人或招标代理机构同为一个法定代表人的；</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（6）与本项目的代建人或招标代理机构相互控股或参股的；</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（7）被责令停业的；</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（8）被暂停或取消投标资格的；</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（9）财产被接管或冻结的；</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（10）在最近三年内有骗取中标或严重违约或重大工程质量问题的。</w:t>
      </w:r>
    </w:p>
    <w:p>
      <w:pPr>
        <w:rPr>
          <w:rFonts w:hint="eastAsia" w:ascii="宋体" w:hAnsi="宋体" w:eastAsia="宋体" w:cs="宋体"/>
          <w:b/>
          <w:bCs/>
          <w:color w:val="auto"/>
          <w:sz w:val="24"/>
          <w:szCs w:val="24"/>
        </w:rPr>
      </w:pPr>
      <w:bookmarkStart w:id="56" w:name="_Toc276979404"/>
      <w:bookmarkStart w:id="57" w:name="_Toc275512411"/>
      <w:bookmarkStart w:id="58" w:name="_Toc277453755"/>
      <w:bookmarkStart w:id="59" w:name="_Toc431542568"/>
      <w:bookmarkStart w:id="60" w:name="_Toc277453837"/>
      <w:bookmarkStart w:id="61" w:name="_Toc275511634"/>
      <w:r>
        <w:rPr>
          <w:rFonts w:hint="eastAsia" w:ascii="宋体" w:hAnsi="宋体" w:eastAsia="宋体" w:cs="宋体"/>
          <w:b/>
          <w:bCs/>
          <w:color w:val="auto"/>
          <w:sz w:val="24"/>
          <w:szCs w:val="24"/>
        </w:rPr>
        <w:t>1.5 费用承担</w:t>
      </w:r>
      <w:bookmarkEnd w:id="56"/>
      <w:bookmarkEnd w:id="57"/>
      <w:bookmarkEnd w:id="58"/>
      <w:bookmarkEnd w:id="59"/>
      <w:bookmarkEnd w:id="60"/>
      <w:bookmarkEnd w:id="61"/>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1.5.1 投标人准备和参加投标活动发生的费用自理。</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1.5.2 招标文件价格：见投标人须知前附表。</w:t>
      </w:r>
    </w:p>
    <w:p>
      <w:pPr>
        <w:rPr>
          <w:rFonts w:hint="eastAsia" w:ascii="宋体" w:hAnsi="宋体" w:eastAsia="宋体" w:cs="宋体"/>
          <w:b/>
          <w:bCs/>
          <w:color w:val="auto"/>
          <w:sz w:val="24"/>
          <w:szCs w:val="24"/>
        </w:rPr>
      </w:pPr>
      <w:bookmarkStart w:id="62" w:name="_Toc275511635"/>
      <w:bookmarkStart w:id="63" w:name="_Toc275512412"/>
      <w:bookmarkStart w:id="64" w:name="_Toc277453838"/>
      <w:bookmarkStart w:id="65" w:name="_Toc276979405"/>
      <w:bookmarkStart w:id="66" w:name="_Toc277453756"/>
      <w:bookmarkStart w:id="67" w:name="_Toc431542569"/>
      <w:r>
        <w:rPr>
          <w:rFonts w:hint="eastAsia" w:ascii="宋体" w:hAnsi="宋体" w:eastAsia="宋体" w:cs="宋体"/>
          <w:b/>
          <w:bCs/>
          <w:color w:val="auto"/>
          <w:sz w:val="24"/>
          <w:szCs w:val="24"/>
        </w:rPr>
        <w:t>1.6 保密</w:t>
      </w:r>
      <w:bookmarkEnd w:id="62"/>
      <w:bookmarkEnd w:id="63"/>
      <w:bookmarkEnd w:id="64"/>
      <w:bookmarkEnd w:id="65"/>
      <w:bookmarkEnd w:id="66"/>
      <w:bookmarkEnd w:id="67"/>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参与招标投标活动的各方应对招标文件和投标文件中的商业和技术等秘密保密，违者应对由此造成的后果承担法律责任。</w:t>
      </w:r>
    </w:p>
    <w:p>
      <w:pPr>
        <w:rPr>
          <w:rFonts w:hint="eastAsia" w:ascii="宋体" w:hAnsi="宋体" w:eastAsia="宋体" w:cs="宋体"/>
          <w:b/>
          <w:bCs/>
          <w:color w:val="auto"/>
          <w:sz w:val="24"/>
          <w:szCs w:val="24"/>
        </w:rPr>
      </w:pPr>
      <w:bookmarkStart w:id="68" w:name="_Toc277453757"/>
      <w:bookmarkStart w:id="69" w:name="_Toc275511636"/>
      <w:bookmarkStart w:id="70" w:name="_Toc275512413"/>
      <w:bookmarkStart w:id="71" w:name="_Toc277453839"/>
      <w:bookmarkStart w:id="72" w:name="_Toc431542570"/>
      <w:bookmarkStart w:id="73" w:name="_Toc276979406"/>
      <w:r>
        <w:rPr>
          <w:rFonts w:hint="eastAsia" w:ascii="宋体" w:hAnsi="宋体" w:eastAsia="宋体" w:cs="宋体"/>
          <w:b/>
          <w:bCs/>
          <w:color w:val="auto"/>
          <w:sz w:val="24"/>
          <w:szCs w:val="24"/>
        </w:rPr>
        <w:t>1.7 语言文字</w:t>
      </w:r>
      <w:bookmarkEnd w:id="68"/>
      <w:bookmarkEnd w:id="69"/>
      <w:bookmarkEnd w:id="70"/>
      <w:bookmarkEnd w:id="71"/>
      <w:bookmarkEnd w:id="72"/>
      <w:bookmarkEnd w:id="73"/>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除专用术语外，与招标投标有关的语言均使用中文。必要时专用术语应附有中文注释。</w:t>
      </w:r>
    </w:p>
    <w:p>
      <w:pPr>
        <w:rPr>
          <w:rFonts w:hint="eastAsia" w:ascii="宋体" w:hAnsi="宋体" w:eastAsia="宋体" w:cs="宋体"/>
          <w:b/>
          <w:bCs/>
          <w:color w:val="auto"/>
          <w:sz w:val="24"/>
          <w:szCs w:val="24"/>
        </w:rPr>
      </w:pPr>
      <w:bookmarkStart w:id="74" w:name="_Toc275511637"/>
      <w:bookmarkStart w:id="75" w:name="_Toc276979407"/>
      <w:bookmarkStart w:id="76" w:name="_Toc275512414"/>
      <w:bookmarkStart w:id="77" w:name="_Toc431542571"/>
      <w:bookmarkStart w:id="78" w:name="_Toc277453840"/>
      <w:bookmarkStart w:id="79" w:name="_Toc277453758"/>
      <w:r>
        <w:rPr>
          <w:rFonts w:hint="eastAsia" w:ascii="宋体" w:hAnsi="宋体" w:eastAsia="宋体" w:cs="宋体"/>
          <w:b/>
          <w:bCs/>
          <w:color w:val="auto"/>
          <w:sz w:val="24"/>
          <w:szCs w:val="24"/>
        </w:rPr>
        <w:t>1.8 计量单位</w:t>
      </w:r>
      <w:bookmarkEnd w:id="74"/>
      <w:bookmarkEnd w:id="75"/>
      <w:bookmarkEnd w:id="76"/>
      <w:bookmarkEnd w:id="77"/>
      <w:bookmarkEnd w:id="78"/>
      <w:bookmarkEnd w:id="79"/>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所有计量均采用中华人民共和国法定计量单位。</w:t>
      </w:r>
    </w:p>
    <w:p>
      <w:pPr>
        <w:rPr>
          <w:rFonts w:hint="eastAsia" w:ascii="宋体" w:hAnsi="宋体" w:eastAsia="宋体" w:cs="宋体"/>
          <w:b/>
          <w:bCs/>
          <w:color w:val="auto"/>
          <w:sz w:val="24"/>
          <w:szCs w:val="24"/>
        </w:rPr>
      </w:pPr>
      <w:bookmarkStart w:id="80" w:name="_Toc275512415"/>
      <w:bookmarkStart w:id="81" w:name="_Toc277453759"/>
      <w:bookmarkStart w:id="82" w:name="_Toc277453841"/>
      <w:bookmarkStart w:id="83" w:name="_Toc276979408"/>
      <w:bookmarkStart w:id="84" w:name="_Toc431542572"/>
      <w:bookmarkStart w:id="85" w:name="_Toc275511638"/>
      <w:r>
        <w:rPr>
          <w:rFonts w:hint="eastAsia" w:ascii="宋体" w:hAnsi="宋体" w:eastAsia="宋体" w:cs="宋体"/>
          <w:b/>
          <w:bCs/>
          <w:color w:val="auto"/>
          <w:sz w:val="24"/>
          <w:szCs w:val="24"/>
        </w:rPr>
        <w:t>1.9 踏勘现场</w:t>
      </w:r>
      <w:bookmarkEnd w:id="80"/>
      <w:bookmarkEnd w:id="81"/>
      <w:bookmarkEnd w:id="82"/>
      <w:bookmarkEnd w:id="83"/>
      <w:bookmarkEnd w:id="84"/>
      <w:bookmarkEnd w:id="85"/>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踏勘现场：见投标人须知前附表。</w:t>
      </w:r>
    </w:p>
    <w:p>
      <w:pPr>
        <w:rPr>
          <w:rFonts w:hint="eastAsia" w:ascii="宋体" w:hAnsi="宋体" w:eastAsia="宋体" w:cs="宋体"/>
          <w:b/>
          <w:bCs/>
          <w:color w:val="auto"/>
          <w:sz w:val="24"/>
          <w:szCs w:val="24"/>
        </w:rPr>
      </w:pPr>
      <w:bookmarkStart w:id="86" w:name="_Toc277453760"/>
      <w:bookmarkStart w:id="87" w:name="_Toc431542573"/>
      <w:bookmarkStart w:id="88" w:name="_Toc275512416"/>
      <w:bookmarkStart w:id="89" w:name="_Toc276979409"/>
      <w:bookmarkStart w:id="90" w:name="_Toc275511639"/>
      <w:bookmarkStart w:id="91" w:name="_Toc277453842"/>
      <w:r>
        <w:rPr>
          <w:rFonts w:hint="eastAsia" w:ascii="宋体" w:hAnsi="宋体" w:eastAsia="宋体" w:cs="宋体"/>
          <w:b/>
          <w:bCs/>
          <w:color w:val="auto"/>
          <w:sz w:val="24"/>
          <w:szCs w:val="24"/>
        </w:rPr>
        <w:t>1.10 投标预备会</w:t>
      </w:r>
      <w:bookmarkEnd w:id="86"/>
      <w:bookmarkEnd w:id="87"/>
      <w:bookmarkEnd w:id="88"/>
      <w:bookmarkEnd w:id="89"/>
      <w:bookmarkEnd w:id="90"/>
      <w:bookmarkEnd w:id="91"/>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投标预备会：见投标人须知前附表。</w:t>
      </w:r>
    </w:p>
    <w:p>
      <w:pPr>
        <w:rPr>
          <w:rFonts w:hint="eastAsia" w:ascii="宋体" w:hAnsi="宋体" w:eastAsia="宋体" w:cs="宋体"/>
          <w:b/>
          <w:bCs/>
          <w:color w:val="auto"/>
          <w:sz w:val="24"/>
          <w:szCs w:val="24"/>
        </w:rPr>
      </w:pPr>
      <w:bookmarkStart w:id="92" w:name="_Toc276979410"/>
      <w:bookmarkStart w:id="93" w:name="_Toc277453761"/>
      <w:bookmarkStart w:id="94" w:name="_Toc275512417"/>
      <w:bookmarkStart w:id="95" w:name="_Toc431542574"/>
      <w:bookmarkStart w:id="96" w:name="_Toc275511640"/>
      <w:bookmarkStart w:id="97" w:name="_Toc277453843"/>
      <w:r>
        <w:rPr>
          <w:rFonts w:hint="eastAsia" w:ascii="宋体" w:hAnsi="宋体" w:eastAsia="宋体" w:cs="宋体"/>
          <w:b/>
          <w:bCs/>
          <w:color w:val="auto"/>
          <w:sz w:val="24"/>
          <w:szCs w:val="24"/>
        </w:rPr>
        <w:t>1.11 分包</w:t>
      </w:r>
      <w:bookmarkEnd w:id="92"/>
      <w:bookmarkEnd w:id="93"/>
      <w:bookmarkEnd w:id="94"/>
      <w:bookmarkEnd w:id="95"/>
      <w:bookmarkEnd w:id="96"/>
      <w:bookmarkEnd w:id="97"/>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分包：见投标人须知前附表。</w:t>
      </w:r>
    </w:p>
    <w:p>
      <w:pPr>
        <w:rPr>
          <w:rFonts w:hint="eastAsia" w:ascii="宋体" w:hAnsi="宋体" w:eastAsia="宋体" w:cs="宋体"/>
          <w:b/>
          <w:bCs/>
          <w:color w:val="auto"/>
          <w:sz w:val="24"/>
          <w:szCs w:val="24"/>
        </w:rPr>
      </w:pPr>
      <w:bookmarkStart w:id="98" w:name="_Toc275511641"/>
      <w:bookmarkStart w:id="99" w:name="_Toc277453762"/>
      <w:bookmarkStart w:id="100" w:name="_Toc277453844"/>
      <w:bookmarkStart w:id="101" w:name="_Toc276979411"/>
      <w:bookmarkStart w:id="102" w:name="_Toc275512418"/>
      <w:bookmarkStart w:id="103" w:name="_Toc431542575"/>
      <w:r>
        <w:rPr>
          <w:rFonts w:hint="eastAsia" w:ascii="宋体" w:hAnsi="宋体" w:eastAsia="宋体" w:cs="宋体"/>
          <w:b/>
          <w:bCs/>
          <w:color w:val="auto"/>
          <w:sz w:val="24"/>
          <w:szCs w:val="24"/>
        </w:rPr>
        <w:t>1.12 偏离</w:t>
      </w:r>
      <w:bookmarkEnd w:id="98"/>
      <w:bookmarkEnd w:id="99"/>
      <w:bookmarkEnd w:id="100"/>
      <w:bookmarkEnd w:id="101"/>
      <w:bookmarkEnd w:id="102"/>
      <w:bookmarkEnd w:id="103"/>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偏离：见投标人须知前附表。</w:t>
      </w:r>
    </w:p>
    <w:p>
      <w:pPr>
        <w:pStyle w:val="4"/>
        <w:spacing w:before="0" w:after="0" w:line="360" w:lineRule="auto"/>
        <w:rPr>
          <w:rFonts w:hint="eastAsia" w:ascii="宋体" w:hAnsi="宋体" w:eastAsia="宋体" w:cs="宋体"/>
          <w:color w:val="auto"/>
          <w:sz w:val="24"/>
          <w:szCs w:val="24"/>
        </w:rPr>
      </w:pPr>
      <w:bookmarkStart w:id="104" w:name="_Toc277453763"/>
      <w:bookmarkStart w:id="105" w:name="_Toc22253"/>
      <w:bookmarkStart w:id="106" w:name="_Toc275511642"/>
      <w:bookmarkStart w:id="107" w:name="_Toc277453845"/>
      <w:bookmarkStart w:id="108" w:name="_Toc5205"/>
      <w:bookmarkStart w:id="109" w:name="_Toc431542576"/>
      <w:bookmarkStart w:id="110" w:name="_Toc31435"/>
      <w:bookmarkStart w:id="111" w:name="_Toc275512419"/>
      <w:bookmarkStart w:id="112" w:name="_Toc27252"/>
      <w:bookmarkStart w:id="113" w:name="_Toc276979412"/>
      <w:r>
        <w:rPr>
          <w:rFonts w:hint="eastAsia" w:ascii="宋体" w:hAnsi="宋体" w:eastAsia="宋体" w:cs="宋体"/>
          <w:color w:val="auto"/>
          <w:sz w:val="24"/>
          <w:szCs w:val="24"/>
        </w:rPr>
        <w:t>2. 招标文件</w:t>
      </w:r>
      <w:bookmarkEnd w:id="104"/>
      <w:bookmarkEnd w:id="105"/>
      <w:bookmarkEnd w:id="106"/>
      <w:bookmarkEnd w:id="107"/>
      <w:bookmarkEnd w:id="108"/>
      <w:bookmarkEnd w:id="109"/>
      <w:bookmarkEnd w:id="110"/>
      <w:bookmarkEnd w:id="111"/>
      <w:bookmarkEnd w:id="112"/>
      <w:bookmarkEnd w:id="113"/>
    </w:p>
    <w:p>
      <w:pPr>
        <w:pStyle w:val="5"/>
        <w:spacing w:before="0" w:beforeAutospacing="0" w:after="0" w:afterAutospacing="0" w:line="360" w:lineRule="auto"/>
        <w:rPr>
          <w:rFonts w:hint="eastAsia" w:ascii="宋体" w:hAnsi="宋体" w:eastAsia="宋体" w:cs="宋体"/>
          <w:color w:val="auto"/>
          <w:sz w:val="24"/>
          <w:szCs w:val="24"/>
        </w:rPr>
      </w:pPr>
      <w:bookmarkStart w:id="114" w:name="_Toc276979413"/>
      <w:bookmarkStart w:id="115" w:name="_Toc277453846"/>
      <w:bookmarkStart w:id="116" w:name="_Toc275511643"/>
      <w:bookmarkStart w:id="117" w:name="_Toc431542577"/>
      <w:bookmarkStart w:id="118" w:name="_Toc277453764"/>
      <w:bookmarkStart w:id="119" w:name="_Toc275512420"/>
      <w:bookmarkStart w:id="120" w:name="_Toc3450"/>
      <w:r>
        <w:rPr>
          <w:rFonts w:hint="eastAsia" w:ascii="宋体" w:hAnsi="宋体" w:eastAsia="宋体" w:cs="宋体"/>
          <w:color w:val="auto"/>
          <w:sz w:val="24"/>
          <w:szCs w:val="24"/>
        </w:rPr>
        <w:t>2.1 招标文件的组成</w:t>
      </w:r>
      <w:bookmarkEnd w:id="114"/>
      <w:bookmarkEnd w:id="115"/>
      <w:bookmarkEnd w:id="116"/>
      <w:bookmarkEnd w:id="117"/>
      <w:bookmarkEnd w:id="118"/>
      <w:bookmarkEnd w:id="119"/>
      <w:bookmarkEnd w:id="120"/>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本招标文件包括：</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（1）招标公告；</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（2）投标人须知；</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（3）评标办法；</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（4）工程建设委托监理合同；</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（5）投标文件格式；</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（6）委托监理的范围和监理工作主要内容</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（7）监理规范和技术规范要求</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根据本章第2.2 款和第2.3 款对招标文件</w:t>
      </w:r>
      <w:r>
        <w:rPr>
          <w:rFonts w:hint="eastAsia" w:ascii="宋体" w:hAnsi="宋体" w:eastAsia="宋体" w:cs="宋体"/>
          <w:color w:val="auto"/>
          <w:kern w:val="0"/>
          <w:sz w:val="24"/>
          <w:szCs w:val="24"/>
          <w:highlight w:val="none"/>
        </w:rPr>
        <w:t>所作的</w:t>
      </w:r>
      <w:r>
        <w:rPr>
          <w:rFonts w:hint="eastAsia" w:ascii="宋体" w:hAnsi="宋体" w:eastAsia="宋体" w:cs="宋体"/>
          <w:color w:val="auto"/>
          <w:kern w:val="0"/>
          <w:sz w:val="24"/>
          <w:szCs w:val="24"/>
        </w:rPr>
        <w:t>澄清、修改，构成招标文件的组成部分。</w:t>
      </w:r>
    </w:p>
    <w:p>
      <w:pPr>
        <w:pStyle w:val="5"/>
        <w:spacing w:before="0" w:beforeAutospacing="0" w:after="0" w:afterAutospacing="0" w:line="360" w:lineRule="auto"/>
        <w:rPr>
          <w:rFonts w:hint="eastAsia" w:ascii="宋体" w:hAnsi="宋体" w:eastAsia="宋体" w:cs="宋体"/>
          <w:color w:val="auto"/>
          <w:sz w:val="24"/>
          <w:szCs w:val="24"/>
        </w:rPr>
      </w:pPr>
      <w:bookmarkStart w:id="121" w:name="_Toc277453765"/>
      <w:bookmarkStart w:id="122" w:name="_Toc275512421"/>
      <w:bookmarkStart w:id="123" w:name="_Toc277453847"/>
      <w:bookmarkStart w:id="124" w:name="_Toc276979414"/>
      <w:bookmarkStart w:id="125" w:name="_Toc275511644"/>
      <w:bookmarkStart w:id="126" w:name="_Toc431542578"/>
      <w:bookmarkStart w:id="127" w:name="_Toc20521"/>
      <w:r>
        <w:rPr>
          <w:rFonts w:hint="eastAsia" w:ascii="宋体" w:hAnsi="宋体" w:eastAsia="宋体" w:cs="宋体"/>
          <w:color w:val="auto"/>
          <w:sz w:val="24"/>
          <w:szCs w:val="24"/>
        </w:rPr>
        <w:t>2.2 招标文件的澄清</w:t>
      </w:r>
      <w:bookmarkEnd w:id="121"/>
      <w:bookmarkEnd w:id="122"/>
      <w:bookmarkEnd w:id="123"/>
      <w:bookmarkEnd w:id="124"/>
      <w:bookmarkEnd w:id="125"/>
      <w:bookmarkEnd w:id="126"/>
      <w:bookmarkEnd w:id="127"/>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en-US"/>
        </w:rPr>
        <w:t>2.2.1</w:t>
      </w:r>
      <w:r>
        <w:rPr>
          <w:rFonts w:hint="eastAsia" w:ascii="宋体" w:hAnsi="宋体" w:eastAsia="宋体" w:cs="宋体"/>
          <w:color w:val="auto"/>
          <w:kern w:val="0"/>
          <w:sz w:val="24"/>
          <w:szCs w:val="24"/>
          <w:highlight w:val="none"/>
        </w:rPr>
        <w:t>投标人应仔细阅读和检查招标文件的全部内容。如发现缺页或附件不全 ，应及时向招标人提出，以便补齐。如有疑问，应在投标人须知前附表规定的时间前通过</w:t>
      </w:r>
      <w:r>
        <w:rPr>
          <w:rFonts w:hint="eastAsia" w:ascii="宋体" w:hAnsi="宋体" w:eastAsia="宋体" w:cs="宋体"/>
          <w:color w:val="auto"/>
          <w:kern w:val="0"/>
          <w:sz w:val="24"/>
          <w:szCs w:val="24"/>
          <w:highlight w:val="none"/>
          <w:lang w:val="en-US" w:eastAsia="zh-CN"/>
        </w:rPr>
        <w:t>唐河县</w:t>
      </w:r>
      <w:r>
        <w:rPr>
          <w:rFonts w:hint="eastAsia" w:ascii="宋体" w:hAnsi="宋体" w:eastAsia="宋体" w:cs="宋体"/>
          <w:color w:val="auto"/>
          <w:kern w:val="0"/>
          <w:sz w:val="24"/>
          <w:szCs w:val="24"/>
          <w:highlight w:val="none"/>
        </w:rPr>
        <w:t>公共资源交易系统</w:t>
      </w:r>
      <w:r>
        <w:rPr>
          <w:rFonts w:hint="eastAsia" w:ascii="宋体" w:hAnsi="宋体" w:eastAsia="宋体" w:cs="宋体"/>
          <w:color w:val="auto"/>
          <w:kern w:val="0"/>
          <w:sz w:val="24"/>
          <w:szCs w:val="24"/>
          <w:highlight w:val="none"/>
          <w:lang w:val="zh-CN" w:eastAsia="zh-CN"/>
        </w:rPr>
        <w:t>“会</w:t>
      </w:r>
      <w:r>
        <w:rPr>
          <w:rFonts w:hint="eastAsia" w:ascii="宋体" w:hAnsi="宋体" w:eastAsia="宋体" w:cs="宋体"/>
          <w:color w:val="auto"/>
          <w:kern w:val="0"/>
          <w:sz w:val="24"/>
          <w:szCs w:val="24"/>
          <w:highlight w:val="none"/>
        </w:rPr>
        <w:t>员平台</w:t>
      </w:r>
      <w:r>
        <w:rPr>
          <w:rFonts w:hint="eastAsia" w:ascii="宋体" w:hAnsi="宋体" w:eastAsia="宋体" w:cs="宋体"/>
          <w:color w:val="auto"/>
          <w:kern w:val="0"/>
          <w:sz w:val="24"/>
          <w:szCs w:val="24"/>
          <w:highlight w:val="none"/>
          <w:lang w:val="zh-CN" w:eastAsia="zh-CN"/>
        </w:rPr>
        <w:t>”向</w:t>
      </w:r>
      <w:r>
        <w:rPr>
          <w:rFonts w:hint="eastAsia" w:ascii="宋体" w:hAnsi="宋体" w:eastAsia="宋体" w:cs="宋体"/>
          <w:color w:val="auto"/>
          <w:kern w:val="0"/>
          <w:sz w:val="24"/>
          <w:szCs w:val="24"/>
          <w:highlight w:val="none"/>
          <w:lang w:val="en-US" w:eastAsia="zh-CN"/>
        </w:rPr>
        <w:t>招标</w:t>
      </w:r>
      <w:r>
        <w:rPr>
          <w:rFonts w:hint="eastAsia" w:ascii="宋体" w:hAnsi="宋体" w:eastAsia="宋体" w:cs="宋体"/>
          <w:color w:val="auto"/>
          <w:kern w:val="0"/>
          <w:sz w:val="24"/>
          <w:szCs w:val="24"/>
          <w:highlight w:val="none"/>
        </w:rPr>
        <w:t>代理机构发起，要求招标人对招标文件予以澄清。</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en-US"/>
        </w:rPr>
        <w:t>2.2.2</w:t>
      </w:r>
      <w:r>
        <w:rPr>
          <w:rFonts w:hint="eastAsia" w:ascii="宋体" w:hAnsi="宋体" w:eastAsia="宋体" w:cs="宋体"/>
          <w:color w:val="auto"/>
          <w:kern w:val="0"/>
          <w:sz w:val="24"/>
          <w:szCs w:val="24"/>
          <w:highlight w:val="none"/>
        </w:rPr>
        <w:t>招标文件的澄清通过</w:t>
      </w:r>
      <w:r>
        <w:rPr>
          <w:rFonts w:hint="eastAsia" w:ascii="宋体" w:hAnsi="宋体" w:eastAsia="宋体" w:cs="宋体"/>
          <w:color w:val="auto"/>
          <w:kern w:val="0"/>
          <w:sz w:val="24"/>
          <w:szCs w:val="24"/>
          <w:highlight w:val="none"/>
          <w:lang w:val="en-US" w:eastAsia="zh-CN"/>
        </w:rPr>
        <w:t>唐河县</w:t>
      </w:r>
      <w:r>
        <w:rPr>
          <w:rFonts w:hint="eastAsia" w:ascii="宋体" w:hAnsi="宋体" w:eastAsia="宋体" w:cs="宋体"/>
          <w:color w:val="auto"/>
          <w:kern w:val="0"/>
          <w:sz w:val="24"/>
          <w:szCs w:val="24"/>
          <w:highlight w:val="none"/>
        </w:rPr>
        <w:t>公共资源交易系统予以澄清，但不指明澄清问题的来源。如果澄清发出的时间距投标人须知前附表规定的投标截止时间不足 15天，并且澄清内容影响投标文件编制的，将相应延长投标截止时间。</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en-US"/>
        </w:rPr>
        <w:t>2.2.3</w:t>
      </w:r>
      <w:r>
        <w:rPr>
          <w:rFonts w:hint="eastAsia" w:ascii="宋体" w:hAnsi="宋体" w:eastAsia="宋体" w:cs="宋体"/>
          <w:color w:val="auto"/>
          <w:kern w:val="0"/>
          <w:sz w:val="24"/>
          <w:szCs w:val="24"/>
          <w:highlight w:val="none"/>
        </w:rPr>
        <w:t>招标代理机构对已发出的招标文件进行的答疑、澄清、变更的内容将作为招标文件的组成部分。招标代理机构将通过网站</w:t>
      </w:r>
      <w:r>
        <w:rPr>
          <w:rFonts w:hint="eastAsia" w:ascii="宋体" w:hAnsi="宋体" w:eastAsia="宋体" w:cs="宋体"/>
          <w:color w:val="auto"/>
          <w:kern w:val="0"/>
          <w:sz w:val="24"/>
          <w:szCs w:val="24"/>
          <w:highlight w:val="none"/>
          <w:lang w:val="zh-CN" w:eastAsia="zh-CN"/>
        </w:rPr>
        <w:t>“变更</w:t>
      </w:r>
      <w:r>
        <w:rPr>
          <w:rFonts w:hint="eastAsia" w:ascii="宋体" w:hAnsi="宋体" w:eastAsia="宋体" w:cs="宋体"/>
          <w:color w:val="auto"/>
          <w:kern w:val="0"/>
          <w:sz w:val="24"/>
          <w:szCs w:val="24"/>
          <w:highlight w:val="none"/>
        </w:rPr>
        <w:t>公告”和系统内部</w:t>
      </w:r>
      <w:r>
        <w:rPr>
          <w:rFonts w:hint="eastAsia" w:ascii="宋体" w:hAnsi="宋体" w:eastAsia="宋体" w:cs="宋体"/>
          <w:color w:val="auto"/>
          <w:kern w:val="0"/>
          <w:sz w:val="24"/>
          <w:szCs w:val="24"/>
          <w:highlight w:val="none"/>
          <w:lang w:val="zh-CN" w:eastAsia="zh-CN"/>
        </w:rPr>
        <w:t>“答疑</w:t>
      </w:r>
      <w:r>
        <w:rPr>
          <w:rFonts w:hint="eastAsia" w:ascii="宋体" w:hAnsi="宋体" w:eastAsia="宋体" w:cs="宋体"/>
          <w:color w:val="auto"/>
          <w:kern w:val="0"/>
          <w:sz w:val="24"/>
          <w:szCs w:val="24"/>
          <w:highlight w:val="none"/>
        </w:rPr>
        <w:t>文件”告知投标人，对于各项目中已经成功下载招标文件的项目投标人，将</w:t>
      </w:r>
      <w:r>
        <w:rPr>
          <w:rFonts w:hint="eastAsia" w:ascii="宋体" w:hAnsi="宋体" w:eastAsia="宋体" w:cs="宋体"/>
          <w:color w:val="auto"/>
          <w:kern w:val="0"/>
          <w:sz w:val="24"/>
          <w:szCs w:val="24"/>
          <w:highlight w:val="none"/>
          <w:lang w:val="en-US" w:eastAsia="zh-CN"/>
        </w:rPr>
        <w:t>不提供</w:t>
      </w:r>
      <w:r>
        <w:rPr>
          <w:rFonts w:hint="eastAsia" w:ascii="宋体" w:hAnsi="宋体" w:eastAsia="宋体" w:cs="宋体"/>
          <w:color w:val="auto"/>
          <w:kern w:val="0"/>
          <w:sz w:val="24"/>
          <w:szCs w:val="24"/>
          <w:highlight w:val="none"/>
        </w:rPr>
        <w:t>投标人进行查询提醒。各投标人须</w:t>
      </w:r>
      <w:r>
        <w:rPr>
          <w:rFonts w:hint="eastAsia" w:ascii="宋体" w:hAnsi="宋体" w:eastAsia="宋体" w:cs="宋体"/>
          <w:color w:val="auto"/>
          <w:kern w:val="0"/>
          <w:sz w:val="24"/>
          <w:szCs w:val="24"/>
          <w:highlight w:val="none"/>
          <w:lang w:val="en-US" w:eastAsia="zh-CN"/>
        </w:rPr>
        <w:t>自行关注交易中心系统网站公示、公告，若有须</w:t>
      </w:r>
      <w:r>
        <w:rPr>
          <w:rFonts w:hint="eastAsia" w:ascii="宋体" w:hAnsi="宋体" w:eastAsia="宋体" w:cs="宋体"/>
          <w:color w:val="auto"/>
          <w:kern w:val="0"/>
          <w:sz w:val="24"/>
          <w:szCs w:val="24"/>
          <w:highlight w:val="none"/>
        </w:rPr>
        <w:t>重新下载最新的招标文件和答疑文件，以此编制投标文件 。仅系友情提示，并不具有任何约束性和必要性，招标代理机构不承担投标人未收到</w:t>
      </w:r>
      <w:r>
        <w:rPr>
          <w:rFonts w:hint="eastAsia" w:ascii="宋体" w:hAnsi="宋体" w:eastAsia="宋体" w:cs="宋体"/>
          <w:color w:val="auto"/>
          <w:kern w:val="0"/>
          <w:sz w:val="24"/>
          <w:szCs w:val="24"/>
          <w:highlight w:val="none"/>
          <w:lang w:val="en-US" w:eastAsia="zh-CN"/>
        </w:rPr>
        <w:t>提醒</w:t>
      </w:r>
      <w:r>
        <w:rPr>
          <w:rFonts w:hint="eastAsia" w:ascii="宋体" w:hAnsi="宋体" w:eastAsia="宋体" w:cs="宋体"/>
          <w:color w:val="auto"/>
          <w:kern w:val="0"/>
          <w:sz w:val="24"/>
          <w:szCs w:val="24"/>
          <w:highlight w:val="none"/>
        </w:rPr>
        <w:t>而引起的一切后果和法律责任</w:t>
      </w:r>
      <w:r>
        <w:rPr>
          <w:rFonts w:hint="eastAsia" w:ascii="宋体" w:hAnsi="宋体" w:eastAsia="宋体" w:cs="宋体"/>
          <w:color w:val="auto"/>
          <w:kern w:val="0"/>
          <w:sz w:val="24"/>
          <w:szCs w:val="24"/>
          <w:highlight w:val="none"/>
          <w:lang w:val="en-US" w:eastAsia="zh-CN"/>
        </w:rPr>
        <w:t>。投标人在投标文件递交截止时间前须自行查看项目进展、变更通知、澄清及回复，因投标人未及时查看而造成的后果自负。</w:t>
      </w:r>
    </w:p>
    <w:p>
      <w:pPr>
        <w:pStyle w:val="65"/>
        <w:keepNext w:val="0"/>
        <w:keepLines w:val="0"/>
        <w:widowControl w:val="0"/>
        <w:shd w:val="clear" w:color="auto" w:fill="auto"/>
        <w:bidi w:val="0"/>
        <w:spacing w:before="0" w:after="0" w:line="461" w:lineRule="exact"/>
        <w:ind w:left="0" w:right="0" w:firstLine="460"/>
        <w:jc w:val="left"/>
        <w:rPr>
          <w:rFonts w:hint="eastAsia" w:ascii="宋体" w:hAnsi="宋体" w:eastAsia="宋体" w:cs="宋体"/>
          <w:color w:val="auto"/>
        </w:rPr>
      </w:pPr>
    </w:p>
    <w:p>
      <w:pPr>
        <w:pStyle w:val="5"/>
        <w:spacing w:before="0" w:beforeAutospacing="0" w:after="0" w:afterAutospacing="0" w:line="360" w:lineRule="auto"/>
        <w:rPr>
          <w:rFonts w:hint="eastAsia" w:ascii="宋体" w:hAnsi="宋体" w:eastAsia="宋体" w:cs="宋体"/>
          <w:color w:val="auto"/>
          <w:sz w:val="24"/>
          <w:szCs w:val="24"/>
        </w:rPr>
      </w:pPr>
      <w:bookmarkStart w:id="128" w:name="_Toc275511645"/>
      <w:bookmarkStart w:id="129" w:name="_Toc277453766"/>
      <w:bookmarkStart w:id="130" w:name="_Toc276979415"/>
      <w:bookmarkStart w:id="131" w:name="_Toc11974"/>
      <w:bookmarkStart w:id="132" w:name="_Toc275512422"/>
      <w:bookmarkStart w:id="133" w:name="_Toc431542579"/>
      <w:bookmarkStart w:id="134" w:name="_Toc277453848"/>
      <w:r>
        <w:rPr>
          <w:rFonts w:hint="eastAsia" w:ascii="宋体" w:hAnsi="宋体" w:eastAsia="宋体" w:cs="宋体"/>
          <w:color w:val="auto"/>
          <w:sz w:val="24"/>
          <w:szCs w:val="24"/>
        </w:rPr>
        <w:t>2.3 招标文件的修改</w:t>
      </w:r>
      <w:bookmarkEnd w:id="128"/>
      <w:bookmarkEnd w:id="129"/>
      <w:bookmarkEnd w:id="130"/>
      <w:bookmarkEnd w:id="131"/>
      <w:bookmarkEnd w:id="132"/>
      <w:bookmarkEnd w:id="133"/>
      <w:bookmarkEnd w:id="134"/>
    </w:p>
    <w:p>
      <w:pPr>
        <w:pStyle w:val="4"/>
        <w:spacing w:before="0" w:after="0" w:line="360" w:lineRule="auto"/>
        <w:ind w:firstLine="480" w:firstLineChars="200"/>
        <w:rPr>
          <w:rFonts w:hint="eastAsia" w:ascii="宋体" w:hAnsi="宋体" w:eastAsia="宋体" w:cs="宋体"/>
          <w:b w:val="0"/>
          <w:bCs w:val="0"/>
          <w:color w:val="auto"/>
          <w:sz w:val="24"/>
          <w:szCs w:val="24"/>
        </w:rPr>
      </w:pPr>
      <w:bookmarkStart w:id="135" w:name="_Toc25827"/>
      <w:bookmarkStart w:id="136" w:name="_Toc17694"/>
      <w:bookmarkStart w:id="137" w:name="_Toc10167"/>
      <w:bookmarkStart w:id="138" w:name="_Toc431542580"/>
      <w:bookmarkStart w:id="139" w:name="_Toc12563"/>
      <w:bookmarkStart w:id="140" w:name="_Toc24862"/>
      <w:bookmarkStart w:id="141" w:name="_Toc275512423"/>
      <w:bookmarkStart w:id="142" w:name="_Toc277453767"/>
      <w:bookmarkStart w:id="143" w:name="_Toc275511646"/>
      <w:bookmarkStart w:id="144" w:name="_Toc276979416"/>
      <w:bookmarkStart w:id="145" w:name="_Toc277453849"/>
      <w:r>
        <w:rPr>
          <w:rFonts w:hint="eastAsia" w:ascii="宋体" w:hAnsi="宋体" w:eastAsia="宋体" w:cs="宋体"/>
          <w:b w:val="0"/>
          <w:bCs w:val="0"/>
          <w:color w:val="auto"/>
          <w:sz w:val="24"/>
          <w:szCs w:val="24"/>
          <w:lang w:val="en-US" w:eastAsia="en-US"/>
        </w:rPr>
        <w:t>2.3.1</w:t>
      </w:r>
      <w:r>
        <w:rPr>
          <w:rFonts w:hint="eastAsia" w:ascii="宋体" w:hAnsi="宋体" w:eastAsia="宋体" w:cs="宋体"/>
          <w:b w:val="0"/>
          <w:bCs w:val="0"/>
          <w:color w:val="auto"/>
          <w:sz w:val="24"/>
          <w:szCs w:val="24"/>
        </w:rPr>
        <w:t>招标人通过</w:t>
      </w:r>
      <w:r>
        <w:rPr>
          <w:rFonts w:hint="eastAsia" w:ascii="宋体" w:hAnsi="宋体" w:eastAsia="宋体" w:cs="宋体"/>
          <w:b w:val="0"/>
          <w:bCs w:val="0"/>
          <w:color w:val="auto"/>
          <w:sz w:val="24"/>
          <w:szCs w:val="24"/>
          <w:lang w:val="en-US" w:eastAsia="zh-CN"/>
        </w:rPr>
        <w:t>唐河县</w:t>
      </w:r>
      <w:r>
        <w:rPr>
          <w:rFonts w:hint="eastAsia" w:ascii="宋体" w:hAnsi="宋体" w:eastAsia="宋体" w:cs="宋体"/>
          <w:b w:val="0"/>
          <w:bCs w:val="0"/>
          <w:color w:val="auto"/>
          <w:sz w:val="24"/>
          <w:szCs w:val="24"/>
        </w:rPr>
        <w:t>公共资源交易系统平台确予以修改。如果修改发出的时间距投标人须知前附表规定的投标截止时间不足15天，并且修改内容影响投标文件编制的，将相应延长投标截止时间。</w:t>
      </w:r>
      <w:bookmarkEnd w:id="135"/>
      <w:bookmarkEnd w:id="136"/>
      <w:bookmarkEnd w:id="137"/>
    </w:p>
    <w:p>
      <w:pPr>
        <w:pStyle w:val="4"/>
        <w:spacing w:before="0" w:after="0" w:line="360" w:lineRule="auto"/>
        <w:ind w:firstLine="480" w:firstLineChars="200"/>
        <w:rPr>
          <w:rFonts w:hint="eastAsia" w:ascii="宋体" w:hAnsi="宋体" w:eastAsia="宋体" w:cs="宋体"/>
          <w:b w:val="0"/>
          <w:bCs w:val="0"/>
          <w:color w:val="auto"/>
          <w:sz w:val="24"/>
          <w:szCs w:val="24"/>
        </w:rPr>
      </w:pPr>
      <w:bookmarkStart w:id="146" w:name="_Toc17267"/>
      <w:bookmarkStart w:id="147" w:name="_Toc15949"/>
      <w:bookmarkStart w:id="148" w:name="_Toc26862"/>
      <w:r>
        <w:rPr>
          <w:rFonts w:hint="eastAsia" w:ascii="宋体" w:hAnsi="宋体" w:eastAsia="宋体" w:cs="宋体"/>
          <w:b w:val="0"/>
          <w:bCs w:val="0"/>
          <w:color w:val="auto"/>
          <w:sz w:val="24"/>
          <w:szCs w:val="24"/>
          <w:lang w:val="en-US" w:eastAsia="en-US"/>
        </w:rPr>
        <w:t>2.3.2</w:t>
      </w:r>
      <w:r>
        <w:rPr>
          <w:rFonts w:hint="eastAsia" w:ascii="宋体" w:hAnsi="宋体" w:eastAsia="宋体" w:cs="宋体"/>
          <w:b w:val="0"/>
          <w:bCs w:val="0"/>
          <w:color w:val="auto"/>
          <w:sz w:val="24"/>
          <w:szCs w:val="24"/>
        </w:rPr>
        <w:t>投标人应经常登录</w:t>
      </w:r>
      <w:r>
        <w:rPr>
          <w:rFonts w:hint="eastAsia" w:ascii="宋体" w:hAnsi="宋体" w:eastAsia="宋体" w:cs="宋体"/>
          <w:b w:val="0"/>
          <w:bCs w:val="0"/>
          <w:color w:val="auto"/>
          <w:sz w:val="24"/>
          <w:szCs w:val="24"/>
          <w:lang w:val="en-US" w:eastAsia="zh-CN"/>
        </w:rPr>
        <w:t>唐河县</w:t>
      </w:r>
      <w:r>
        <w:rPr>
          <w:rFonts w:hint="eastAsia" w:ascii="宋体" w:hAnsi="宋体" w:eastAsia="宋体" w:cs="宋体"/>
          <w:b w:val="0"/>
          <w:bCs w:val="0"/>
          <w:color w:val="auto"/>
          <w:sz w:val="24"/>
          <w:szCs w:val="24"/>
        </w:rPr>
        <w:t>公共资源交易系统</w:t>
      </w:r>
      <w:r>
        <w:rPr>
          <w:rFonts w:hint="eastAsia" w:ascii="宋体" w:hAnsi="宋体" w:eastAsia="宋体" w:cs="宋体"/>
          <w:b w:val="0"/>
          <w:bCs w:val="0"/>
          <w:color w:val="auto"/>
          <w:sz w:val="24"/>
          <w:szCs w:val="24"/>
          <w:lang w:val="zh-CN" w:eastAsia="zh-CN"/>
        </w:rPr>
        <w:t>“会员</w:t>
      </w:r>
      <w:r>
        <w:rPr>
          <w:rFonts w:hint="eastAsia" w:ascii="宋体" w:hAnsi="宋体" w:eastAsia="宋体" w:cs="宋体"/>
          <w:b w:val="0"/>
          <w:bCs w:val="0"/>
          <w:color w:val="auto"/>
          <w:sz w:val="24"/>
          <w:szCs w:val="24"/>
        </w:rPr>
        <w:t>平台”查看相关内容；如因自身原因造成未及时查看招标文件修改内容，所产生后果由投标人自行承担。</w:t>
      </w:r>
      <w:bookmarkEnd w:id="146"/>
      <w:bookmarkEnd w:id="147"/>
      <w:bookmarkEnd w:id="148"/>
    </w:p>
    <w:p>
      <w:pPr>
        <w:pStyle w:val="4"/>
        <w:spacing w:before="0" w:after="0" w:line="360" w:lineRule="auto"/>
        <w:rPr>
          <w:rFonts w:hint="eastAsia" w:ascii="宋体" w:hAnsi="宋体" w:eastAsia="宋体" w:cs="宋体"/>
          <w:color w:val="auto"/>
          <w:sz w:val="24"/>
          <w:szCs w:val="24"/>
        </w:rPr>
      </w:pPr>
      <w:bookmarkStart w:id="149" w:name="_Toc30811"/>
      <w:bookmarkStart w:id="150" w:name="_Toc21060"/>
      <w:r>
        <w:rPr>
          <w:rFonts w:hint="eastAsia" w:ascii="宋体" w:hAnsi="宋体" w:eastAsia="宋体" w:cs="宋体"/>
          <w:color w:val="auto"/>
          <w:sz w:val="24"/>
          <w:szCs w:val="24"/>
        </w:rPr>
        <w:t>3. 投标文件</w:t>
      </w:r>
      <w:bookmarkEnd w:id="138"/>
      <w:bookmarkEnd w:id="139"/>
      <w:bookmarkEnd w:id="140"/>
      <w:bookmarkEnd w:id="141"/>
      <w:bookmarkEnd w:id="142"/>
      <w:bookmarkEnd w:id="143"/>
      <w:bookmarkEnd w:id="144"/>
      <w:bookmarkEnd w:id="145"/>
      <w:bookmarkEnd w:id="149"/>
      <w:bookmarkEnd w:id="150"/>
    </w:p>
    <w:p>
      <w:pPr>
        <w:pStyle w:val="5"/>
        <w:spacing w:before="0" w:beforeAutospacing="0" w:after="0" w:afterAutospacing="0" w:line="360" w:lineRule="auto"/>
        <w:rPr>
          <w:rFonts w:hint="eastAsia" w:ascii="宋体" w:hAnsi="宋体" w:eastAsia="宋体" w:cs="宋体"/>
          <w:color w:val="auto"/>
          <w:sz w:val="24"/>
          <w:szCs w:val="24"/>
        </w:rPr>
      </w:pPr>
      <w:bookmarkStart w:id="151" w:name="_Toc276979417"/>
      <w:bookmarkStart w:id="152" w:name="_Toc22775"/>
      <w:bookmarkStart w:id="153" w:name="_Toc277453850"/>
      <w:bookmarkStart w:id="154" w:name="_Toc275512424"/>
      <w:bookmarkStart w:id="155" w:name="_Toc275511647"/>
      <w:bookmarkStart w:id="156" w:name="_Toc277453768"/>
      <w:bookmarkStart w:id="157" w:name="_Toc431542581"/>
      <w:r>
        <w:rPr>
          <w:rFonts w:hint="eastAsia" w:ascii="宋体" w:hAnsi="宋体" w:eastAsia="宋体" w:cs="宋体"/>
          <w:color w:val="auto"/>
          <w:sz w:val="24"/>
          <w:szCs w:val="24"/>
        </w:rPr>
        <w:t>3.1 投标文件的组成</w:t>
      </w:r>
      <w:bookmarkEnd w:id="151"/>
      <w:bookmarkEnd w:id="152"/>
      <w:bookmarkEnd w:id="153"/>
      <w:bookmarkEnd w:id="154"/>
      <w:bookmarkEnd w:id="155"/>
      <w:bookmarkEnd w:id="156"/>
      <w:bookmarkEnd w:id="157"/>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3.1.1 投标文件应包括下列内容</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包含但不限于</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w:t>
      </w:r>
    </w:p>
    <w:p>
      <w:pPr>
        <w:numPr>
          <w:ilvl w:val="0"/>
          <w:numId w:val="7"/>
        </w:num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bookmarkStart w:id="158" w:name="_Toc277453851"/>
      <w:bookmarkStart w:id="159" w:name="_Toc275512425"/>
      <w:bookmarkStart w:id="160" w:name="_Toc276979418"/>
      <w:bookmarkStart w:id="161" w:name="_Toc431542582"/>
      <w:bookmarkStart w:id="162" w:name="_Toc277453769"/>
      <w:bookmarkStart w:id="163" w:name="_Toc275511648"/>
      <w:r>
        <w:rPr>
          <w:rFonts w:hint="eastAsia" w:ascii="宋体" w:hAnsi="宋体" w:eastAsia="宋体" w:cs="宋体"/>
          <w:color w:val="auto"/>
          <w:kern w:val="0"/>
          <w:sz w:val="24"/>
          <w:szCs w:val="24"/>
        </w:rPr>
        <w:t>投标函及投标函附录</w:t>
      </w:r>
    </w:p>
    <w:p>
      <w:pPr>
        <w:numPr>
          <w:ilvl w:val="0"/>
          <w:numId w:val="7"/>
        </w:num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法定代表人身份证明</w:t>
      </w:r>
    </w:p>
    <w:p>
      <w:pPr>
        <w:numPr>
          <w:ilvl w:val="0"/>
          <w:numId w:val="7"/>
        </w:num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法定代表人授权委托书</w:t>
      </w:r>
    </w:p>
    <w:p>
      <w:pPr>
        <w:numPr>
          <w:ilvl w:val="0"/>
          <w:numId w:val="7"/>
        </w:num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投标保证金</w:t>
      </w:r>
    </w:p>
    <w:p>
      <w:pPr>
        <w:numPr>
          <w:ilvl w:val="0"/>
          <w:numId w:val="7"/>
        </w:num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监理大纲</w:t>
      </w:r>
    </w:p>
    <w:p>
      <w:pPr>
        <w:numPr>
          <w:ilvl w:val="0"/>
          <w:numId w:val="7"/>
        </w:num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项目监理机构</w:t>
      </w:r>
    </w:p>
    <w:p>
      <w:pPr>
        <w:numPr>
          <w:ilvl w:val="0"/>
          <w:numId w:val="7"/>
        </w:num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法人营业执照、资质等级证书等的复印件</w:t>
      </w:r>
    </w:p>
    <w:p>
      <w:pPr>
        <w:numPr>
          <w:ilvl w:val="0"/>
          <w:numId w:val="7"/>
        </w:num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业绩及获奖证书</w:t>
      </w:r>
    </w:p>
    <w:p>
      <w:pPr>
        <w:numPr>
          <w:ilvl w:val="0"/>
          <w:numId w:val="7"/>
        </w:num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拟用于本项目的监理用检测仪器、设备一览表</w:t>
      </w:r>
    </w:p>
    <w:p>
      <w:pPr>
        <w:numPr>
          <w:ilvl w:val="0"/>
          <w:numId w:val="7"/>
        </w:num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优惠及服务承诺</w:t>
      </w:r>
    </w:p>
    <w:p>
      <w:pPr>
        <w:numPr>
          <w:ilvl w:val="0"/>
          <w:numId w:val="7"/>
        </w:num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承诺书</w:t>
      </w:r>
    </w:p>
    <w:p>
      <w:pPr>
        <w:numPr>
          <w:ilvl w:val="0"/>
          <w:numId w:val="7"/>
        </w:num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投标人认为有必要提供</w:t>
      </w:r>
      <w:r>
        <w:rPr>
          <w:rFonts w:hint="eastAsia" w:ascii="宋体" w:hAnsi="宋体" w:eastAsia="宋体" w:cs="宋体"/>
          <w:color w:val="auto"/>
          <w:kern w:val="0"/>
          <w:sz w:val="24"/>
          <w:szCs w:val="24"/>
          <w:highlight w:val="none"/>
        </w:rPr>
        <w:t>的其它</w:t>
      </w:r>
      <w:r>
        <w:rPr>
          <w:rFonts w:hint="eastAsia" w:ascii="宋体" w:hAnsi="宋体" w:eastAsia="宋体" w:cs="宋体"/>
          <w:color w:val="auto"/>
          <w:kern w:val="0"/>
          <w:sz w:val="24"/>
          <w:szCs w:val="24"/>
        </w:rPr>
        <w:t>材料</w:t>
      </w:r>
    </w:p>
    <w:p>
      <w:pPr>
        <w:pStyle w:val="5"/>
        <w:spacing w:before="0" w:beforeAutospacing="0" w:after="0" w:afterAutospacing="0" w:line="360" w:lineRule="auto"/>
        <w:rPr>
          <w:rFonts w:hint="eastAsia" w:ascii="宋体" w:hAnsi="宋体" w:eastAsia="宋体" w:cs="宋体"/>
          <w:color w:val="auto"/>
          <w:sz w:val="24"/>
          <w:szCs w:val="24"/>
        </w:rPr>
      </w:pPr>
      <w:bookmarkStart w:id="164" w:name="_Toc6265"/>
      <w:r>
        <w:rPr>
          <w:rFonts w:hint="eastAsia" w:ascii="宋体" w:hAnsi="宋体" w:eastAsia="宋体" w:cs="宋体"/>
          <w:color w:val="auto"/>
          <w:sz w:val="24"/>
          <w:szCs w:val="24"/>
        </w:rPr>
        <w:t>3.2 投标报价</w:t>
      </w:r>
      <w:bookmarkEnd w:id="158"/>
      <w:bookmarkEnd w:id="159"/>
      <w:bookmarkEnd w:id="160"/>
      <w:bookmarkEnd w:id="161"/>
      <w:bookmarkEnd w:id="162"/>
      <w:bookmarkEnd w:id="163"/>
      <w:bookmarkEnd w:id="164"/>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3．2.1 投标人的监理酬金是在监理服务期内，投标人按合同规定的范围所提供的全部服务所需的费用。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3.2.2投标人应结合市场行情和本工程实际情况自主报价，投标报价不得高于招标控制价，否则视为废标。</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3.2.3 投标人只能提交一个报价，招标人不接受任何选择报价。</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3.2.4 本项目以人民币结算。</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3.2.5 投标人在投标截止时间前修改投标函中的投标总报价，应须符合本章第4.3 款的有关要求。</w:t>
      </w:r>
    </w:p>
    <w:p>
      <w:pPr>
        <w:pStyle w:val="5"/>
        <w:spacing w:before="0" w:beforeAutospacing="0" w:after="0" w:afterAutospacing="0" w:line="360" w:lineRule="auto"/>
        <w:rPr>
          <w:rFonts w:hint="eastAsia" w:ascii="宋体" w:hAnsi="宋体" w:eastAsia="宋体" w:cs="宋体"/>
          <w:color w:val="auto"/>
          <w:sz w:val="24"/>
          <w:szCs w:val="24"/>
        </w:rPr>
      </w:pPr>
      <w:bookmarkStart w:id="165" w:name="_Toc431542583"/>
      <w:bookmarkStart w:id="166" w:name="_Toc276979419"/>
      <w:bookmarkStart w:id="167" w:name="_Toc10687"/>
      <w:bookmarkStart w:id="168" w:name="_Toc277453770"/>
      <w:bookmarkStart w:id="169" w:name="_Toc275512426"/>
      <w:bookmarkStart w:id="170" w:name="_Toc277453852"/>
      <w:bookmarkStart w:id="171" w:name="_Toc275511649"/>
      <w:r>
        <w:rPr>
          <w:rFonts w:hint="eastAsia" w:ascii="宋体" w:hAnsi="宋体" w:eastAsia="宋体" w:cs="宋体"/>
          <w:color w:val="auto"/>
          <w:sz w:val="24"/>
          <w:szCs w:val="24"/>
        </w:rPr>
        <w:t>3.3 投标有效期</w:t>
      </w:r>
      <w:bookmarkEnd w:id="165"/>
      <w:bookmarkEnd w:id="166"/>
      <w:bookmarkEnd w:id="167"/>
      <w:bookmarkEnd w:id="168"/>
      <w:bookmarkEnd w:id="169"/>
      <w:bookmarkEnd w:id="170"/>
      <w:bookmarkEnd w:id="171"/>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3.3.1 在投标人须知前附表规定的投标有效期内，投标人不得要求撤销或修改其投标文件。</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spacing w:before="0" w:beforeAutospacing="0" w:after="0" w:afterAutospacing="0" w:line="360" w:lineRule="auto"/>
        <w:rPr>
          <w:rFonts w:hint="eastAsia" w:ascii="宋体" w:hAnsi="宋体" w:eastAsia="宋体" w:cs="宋体"/>
          <w:color w:val="auto"/>
          <w:sz w:val="24"/>
          <w:szCs w:val="24"/>
        </w:rPr>
      </w:pPr>
      <w:bookmarkStart w:id="172" w:name="_Toc277453853"/>
      <w:bookmarkStart w:id="173" w:name="_Toc431542584"/>
      <w:bookmarkStart w:id="174" w:name="_Toc277453771"/>
      <w:bookmarkStart w:id="175" w:name="_Toc276979420"/>
      <w:bookmarkStart w:id="176" w:name="_Toc275511650"/>
      <w:bookmarkStart w:id="177" w:name="_Toc275512427"/>
      <w:bookmarkStart w:id="178" w:name="_Toc30653"/>
      <w:r>
        <w:rPr>
          <w:rFonts w:hint="eastAsia" w:ascii="宋体" w:hAnsi="宋体" w:eastAsia="宋体" w:cs="宋体"/>
          <w:color w:val="auto"/>
          <w:sz w:val="24"/>
          <w:szCs w:val="24"/>
        </w:rPr>
        <w:t>3.4 投标保证金</w:t>
      </w:r>
      <w:bookmarkEnd w:id="172"/>
      <w:bookmarkEnd w:id="173"/>
      <w:bookmarkEnd w:id="174"/>
      <w:bookmarkEnd w:id="175"/>
      <w:bookmarkEnd w:id="176"/>
      <w:bookmarkEnd w:id="177"/>
      <w:bookmarkEnd w:id="178"/>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投标保证金：见投标人须知前附表。</w:t>
      </w:r>
    </w:p>
    <w:p>
      <w:pPr>
        <w:pStyle w:val="5"/>
        <w:spacing w:before="0" w:beforeAutospacing="0" w:after="0" w:afterAutospacing="0" w:line="360" w:lineRule="auto"/>
        <w:rPr>
          <w:rFonts w:hint="eastAsia" w:ascii="宋体" w:hAnsi="宋体" w:eastAsia="宋体" w:cs="宋体"/>
          <w:color w:val="auto"/>
          <w:sz w:val="24"/>
          <w:szCs w:val="24"/>
        </w:rPr>
      </w:pPr>
      <w:bookmarkStart w:id="179" w:name="_Toc276979421"/>
      <w:bookmarkStart w:id="180" w:name="_Toc277453854"/>
      <w:bookmarkStart w:id="181" w:name="_Toc29890"/>
      <w:bookmarkStart w:id="182" w:name="_Toc431542585"/>
      <w:bookmarkStart w:id="183" w:name="_Toc277453772"/>
      <w:bookmarkStart w:id="184" w:name="_Toc275512428"/>
      <w:bookmarkStart w:id="185" w:name="_Toc275511651"/>
      <w:r>
        <w:rPr>
          <w:rFonts w:hint="eastAsia" w:ascii="宋体" w:hAnsi="宋体" w:eastAsia="宋体" w:cs="宋体"/>
          <w:color w:val="auto"/>
          <w:sz w:val="24"/>
          <w:szCs w:val="24"/>
        </w:rPr>
        <w:t>3.5 资格审查资料</w:t>
      </w:r>
      <w:bookmarkEnd w:id="179"/>
      <w:bookmarkEnd w:id="180"/>
      <w:bookmarkEnd w:id="181"/>
      <w:bookmarkEnd w:id="182"/>
      <w:bookmarkEnd w:id="183"/>
      <w:bookmarkEnd w:id="184"/>
      <w:bookmarkEnd w:id="185"/>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投标人应当按照招标公告“</w:t>
      </w:r>
      <w:r>
        <w:rPr>
          <w:rFonts w:hint="eastAsia" w:ascii="宋体" w:hAnsi="宋体" w:eastAsia="宋体" w:cs="宋体"/>
          <w:b/>
          <w:color w:val="auto"/>
          <w:sz w:val="24"/>
          <w:szCs w:val="24"/>
        </w:rPr>
        <w:t>3、投标人资格要求</w:t>
      </w:r>
      <w:r>
        <w:rPr>
          <w:rFonts w:hint="eastAsia" w:ascii="宋体" w:hAnsi="宋体" w:eastAsia="宋体" w:cs="宋体"/>
          <w:color w:val="auto"/>
          <w:kern w:val="0"/>
          <w:sz w:val="24"/>
          <w:szCs w:val="24"/>
        </w:rPr>
        <w:t>”提供相关资料。</w:t>
      </w:r>
    </w:p>
    <w:p>
      <w:pPr>
        <w:pStyle w:val="5"/>
        <w:spacing w:before="0" w:beforeAutospacing="0" w:after="0" w:afterAutospacing="0" w:line="360" w:lineRule="auto"/>
        <w:rPr>
          <w:rFonts w:hint="eastAsia" w:ascii="宋体" w:hAnsi="宋体" w:eastAsia="宋体" w:cs="宋体"/>
          <w:color w:val="auto"/>
          <w:sz w:val="24"/>
          <w:szCs w:val="24"/>
        </w:rPr>
      </w:pPr>
      <w:bookmarkStart w:id="186" w:name="_Toc276979422"/>
      <w:bookmarkStart w:id="187" w:name="_Toc277453773"/>
      <w:bookmarkStart w:id="188" w:name="_Toc277453855"/>
      <w:bookmarkStart w:id="189" w:name="_Toc431542586"/>
      <w:bookmarkStart w:id="190" w:name="_Toc275511652"/>
      <w:bookmarkStart w:id="191" w:name="_Toc17254"/>
      <w:bookmarkStart w:id="192" w:name="_Toc275512429"/>
      <w:r>
        <w:rPr>
          <w:rFonts w:hint="eastAsia" w:ascii="宋体" w:hAnsi="宋体" w:eastAsia="宋体" w:cs="宋体"/>
          <w:color w:val="auto"/>
          <w:sz w:val="24"/>
          <w:szCs w:val="24"/>
        </w:rPr>
        <w:t>3.6 备选投标方案</w:t>
      </w:r>
      <w:bookmarkEnd w:id="186"/>
      <w:bookmarkEnd w:id="187"/>
      <w:bookmarkEnd w:id="188"/>
      <w:bookmarkEnd w:id="189"/>
      <w:bookmarkEnd w:id="190"/>
      <w:bookmarkEnd w:id="191"/>
      <w:bookmarkEnd w:id="192"/>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投标人不得递交备选投标方案。</w:t>
      </w:r>
    </w:p>
    <w:p>
      <w:pPr>
        <w:pStyle w:val="5"/>
        <w:spacing w:before="0" w:beforeAutospacing="0" w:after="0" w:afterAutospacing="0" w:line="360" w:lineRule="auto"/>
        <w:rPr>
          <w:rFonts w:hint="eastAsia" w:ascii="宋体" w:hAnsi="宋体" w:eastAsia="宋体" w:cs="宋体"/>
          <w:color w:val="auto"/>
          <w:sz w:val="24"/>
          <w:szCs w:val="24"/>
        </w:rPr>
      </w:pPr>
      <w:bookmarkStart w:id="193" w:name="_Toc275512430"/>
      <w:bookmarkStart w:id="194" w:name="_Toc276979423"/>
      <w:bookmarkStart w:id="195" w:name="_Toc275511653"/>
      <w:bookmarkStart w:id="196" w:name="_Toc277453774"/>
      <w:bookmarkStart w:id="197" w:name="_Toc277453856"/>
      <w:bookmarkStart w:id="198" w:name="_Toc22096"/>
      <w:bookmarkStart w:id="199" w:name="_Toc431542587"/>
      <w:r>
        <w:rPr>
          <w:rFonts w:hint="eastAsia" w:ascii="宋体" w:hAnsi="宋体" w:eastAsia="宋体" w:cs="宋体"/>
          <w:color w:val="auto"/>
          <w:sz w:val="24"/>
          <w:szCs w:val="24"/>
        </w:rPr>
        <w:t>3.7 投标文件的编制</w:t>
      </w:r>
      <w:bookmarkEnd w:id="193"/>
      <w:bookmarkEnd w:id="194"/>
      <w:bookmarkEnd w:id="195"/>
      <w:bookmarkEnd w:id="196"/>
      <w:bookmarkEnd w:id="197"/>
      <w:bookmarkEnd w:id="198"/>
      <w:bookmarkEnd w:id="199"/>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3.7.1 投标文件应按第五章“投标文件格式”进行编写，如有必要，可以增加附页，作为投标文件的组成部分。其中，投标函附录在满足招标文件实质性要求的基础上，可以提出比招标文件要求更有利于招标人的承诺。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3.7.2 投标文件应当对招标文件有关工期、投标有效期、质量要求、技术标准和要求、招标范围等实质性内容作出响应。</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3.7.3 </w:t>
      </w:r>
      <w:r>
        <w:rPr>
          <w:rFonts w:hint="eastAsia" w:ascii="宋体" w:hAnsi="宋体" w:eastAsia="宋体" w:cs="宋体"/>
          <w:color w:val="auto"/>
          <w:kern w:val="0"/>
          <w:sz w:val="24"/>
          <w:szCs w:val="24"/>
          <w:lang w:val="en-US" w:eastAsia="zh-CN"/>
        </w:rPr>
        <w:t>电子签名或签字要求：见投标人须知前附表。</w:t>
      </w:r>
    </w:p>
    <w:p>
      <w:pPr>
        <w:pStyle w:val="4"/>
        <w:spacing w:before="0" w:after="0" w:line="360" w:lineRule="auto"/>
        <w:jc w:val="left"/>
        <w:rPr>
          <w:rFonts w:hint="eastAsia" w:ascii="宋体" w:hAnsi="宋体" w:eastAsia="宋体" w:cs="宋体"/>
          <w:color w:val="auto"/>
          <w:sz w:val="24"/>
          <w:szCs w:val="24"/>
        </w:rPr>
      </w:pPr>
      <w:bookmarkStart w:id="200" w:name="_Toc431542588"/>
      <w:bookmarkStart w:id="201" w:name="_Toc277453857"/>
      <w:bookmarkStart w:id="202" w:name="_Toc16515"/>
      <w:bookmarkStart w:id="203" w:name="_Toc27768"/>
      <w:bookmarkStart w:id="204" w:name="_Toc276979424"/>
      <w:bookmarkStart w:id="205" w:name="_Toc275512431"/>
      <w:bookmarkStart w:id="206" w:name="_Toc277453775"/>
      <w:bookmarkStart w:id="207" w:name="_Toc28993"/>
      <w:bookmarkStart w:id="208" w:name="_Toc275511654"/>
      <w:bookmarkStart w:id="209" w:name="_Toc27139"/>
      <w:r>
        <w:rPr>
          <w:rFonts w:hint="eastAsia" w:ascii="宋体" w:hAnsi="宋体" w:eastAsia="宋体" w:cs="宋体"/>
          <w:color w:val="auto"/>
          <w:sz w:val="24"/>
          <w:szCs w:val="24"/>
        </w:rPr>
        <w:t>4. 投标</w:t>
      </w:r>
      <w:bookmarkEnd w:id="200"/>
      <w:bookmarkEnd w:id="201"/>
      <w:bookmarkEnd w:id="202"/>
      <w:bookmarkEnd w:id="203"/>
      <w:bookmarkEnd w:id="204"/>
      <w:bookmarkEnd w:id="205"/>
      <w:bookmarkEnd w:id="206"/>
      <w:bookmarkEnd w:id="207"/>
      <w:bookmarkEnd w:id="208"/>
      <w:bookmarkEnd w:id="209"/>
    </w:p>
    <w:p>
      <w:pPr>
        <w:pStyle w:val="5"/>
        <w:spacing w:before="0" w:beforeAutospacing="0" w:after="0" w:afterAutospacing="0" w:line="360" w:lineRule="auto"/>
        <w:rPr>
          <w:rFonts w:hint="eastAsia" w:ascii="宋体" w:hAnsi="宋体" w:eastAsia="宋体" w:cs="宋体"/>
          <w:color w:val="auto"/>
          <w:sz w:val="24"/>
          <w:szCs w:val="24"/>
        </w:rPr>
      </w:pPr>
      <w:bookmarkStart w:id="210" w:name="_Toc247085714"/>
      <w:bookmarkStart w:id="211" w:name="_Toc246996200"/>
      <w:bookmarkStart w:id="212" w:name="_Toc152045556"/>
      <w:bookmarkStart w:id="213" w:name="_Toc179632574"/>
      <w:bookmarkStart w:id="214" w:name="_Toc152042332"/>
      <w:bookmarkStart w:id="215" w:name="_Toc399596176"/>
      <w:bookmarkStart w:id="216" w:name="_Toc246996943"/>
      <w:bookmarkStart w:id="217" w:name="_Toc20030"/>
      <w:bookmarkStart w:id="218" w:name="_Toc144974524"/>
      <w:bookmarkStart w:id="219" w:name="_Toc276979426"/>
      <w:bookmarkStart w:id="220" w:name="_Toc277453859"/>
      <w:bookmarkStart w:id="221" w:name="_Toc277453777"/>
      <w:bookmarkStart w:id="222" w:name="_Toc275512433"/>
      <w:bookmarkStart w:id="223" w:name="_Toc16010"/>
      <w:bookmarkStart w:id="224" w:name="_Toc275511656"/>
      <w:bookmarkStart w:id="225" w:name="_Toc431542590"/>
      <w:r>
        <w:rPr>
          <w:rFonts w:hint="eastAsia" w:ascii="宋体" w:hAnsi="宋体" w:eastAsia="宋体" w:cs="宋体"/>
          <w:color w:val="auto"/>
          <w:sz w:val="24"/>
          <w:szCs w:val="24"/>
        </w:rPr>
        <w:t xml:space="preserve">4.1 </w:t>
      </w:r>
      <w:bookmarkEnd w:id="210"/>
      <w:bookmarkEnd w:id="211"/>
      <w:bookmarkEnd w:id="212"/>
      <w:bookmarkEnd w:id="213"/>
      <w:bookmarkEnd w:id="214"/>
      <w:bookmarkEnd w:id="215"/>
      <w:bookmarkEnd w:id="216"/>
      <w:bookmarkEnd w:id="217"/>
      <w:bookmarkEnd w:id="218"/>
      <w:bookmarkStart w:id="226" w:name="_Toc246996944"/>
      <w:bookmarkStart w:id="227" w:name="_Toc179632575"/>
      <w:bookmarkStart w:id="228" w:name="_Toc152042333"/>
      <w:bookmarkStart w:id="229" w:name="_Toc246996201"/>
      <w:bookmarkStart w:id="230" w:name="_Toc247085715"/>
      <w:bookmarkStart w:id="231" w:name="_Toc152045557"/>
      <w:bookmarkStart w:id="232" w:name="_Toc144974525"/>
      <w:r>
        <w:rPr>
          <w:rFonts w:hint="eastAsia" w:ascii="宋体" w:hAnsi="宋体" w:eastAsia="宋体" w:cs="宋体"/>
          <w:color w:val="auto"/>
          <w:sz w:val="24"/>
          <w:szCs w:val="24"/>
        </w:rPr>
        <w:t>电子投标文件递交</w:t>
      </w:r>
    </w:p>
    <w:p>
      <w:pPr>
        <w:pStyle w:val="5"/>
        <w:spacing w:before="0" w:beforeAutospacing="0" w:after="0" w:afterAutospacing="0" w:line="360" w:lineRule="auto"/>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见投标人须知前附表。</w:t>
      </w:r>
    </w:p>
    <w:bookmarkEnd w:id="226"/>
    <w:bookmarkEnd w:id="227"/>
    <w:bookmarkEnd w:id="228"/>
    <w:bookmarkEnd w:id="229"/>
    <w:bookmarkEnd w:id="230"/>
    <w:bookmarkEnd w:id="231"/>
    <w:bookmarkEnd w:id="232"/>
    <w:p>
      <w:pPr>
        <w:pStyle w:val="5"/>
        <w:spacing w:before="0" w:beforeAutospacing="0" w:after="0" w:afterAutospacing="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4.2 投标文件的递交</w:t>
      </w:r>
      <w:bookmarkEnd w:id="219"/>
      <w:bookmarkEnd w:id="220"/>
      <w:bookmarkEnd w:id="221"/>
      <w:bookmarkEnd w:id="222"/>
      <w:bookmarkEnd w:id="223"/>
      <w:bookmarkEnd w:id="224"/>
      <w:bookmarkEnd w:id="225"/>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4.2.1 投标人应在“投标人须知前附表”规定的投标截止时间前递交投标文件。</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4.2.2 投标人递交投标文件的地点：见投标人须知前附表。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4.2.3 投标人所递交的投标文件不予退还。</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4.2.4 逾期送达的或者未送达指定地点的投标文件，招标人不予受理。</w:t>
      </w:r>
    </w:p>
    <w:p>
      <w:pPr>
        <w:pStyle w:val="5"/>
        <w:spacing w:before="0" w:beforeAutospacing="0" w:after="0" w:afterAutospacing="0" w:line="360" w:lineRule="auto"/>
        <w:jc w:val="left"/>
        <w:outlineLvl w:val="1"/>
        <w:rPr>
          <w:rFonts w:hint="eastAsia" w:ascii="宋体" w:hAnsi="宋体" w:eastAsia="宋体" w:cs="宋体"/>
          <w:b/>
          <w:bCs w:val="0"/>
          <w:color w:val="auto"/>
          <w:sz w:val="24"/>
          <w:szCs w:val="24"/>
        </w:rPr>
      </w:pPr>
      <w:bookmarkStart w:id="233" w:name="_Toc277453779"/>
      <w:bookmarkStart w:id="234" w:name="_Toc275512435"/>
      <w:bookmarkStart w:id="235" w:name="_Toc275511658"/>
      <w:bookmarkStart w:id="236" w:name="_Toc9075"/>
      <w:bookmarkStart w:id="237" w:name="_Toc21542"/>
      <w:bookmarkStart w:id="238" w:name="_Toc17433"/>
      <w:bookmarkStart w:id="239" w:name="_Toc7517"/>
      <w:bookmarkStart w:id="240" w:name="_Toc431542592"/>
      <w:bookmarkStart w:id="241" w:name="_Toc277453861"/>
      <w:bookmarkStart w:id="242" w:name="_Toc276979428"/>
      <w:r>
        <w:rPr>
          <w:rFonts w:hint="eastAsia" w:ascii="宋体" w:hAnsi="宋体" w:eastAsia="宋体" w:cs="宋体"/>
          <w:b/>
          <w:bCs w:val="0"/>
          <w:color w:val="auto"/>
          <w:sz w:val="24"/>
          <w:szCs w:val="24"/>
        </w:rPr>
        <w:t>5. 开标</w:t>
      </w:r>
      <w:bookmarkEnd w:id="233"/>
      <w:bookmarkEnd w:id="234"/>
      <w:bookmarkEnd w:id="235"/>
      <w:bookmarkEnd w:id="236"/>
      <w:bookmarkEnd w:id="237"/>
      <w:bookmarkEnd w:id="238"/>
      <w:bookmarkEnd w:id="239"/>
      <w:bookmarkEnd w:id="240"/>
      <w:bookmarkEnd w:id="241"/>
      <w:bookmarkEnd w:id="242"/>
    </w:p>
    <w:p>
      <w:pPr>
        <w:ind w:firstLine="241" w:firstLineChars="100"/>
        <w:rPr>
          <w:rFonts w:hint="eastAsia" w:ascii="宋体" w:hAnsi="宋体" w:eastAsia="宋体" w:cs="宋体"/>
          <w:b w:val="0"/>
          <w:bCs/>
          <w:color w:val="auto"/>
          <w:sz w:val="24"/>
          <w:szCs w:val="24"/>
          <w:lang w:val="en-US" w:eastAsia="zh-CN"/>
        </w:rPr>
      </w:pPr>
      <w:r>
        <w:rPr>
          <w:rFonts w:hint="eastAsia" w:ascii="宋体" w:hAnsi="宋体" w:eastAsia="宋体" w:cs="宋体"/>
          <w:b/>
          <w:bCs w:val="0"/>
          <w:color w:val="auto"/>
          <w:sz w:val="24"/>
          <w:szCs w:val="24"/>
          <w:lang w:val="en-US" w:eastAsia="zh-CN"/>
        </w:rPr>
        <w:t>5.1开标时间和地点：</w:t>
      </w:r>
      <w:r>
        <w:rPr>
          <w:rFonts w:hint="eastAsia" w:ascii="宋体" w:hAnsi="宋体" w:eastAsia="宋体" w:cs="宋体"/>
          <w:b w:val="0"/>
          <w:bCs/>
          <w:color w:val="auto"/>
          <w:sz w:val="24"/>
          <w:szCs w:val="24"/>
          <w:lang w:val="en-US" w:eastAsia="zh-CN"/>
        </w:rPr>
        <w:t>见投标人须知前附表。</w:t>
      </w:r>
    </w:p>
    <w:p>
      <w:pPr>
        <w:pStyle w:val="5"/>
        <w:spacing w:before="0" w:beforeAutospacing="0" w:after="0" w:afterAutospacing="0" w:line="360" w:lineRule="auto"/>
        <w:ind w:firstLine="241" w:firstLineChars="100"/>
        <w:jc w:val="left"/>
        <w:rPr>
          <w:rFonts w:hint="eastAsia" w:ascii="宋体" w:hAnsi="宋体" w:eastAsia="宋体" w:cs="宋体"/>
          <w:b w:val="0"/>
          <w:bCs/>
          <w:color w:val="auto"/>
          <w:kern w:val="0"/>
          <w:sz w:val="24"/>
          <w:szCs w:val="24"/>
          <w:lang w:eastAsia="zh-CN"/>
        </w:rPr>
      </w:pPr>
      <w:bookmarkStart w:id="243" w:name="_Toc277453780"/>
      <w:bookmarkStart w:id="244" w:name="_Toc276979429"/>
      <w:bookmarkStart w:id="245" w:name="_Toc431542593"/>
      <w:bookmarkStart w:id="246" w:name="_Toc275511659"/>
      <w:bookmarkStart w:id="247" w:name="_Toc275512436"/>
      <w:bookmarkStart w:id="248" w:name="_Toc277453862"/>
      <w:bookmarkStart w:id="249" w:name="_Toc9102"/>
      <w:r>
        <w:rPr>
          <w:rFonts w:hint="eastAsia" w:ascii="宋体" w:hAnsi="宋体" w:eastAsia="宋体" w:cs="宋体"/>
          <w:b/>
          <w:bCs w:val="0"/>
          <w:color w:val="auto"/>
          <w:sz w:val="24"/>
          <w:szCs w:val="24"/>
        </w:rPr>
        <w:t>5.</w:t>
      </w:r>
      <w:bookmarkEnd w:id="243"/>
      <w:bookmarkEnd w:id="244"/>
      <w:bookmarkEnd w:id="245"/>
      <w:bookmarkEnd w:id="246"/>
      <w:bookmarkEnd w:id="247"/>
      <w:bookmarkEnd w:id="248"/>
      <w:bookmarkStart w:id="250" w:name="_Toc277453864"/>
      <w:bookmarkStart w:id="251" w:name="_Toc431542595"/>
      <w:bookmarkStart w:id="252" w:name="_Toc275512438"/>
      <w:bookmarkStart w:id="253" w:name="_Toc276979431"/>
      <w:bookmarkStart w:id="254" w:name="_Toc275511661"/>
      <w:bookmarkStart w:id="255" w:name="_Toc277453782"/>
      <w:r>
        <w:rPr>
          <w:rFonts w:hint="eastAsia" w:ascii="宋体" w:hAnsi="宋体" w:eastAsia="宋体" w:cs="宋体"/>
          <w:b/>
          <w:bCs w:val="0"/>
          <w:color w:val="auto"/>
          <w:sz w:val="24"/>
          <w:szCs w:val="24"/>
          <w:lang w:val="en-US" w:eastAsia="zh-CN"/>
        </w:rPr>
        <w:t>2</w:t>
      </w:r>
      <w:r>
        <w:rPr>
          <w:rFonts w:hint="eastAsia" w:ascii="宋体" w:hAnsi="宋体" w:eastAsia="宋体" w:cs="宋体"/>
          <w:b/>
          <w:bCs w:val="0"/>
          <w:color w:val="auto"/>
          <w:kern w:val="0"/>
          <w:sz w:val="24"/>
          <w:szCs w:val="24"/>
        </w:rPr>
        <w:t>开标程序</w:t>
      </w:r>
      <w:r>
        <w:rPr>
          <w:rFonts w:hint="eastAsia" w:ascii="宋体" w:hAnsi="宋体" w:eastAsia="宋体" w:cs="宋体"/>
          <w:b/>
          <w:bCs w:val="0"/>
          <w:color w:val="auto"/>
          <w:kern w:val="0"/>
          <w:sz w:val="24"/>
          <w:szCs w:val="24"/>
          <w:lang w:eastAsia="zh-CN"/>
        </w:rPr>
        <w:t>：</w:t>
      </w:r>
      <w:r>
        <w:rPr>
          <w:rFonts w:hint="eastAsia" w:ascii="宋体" w:hAnsi="宋体" w:eastAsia="宋体" w:cs="宋体"/>
          <w:b w:val="0"/>
          <w:bCs/>
          <w:color w:val="auto"/>
          <w:sz w:val="24"/>
          <w:szCs w:val="24"/>
          <w:lang w:val="en-US" w:eastAsia="zh-CN"/>
        </w:rPr>
        <w:t>见投标人须知前附表</w:t>
      </w:r>
      <w:r>
        <w:rPr>
          <w:rFonts w:hint="eastAsia" w:ascii="宋体" w:hAnsi="宋体" w:eastAsia="宋体" w:cs="宋体"/>
          <w:b/>
          <w:bCs w:val="0"/>
          <w:color w:val="auto"/>
          <w:kern w:val="0"/>
          <w:sz w:val="24"/>
          <w:szCs w:val="24"/>
        </w:rPr>
        <w:tab/>
      </w:r>
      <w:r>
        <w:rPr>
          <w:rFonts w:hint="eastAsia" w:ascii="宋体" w:hAnsi="宋体" w:eastAsia="宋体" w:cs="宋体"/>
          <w:b/>
          <w:bCs w:val="0"/>
          <w:color w:val="auto"/>
          <w:kern w:val="0"/>
          <w:sz w:val="24"/>
          <w:szCs w:val="24"/>
          <w:lang w:eastAsia="zh-CN"/>
        </w:rPr>
        <w:t>。</w:t>
      </w:r>
      <w:bookmarkEnd w:id="249"/>
    </w:p>
    <w:p>
      <w:pPr>
        <w:pStyle w:val="5"/>
        <w:spacing w:before="0" w:beforeAutospacing="0" w:after="0" w:afterAutospacing="0" w:line="360" w:lineRule="auto"/>
        <w:jc w:val="left"/>
        <w:outlineLvl w:val="1"/>
        <w:rPr>
          <w:rFonts w:hint="eastAsia" w:ascii="宋体" w:hAnsi="宋体" w:eastAsia="宋体" w:cs="宋体"/>
          <w:color w:val="auto"/>
          <w:sz w:val="24"/>
          <w:szCs w:val="24"/>
        </w:rPr>
      </w:pPr>
      <w:bookmarkStart w:id="256" w:name="_Toc32267"/>
      <w:bookmarkStart w:id="257" w:name="_Toc9144"/>
      <w:bookmarkStart w:id="258" w:name="_Toc20843"/>
      <w:bookmarkStart w:id="259" w:name="_Toc11336"/>
      <w:r>
        <w:rPr>
          <w:rFonts w:hint="eastAsia" w:ascii="宋体" w:hAnsi="宋体" w:eastAsia="宋体" w:cs="宋体"/>
          <w:color w:val="auto"/>
          <w:sz w:val="24"/>
          <w:szCs w:val="24"/>
        </w:rPr>
        <w:t>6. 评标</w:t>
      </w:r>
      <w:bookmarkEnd w:id="250"/>
      <w:bookmarkEnd w:id="251"/>
      <w:bookmarkEnd w:id="252"/>
      <w:bookmarkEnd w:id="253"/>
      <w:bookmarkEnd w:id="254"/>
      <w:bookmarkEnd w:id="255"/>
      <w:bookmarkEnd w:id="256"/>
      <w:bookmarkEnd w:id="257"/>
      <w:bookmarkEnd w:id="258"/>
      <w:bookmarkEnd w:id="259"/>
    </w:p>
    <w:p>
      <w:pPr>
        <w:pStyle w:val="5"/>
        <w:spacing w:before="0" w:beforeAutospacing="0" w:after="0" w:afterAutospacing="0" w:line="360" w:lineRule="auto"/>
        <w:ind w:firstLine="241" w:firstLineChars="100"/>
        <w:rPr>
          <w:rFonts w:hint="eastAsia" w:ascii="宋体" w:hAnsi="宋体" w:eastAsia="宋体" w:cs="宋体"/>
          <w:color w:val="auto"/>
          <w:sz w:val="24"/>
          <w:szCs w:val="24"/>
        </w:rPr>
      </w:pPr>
      <w:bookmarkStart w:id="260" w:name="_Toc275512439"/>
      <w:bookmarkStart w:id="261" w:name="_Toc10631"/>
      <w:bookmarkStart w:id="262" w:name="_Toc277453783"/>
      <w:bookmarkStart w:id="263" w:name="_Toc275511662"/>
      <w:bookmarkStart w:id="264" w:name="_Toc276979432"/>
      <w:bookmarkStart w:id="265" w:name="_Toc277453865"/>
      <w:bookmarkStart w:id="266" w:name="_Toc431542596"/>
      <w:r>
        <w:rPr>
          <w:rFonts w:hint="eastAsia" w:ascii="宋体" w:hAnsi="宋体" w:eastAsia="宋体" w:cs="宋体"/>
          <w:color w:val="auto"/>
          <w:sz w:val="24"/>
          <w:szCs w:val="24"/>
        </w:rPr>
        <w:t>6.1 评标委员会</w:t>
      </w:r>
      <w:bookmarkEnd w:id="260"/>
      <w:bookmarkEnd w:id="261"/>
      <w:bookmarkEnd w:id="262"/>
      <w:bookmarkEnd w:id="263"/>
      <w:bookmarkEnd w:id="264"/>
      <w:bookmarkEnd w:id="265"/>
      <w:bookmarkEnd w:id="266"/>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6.1.2 评标委员会成员有下列情形之一的，应当回避：</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（1）招标人或投标人的主要负责人的近亲属；</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（2）项目主管部门或者行政监督部门的人员；</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（3）与投标人有经济利益关系，可能影响对投标公正评审的；</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（4）曾因在招标、评标以及其他与招标投标有关活动中从事违法行为而受过行政处罚或刑事处罚的。</w:t>
      </w:r>
    </w:p>
    <w:p>
      <w:pPr>
        <w:pStyle w:val="5"/>
        <w:spacing w:before="0" w:beforeAutospacing="0" w:after="0" w:afterAutospacing="0" w:line="360" w:lineRule="auto"/>
        <w:ind w:firstLine="241" w:firstLineChars="100"/>
        <w:rPr>
          <w:rFonts w:hint="eastAsia" w:ascii="宋体" w:hAnsi="宋体" w:eastAsia="宋体" w:cs="宋体"/>
          <w:color w:val="auto"/>
          <w:sz w:val="24"/>
          <w:szCs w:val="24"/>
        </w:rPr>
      </w:pPr>
      <w:bookmarkStart w:id="267" w:name="_Toc277453866"/>
      <w:bookmarkStart w:id="268" w:name="_Toc277453784"/>
      <w:bookmarkStart w:id="269" w:name="_Toc275511663"/>
      <w:bookmarkStart w:id="270" w:name="_Toc431542597"/>
      <w:bookmarkStart w:id="271" w:name="_Toc275512440"/>
      <w:bookmarkStart w:id="272" w:name="_Toc6731"/>
      <w:bookmarkStart w:id="273" w:name="_Toc276979433"/>
      <w:r>
        <w:rPr>
          <w:rFonts w:hint="eastAsia" w:ascii="宋体" w:hAnsi="宋体" w:eastAsia="宋体" w:cs="宋体"/>
          <w:color w:val="auto"/>
          <w:sz w:val="24"/>
          <w:szCs w:val="24"/>
        </w:rPr>
        <w:t>6.2 评标原则</w:t>
      </w:r>
      <w:bookmarkEnd w:id="267"/>
      <w:bookmarkEnd w:id="268"/>
      <w:bookmarkEnd w:id="269"/>
      <w:bookmarkEnd w:id="270"/>
      <w:bookmarkEnd w:id="271"/>
      <w:bookmarkEnd w:id="272"/>
      <w:bookmarkEnd w:id="273"/>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评标活动遵循公平、公正、科学和择优的原则。</w:t>
      </w:r>
    </w:p>
    <w:p>
      <w:pPr>
        <w:pStyle w:val="5"/>
        <w:spacing w:before="0" w:beforeAutospacing="0" w:after="0" w:afterAutospacing="0" w:line="360" w:lineRule="auto"/>
        <w:ind w:firstLine="241" w:firstLineChars="100"/>
        <w:rPr>
          <w:rFonts w:hint="eastAsia" w:ascii="宋体" w:hAnsi="宋体" w:eastAsia="宋体" w:cs="宋体"/>
          <w:color w:val="auto"/>
          <w:sz w:val="24"/>
          <w:szCs w:val="24"/>
        </w:rPr>
      </w:pPr>
      <w:bookmarkStart w:id="274" w:name="_Toc276979434"/>
      <w:bookmarkStart w:id="275" w:name="_Toc16928"/>
      <w:bookmarkStart w:id="276" w:name="_Toc275512441"/>
      <w:bookmarkStart w:id="277" w:name="_Toc277453867"/>
      <w:bookmarkStart w:id="278" w:name="_Toc275511664"/>
      <w:bookmarkStart w:id="279" w:name="_Toc277453785"/>
      <w:bookmarkStart w:id="280" w:name="_Toc431542598"/>
      <w:r>
        <w:rPr>
          <w:rFonts w:hint="eastAsia" w:ascii="宋体" w:hAnsi="宋体" w:eastAsia="宋体" w:cs="宋体"/>
          <w:color w:val="auto"/>
          <w:sz w:val="24"/>
          <w:szCs w:val="24"/>
        </w:rPr>
        <w:t>6.3 评标</w:t>
      </w:r>
      <w:bookmarkEnd w:id="274"/>
      <w:bookmarkEnd w:id="275"/>
      <w:bookmarkEnd w:id="276"/>
      <w:bookmarkEnd w:id="277"/>
      <w:bookmarkEnd w:id="278"/>
      <w:bookmarkEnd w:id="279"/>
      <w:bookmarkEnd w:id="280"/>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6.3.1评标委员会按照第三章“评标办法”规定的方法、评审因素、标准和程序对投标文件进行评审。第三章“评标办法”没有规定的方法、评审因素和标准，不作为评标依据。</w:t>
      </w:r>
    </w:p>
    <w:p>
      <w:pPr>
        <w:spacing w:line="360" w:lineRule="auto"/>
        <w:ind w:firstLine="456" w:firstLineChars="190"/>
        <w:rPr>
          <w:rFonts w:hint="eastAsia" w:ascii="宋体" w:hAnsi="宋体" w:eastAsia="宋体" w:cs="宋体"/>
          <w:color w:val="auto"/>
          <w:kern w:val="0"/>
          <w:sz w:val="24"/>
          <w:szCs w:val="24"/>
        </w:rPr>
      </w:pPr>
      <w:r>
        <w:rPr>
          <w:rFonts w:hint="eastAsia" w:ascii="宋体" w:hAnsi="宋体" w:eastAsia="宋体" w:cs="宋体"/>
          <w:color w:val="auto"/>
          <w:sz w:val="24"/>
          <w:szCs w:val="24"/>
        </w:rPr>
        <w:t>6.3.2</w:t>
      </w:r>
      <w:r>
        <w:rPr>
          <w:rFonts w:hint="eastAsia" w:ascii="宋体" w:hAnsi="宋体" w:eastAsia="宋体" w:cs="宋体"/>
          <w:b/>
          <w:bCs/>
          <w:color w:val="auto"/>
          <w:sz w:val="24"/>
          <w:szCs w:val="24"/>
        </w:rPr>
        <w:t>依据</w:t>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https://www.baidu.com/s?wd=%E3%80%8A%E8%AF%84%E6%A0%87%E5%A7%94%E5%91%98%E4%BC%9A%E5%92%8C%E8%AF%84%E6%A0%87%E6%96%B9%E6%B3%95%E6%9A%82%E8%A1%8C%E8%A7%84%E5%AE%9A%E3%80%8B&amp;tn=44039180_cpr&amp;fenlei=mv6quAkxTZn0IZRqIHckPjm4nH00T1Y1n17-uAcYrHfYrymzn1m30ZwV5Hcvrjm3rH6sPfKWUMw85HfYnjn4nH6sgvPsT6KdThsqpZwYTjCEQLGCpyw9Uz4Bmy-bIi4WUvYETgN-TLwGUv3EPjbLrjm3rjmknHTdPjfvnW6Y" \t "http://zhidao.baidu.com/question/_blank"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《评标委员会和评标方法暂行规定》</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rPr>
        <w:t>七部委12号令</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rPr>
        <w:t>第二十七条的规定：“在评标过程中有效投标人不足三个时，使得投标明显缺乏竞争的，评标委员会可以否决全部投标”，由评标委员会界定是否存在竞争，当评标委员会认为仍然存在竞争时可以继续予以评审。</w:t>
      </w:r>
    </w:p>
    <w:p>
      <w:pPr>
        <w:pStyle w:val="5"/>
        <w:spacing w:before="0" w:beforeAutospacing="0" w:after="0" w:afterAutospacing="0" w:line="360" w:lineRule="auto"/>
        <w:outlineLvl w:val="1"/>
        <w:rPr>
          <w:rFonts w:hint="eastAsia" w:ascii="宋体" w:hAnsi="宋体" w:eastAsia="宋体" w:cs="宋体"/>
          <w:color w:val="auto"/>
          <w:sz w:val="24"/>
          <w:szCs w:val="24"/>
        </w:rPr>
      </w:pPr>
      <w:bookmarkStart w:id="281" w:name="_Toc3278"/>
      <w:bookmarkStart w:id="282" w:name="_Toc431542599"/>
      <w:bookmarkStart w:id="283" w:name="_Toc275511665"/>
      <w:bookmarkStart w:id="284" w:name="_Toc276979435"/>
      <w:bookmarkStart w:id="285" w:name="_Toc277453868"/>
      <w:bookmarkStart w:id="286" w:name="_Toc28860"/>
      <w:bookmarkStart w:id="287" w:name="_Toc1421"/>
      <w:bookmarkStart w:id="288" w:name="_Toc27633"/>
      <w:bookmarkStart w:id="289" w:name="_Toc277453786"/>
      <w:bookmarkStart w:id="290" w:name="_Toc275512442"/>
      <w:r>
        <w:rPr>
          <w:rFonts w:hint="eastAsia" w:ascii="宋体" w:hAnsi="宋体" w:eastAsia="宋体" w:cs="宋体"/>
          <w:color w:val="auto"/>
          <w:sz w:val="24"/>
          <w:szCs w:val="24"/>
        </w:rPr>
        <w:t>7. 合同授予</w:t>
      </w:r>
      <w:bookmarkEnd w:id="281"/>
      <w:bookmarkEnd w:id="282"/>
      <w:bookmarkEnd w:id="283"/>
      <w:bookmarkEnd w:id="284"/>
      <w:bookmarkEnd w:id="285"/>
      <w:bookmarkEnd w:id="286"/>
      <w:bookmarkEnd w:id="287"/>
      <w:bookmarkEnd w:id="288"/>
      <w:bookmarkEnd w:id="289"/>
      <w:bookmarkEnd w:id="290"/>
      <w:bookmarkStart w:id="291" w:name="_Toc276979436"/>
      <w:bookmarkStart w:id="292" w:name="_Toc275511666"/>
      <w:bookmarkStart w:id="293" w:name="_Toc277453869"/>
      <w:bookmarkStart w:id="294" w:name="_Toc277453787"/>
      <w:bookmarkStart w:id="295" w:name="_Toc275512443"/>
    </w:p>
    <w:p>
      <w:pPr>
        <w:pStyle w:val="5"/>
        <w:spacing w:before="0" w:beforeAutospacing="0" w:after="0" w:afterAutospacing="0" w:line="360" w:lineRule="auto"/>
        <w:ind w:firstLine="241" w:firstLineChars="100"/>
        <w:rPr>
          <w:rFonts w:hint="eastAsia" w:ascii="宋体" w:hAnsi="宋体" w:eastAsia="宋体" w:cs="宋体"/>
          <w:color w:val="auto"/>
          <w:sz w:val="24"/>
          <w:szCs w:val="24"/>
        </w:rPr>
      </w:pPr>
      <w:bookmarkStart w:id="296" w:name="_Toc7039"/>
      <w:bookmarkStart w:id="297" w:name="_Toc431542600"/>
      <w:r>
        <w:rPr>
          <w:rFonts w:hint="eastAsia" w:ascii="宋体" w:hAnsi="宋体" w:eastAsia="宋体" w:cs="宋体"/>
          <w:color w:val="auto"/>
          <w:sz w:val="24"/>
          <w:szCs w:val="24"/>
        </w:rPr>
        <w:t>7.1 定标方式</w:t>
      </w:r>
      <w:bookmarkEnd w:id="291"/>
      <w:bookmarkEnd w:id="292"/>
      <w:bookmarkEnd w:id="293"/>
      <w:bookmarkEnd w:id="294"/>
      <w:bookmarkEnd w:id="295"/>
      <w:bookmarkEnd w:id="296"/>
      <w:bookmarkEnd w:id="297"/>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招标人依据评标委员会推荐的中标候选人确定中标人，评标委员会推荐中标候选人的人数见“投标人须知前附表”。</w:t>
      </w:r>
    </w:p>
    <w:p>
      <w:pPr>
        <w:pStyle w:val="5"/>
        <w:spacing w:before="0" w:beforeAutospacing="0" w:after="0" w:afterAutospacing="0" w:line="360" w:lineRule="auto"/>
        <w:ind w:firstLine="241" w:firstLineChars="100"/>
        <w:rPr>
          <w:rFonts w:hint="eastAsia" w:ascii="宋体" w:hAnsi="宋体" w:eastAsia="宋体" w:cs="宋体"/>
          <w:color w:val="auto"/>
          <w:sz w:val="24"/>
          <w:szCs w:val="24"/>
        </w:rPr>
      </w:pPr>
      <w:bookmarkStart w:id="298" w:name="_Toc277453870"/>
      <w:bookmarkStart w:id="299" w:name="_Toc276979437"/>
      <w:bookmarkStart w:id="300" w:name="_Toc4866"/>
      <w:bookmarkStart w:id="301" w:name="_Toc275512444"/>
      <w:bookmarkStart w:id="302" w:name="_Toc275511667"/>
      <w:bookmarkStart w:id="303" w:name="_Toc431542601"/>
      <w:bookmarkStart w:id="304" w:name="_Toc277453788"/>
      <w:r>
        <w:rPr>
          <w:rFonts w:hint="eastAsia" w:ascii="宋体" w:hAnsi="宋体" w:eastAsia="宋体" w:cs="宋体"/>
          <w:color w:val="auto"/>
          <w:sz w:val="24"/>
          <w:szCs w:val="24"/>
        </w:rPr>
        <w:t>7.2 中标通知</w:t>
      </w:r>
      <w:bookmarkEnd w:id="298"/>
      <w:bookmarkEnd w:id="299"/>
      <w:bookmarkEnd w:id="300"/>
      <w:bookmarkEnd w:id="301"/>
      <w:bookmarkEnd w:id="302"/>
      <w:bookmarkEnd w:id="303"/>
      <w:bookmarkEnd w:id="304"/>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在本章第3.3 款规定的投标有效期内，招标人以书面形式向中标人发出中标通知书，同时将中标结果通知未中标的投标人。</w:t>
      </w:r>
      <w:bookmarkStart w:id="305" w:name="_Toc275511669"/>
      <w:bookmarkStart w:id="306" w:name="_Toc275512446"/>
      <w:bookmarkStart w:id="307" w:name="_Toc431542603"/>
      <w:bookmarkStart w:id="308" w:name="_Toc12903"/>
      <w:bookmarkStart w:id="309" w:name="_Toc277453790"/>
      <w:bookmarkStart w:id="310" w:name="_Toc276979439"/>
      <w:bookmarkStart w:id="311" w:name="_Toc277453872"/>
    </w:p>
    <w:p>
      <w:pPr>
        <w:pStyle w:val="5"/>
        <w:spacing w:before="0" w:beforeAutospacing="0" w:after="0" w:afterAutospacing="0" w:line="360" w:lineRule="auto"/>
        <w:ind w:firstLine="241" w:firstLineChars="100"/>
        <w:rPr>
          <w:rFonts w:hint="eastAsia" w:ascii="宋体" w:hAnsi="宋体" w:eastAsia="宋体" w:cs="宋体"/>
          <w:color w:val="auto"/>
          <w:sz w:val="24"/>
          <w:szCs w:val="24"/>
        </w:rPr>
      </w:pPr>
      <w:r>
        <w:rPr>
          <w:rFonts w:hint="eastAsia" w:ascii="宋体" w:hAnsi="宋体" w:eastAsia="宋体" w:cs="宋体"/>
          <w:color w:val="auto"/>
          <w:sz w:val="24"/>
          <w:szCs w:val="24"/>
        </w:rPr>
        <w:t>7.3 签订合同</w:t>
      </w:r>
      <w:bookmarkEnd w:id="305"/>
      <w:bookmarkEnd w:id="306"/>
      <w:bookmarkEnd w:id="307"/>
      <w:bookmarkEnd w:id="308"/>
      <w:bookmarkEnd w:id="309"/>
      <w:bookmarkEnd w:id="310"/>
      <w:bookmarkEnd w:id="311"/>
      <w:bookmarkStart w:id="312" w:name="_Toc14622"/>
      <w:bookmarkStart w:id="313" w:name="_Toc276979440"/>
      <w:bookmarkStart w:id="314" w:name="_Toc275511670"/>
      <w:bookmarkStart w:id="315" w:name="_Toc275512447"/>
      <w:bookmarkStart w:id="316" w:name="_Toc277453873"/>
      <w:bookmarkStart w:id="317" w:name="_Toc277453791"/>
      <w:bookmarkStart w:id="318" w:name="_Toc359"/>
      <w:bookmarkStart w:id="319" w:name="_Toc431542604"/>
      <w:bookmarkStart w:id="320" w:name="_Toc2650"/>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7.3.1 中标结果公告发布后，按照市、县关于优化营商环境工作要求，招标人需在五个工作日内与中标企业签署合同并进行备案。</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7.3.2中标结果公告发布后，交易中心一日内在线发放中标确认书，代理机构、招标人、中标人网上下载。</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7.3.3 发出中标通知书后，招标人无正当理由拒签合同的，招标人向中标人退还投标保证金；给中标人造成损失的，还应当赔偿损失。</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7.3.4 项目招标代理机构接收到中标确认书后，在交易平台系统在线发出中标通知书至招标人，招标人在线审核签章后推送至中标人，中标人网上下载中标通知书。此流程需在二个工作日办结。</w:t>
      </w:r>
    </w:p>
    <w:p>
      <w:pPr>
        <w:pStyle w:val="5"/>
        <w:keepNext/>
        <w:keepLines/>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auto"/>
        <w:outlineLvl w:val="1"/>
        <w:rPr>
          <w:rFonts w:hint="eastAsia" w:ascii="宋体" w:hAnsi="宋体" w:eastAsia="宋体" w:cs="宋体"/>
          <w:b w:val="0"/>
          <w:color w:val="auto"/>
          <w:kern w:val="0"/>
          <w:sz w:val="24"/>
          <w:szCs w:val="24"/>
          <w:lang w:val="en-US" w:eastAsia="zh-CN" w:bidi="ar-SA"/>
        </w:rPr>
      </w:pPr>
      <w:bookmarkStart w:id="321" w:name="_Toc2986"/>
      <w:r>
        <w:rPr>
          <w:rFonts w:hint="eastAsia" w:ascii="宋体" w:hAnsi="宋体" w:eastAsia="宋体" w:cs="宋体"/>
          <w:b w:val="0"/>
          <w:color w:val="auto"/>
          <w:kern w:val="0"/>
          <w:sz w:val="24"/>
          <w:szCs w:val="24"/>
          <w:lang w:val="en-US" w:eastAsia="zh-CN" w:bidi="ar-SA"/>
        </w:rPr>
        <w:t>7.3.5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bookmarkEnd w:id="321"/>
    </w:p>
    <w:p>
      <w:pPr>
        <w:pStyle w:val="5"/>
        <w:spacing w:before="0" w:beforeAutospacing="0" w:after="0" w:afterAutospacing="0" w:line="360" w:lineRule="auto"/>
        <w:jc w:val="left"/>
        <w:outlineLvl w:val="1"/>
        <w:rPr>
          <w:rFonts w:hint="eastAsia" w:ascii="宋体" w:hAnsi="宋体" w:eastAsia="宋体" w:cs="宋体"/>
          <w:color w:val="auto"/>
          <w:sz w:val="24"/>
          <w:szCs w:val="24"/>
        </w:rPr>
      </w:pPr>
      <w:bookmarkStart w:id="322" w:name="_Toc3662"/>
      <w:r>
        <w:rPr>
          <w:rFonts w:hint="eastAsia" w:ascii="宋体" w:hAnsi="宋体" w:eastAsia="宋体" w:cs="宋体"/>
          <w:color w:val="auto"/>
          <w:sz w:val="24"/>
          <w:szCs w:val="24"/>
        </w:rPr>
        <w:t>8. 重新招标和不再招标</w:t>
      </w:r>
      <w:bookmarkEnd w:id="312"/>
      <w:bookmarkEnd w:id="313"/>
      <w:bookmarkEnd w:id="314"/>
      <w:bookmarkEnd w:id="315"/>
      <w:bookmarkEnd w:id="316"/>
      <w:bookmarkEnd w:id="317"/>
      <w:bookmarkEnd w:id="318"/>
      <w:bookmarkEnd w:id="319"/>
      <w:bookmarkEnd w:id="320"/>
      <w:bookmarkEnd w:id="322"/>
      <w:bookmarkStart w:id="323" w:name="_Toc277453874"/>
      <w:bookmarkStart w:id="324" w:name="_Toc275512448"/>
      <w:bookmarkStart w:id="325" w:name="_Toc275511671"/>
      <w:bookmarkStart w:id="326" w:name="_Toc277453792"/>
      <w:bookmarkStart w:id="327" w:name="_Toc276979441"/>
    </w:p>
    <w:p>
      <w:pPr>
        <w:pStyle w:val="5"/>
        <w:spacing w:before="0" w:beforeAutospacing="0" w:after="0" w:afterAutospacing="0" w:line="360" w:lineRule="auto"/>
        <w:ind w:firstLine="241" w:firstLineChars="100"/>
        <w:rPr>
          <w:rFonts w:hint="eastAsia" w:ascii="宋体" w:hAnsi="宋体" w:eastAsia="宋体" w:cs="宋体"/>
          <w:color w:val="auto"/>
          <w:sz w:val="24"/>
          <w:szCs w:val="24"/>
        </w:rPr>
      </w:pPr>
      <w:bookmarkStart w:id="328" w:name="_Toc431542605"/>
      <w:bookmarkStart w:id="329" w:name="_Toc21047"/>
      <w:r>
        <w:rPr>
          <w:rFonts w:hint="eastAsia" w:ascii="宋体" w:hAnsi="宋体" w:eastAsia="宋体" w:cs="宋体"/>
          <w:color w:val="auto"/>
          <w:sz w:val="24"/>
          <w:szCs w:val="24"/>
        </w:rPr>
        <w:t>8.1 重新招标</w:t>
      </w:r>
      <w:bookmarkEnd w:id="323"/>
      <w:bookmarkEnd w:id="324"/>
      <w:bookmarkEnd w:id="325"/>
      <w:bookmarkEnd w:id="326"/>
      <w:bookmarkEnd w:id="327"/>
      <w:bookmarkEnd w:id="328"/>
      <w:bookmarkEnd w:id="329"/>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有下列情形之一的，招标人将重新招标：</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（1）投标截止时间止，投标人少于3 个的；</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（2）经评标委员会评审后否决所有投标的。</w:t>
      </w:r>
    </w:p>
    <w:p>
      <w:pPr>
        <w:pStyle w:val="5"/>
        <w:pageBreakBefore w:val="0"/>
        <w:kinsoku/>
        <w:wordWrap/>
        <w:overflowPunct/>
        <w:topLinePunct w:val="0"/>
        <w:bidi w:val="0"/>
        <w:adjustRightInd w:val="0"/>
        <w:spacing w:before="0" w:beforeAutospacing="0" w:after="0" w:afterAutospacing="0" w:line="560" w:lineRule="exact"/>
        <w:ind w:firstLine="241" w:firstLineChars="100"/>
        <w:textAlignment w:val="auto"/>
        <w:rPr>
          <w:rFonts w:hint="eastAsia" w:ascii="宋体" w:hAnsi="宋体" w:eastAsia="宋体" w:cs="宋体"/>
          <w:color w:val="auto"/>
          <w:sz w:val="24"/>
          <w:szCs w:val="24"/>
        </w:rPr>
      </w:pPr>
      <w:bookmarkStart w:id="330" w:name="_Toc11107"/>
      <w:bookmarkStart w:id="331" w:name="_Toc277453875"/>
      <w:bookmarkStart w:id="332" w:name="_Toc431542606"/>
      <w:bookmarkStart w:id="333" w:name="_Toc275512449"/>
      <w:bookmarkStart w:id="334" w:name="_Toc276979442"/>
      <w:bookmarkStart w:id="335" w:name="_Toc277453793"/>
      <w:bookmarkStart w:id="336" w:name="_Toc275511672"/>
      <w:r>
        <w:rPr>
          <w:rFonts w:hint="eastAsia" w:ascii="宋体" w:hAnsi="宋体" w:eastAsia="宋体" w:cs="宋体"/>
          <w:color w:val="auto"/>
          <w:sz w:val="24"/>
          <w:szCs w:val="24"/>
        </w:rPr>
        <w:t>8.2 不再招标</w:t>
      </w:r>
      <w:bookmarkEnd w:id="330"/>
      <w:bookmarkEnd w:id="331"/>
      <w:bookmarkEnd w:id="332"/>
      <w:bookmarkEnd w:id="333"/>
      <w:bookmarkEnd w:id="334"/>
      <w:bookmarkEnd w:id="335"/>
      <w:bookmarkEnd w:id="336"/>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重新招标后投标人仍少于3 个或者所有投标被否决的，属于必须审批或核准的工程建设项目，经原审批或核准部门批准后不再进行招标。</w:t>
      </w:r>
    </w:p>
    <w:p>
      <w:pPr>
        <w:pStyle w:val="5"/>
        <w:pageBreakBefore w:val="0"/>
        <w:kinsoku/>
        <w:wordWrap/>
        <w:overflowPunct/>
        <w:topLinePunct w:val="0"/>
        <w:bidi w:val="0"/>
        <w:adjustRightInd w:val="0"/>
        <w:spacing w:before="0" w:beforeAutospacing="0" w:after="0" w:afterAutospacing="0" w:line="560" w:lineRule="exact"/>
        <w:jc w:val="left"/>
        <w:textAlignment w:val="auto"/>
        <w:outlineLvl w:val="1"/>
        <w:rPr>
          <w:rFonts w:hint="eastAsia" w:ascii="宋体" w:hAnsi="宋体" w:eastAsia="宋体" w:cs="宋体"/>
          <w:color w:val="auto"/>
          <w:sz w:val="24"/>
          <w:szCs w:val="24"/>
        </w:rPr>
      </w:pPr>
      <w:bookmarkStart w:id="337" w:name="_Toc431542607"/>
      <w:bookmarkStart w:id="338" w:name="_Toc17358"/>
      <w:bookmarkStart w:id="339" w:name="_Toc276979443"/>
      <w:bookmarkStart w:id="340" w:name="_Toc277453794"/>
      <w:bookmarkStart w:id="341" w:name="_Toc28133"/>
      <w:bookmarkStart w:id="342" w:name="_Toc32636"/>
      <w:bookmarkStart w:id="343" w:name="_Toc18118"/>
      <w:bookmarkStart w:id="344" w:name="_Toc277453876"/>
      <w:bookmarkStart w:id="345" w:name="_Toc275512450"/>
      <w:bookmarkStart w:id="346" w:name="_Toc275511673"/>
      <w:r>
        <w:rPr>
          <w:rFonts w:hint="eastAsia" w:ascii="宋体" w:hAnsi="宋体" w:eastAsia="宋体" w:cs="宋体"/>
          <w:color w:val="auto"/>
          <w:sz w:val="24"/>
          <w:szCs w:val="24"/>
        </w:rPr>
        <w:t>9. 纪律和监督</w:t>
      </w:r>
      <w:bookmarkEnd w:id="337"/>
      <w:bookmarkEnd w:id="338"/>
      <w:bookmarkEnd w:id="339"/>
      <w:bookmarkEnd w:id="340"/>
      <w:bookmarkEnd w:id="341"/>
      <w:bookmarkEnd w:id="342"/>
      <w:bookmarkEnd w:id="343"/>
      <w:bookmarkEnd w:id="344"/>
      <w:bookmarkEnd w:id="345"/>
      <w:bookmarkEnd w:id="346"/>
      <w:bookmarkStart w:id="347" w:name="_Toc275512451"/>
      <w:bookmarkStart w:id="348" w:name="_Toc275511674"/>
      <w:bookmarkStart w:id="349" w:name="_Toc277453795"/>
      <w:bookmarkStart w:id="350" w:name="_Toc276979444"/>
      <w:bookmarkStart w:id="351" w:name="_Toc277453877"/>
    </w:p>
    <w:p>
      <w:pPr>
        <w:pStyle w:val="5"/>
        <w:pageBreakBefore w:val="0"/>
        <w:kinsoku/>
        <w:wordWrap/>
        <w:overflowPunct/>
        <w:topLinePunct w:val="0"/>
        <w:bidi w:val="0"/>
        <w:adjustRightInd w:val="0"/>
        <w:spacing w:before="0" w:beforeAutospacing="0" w:after="0" w:afterAutospacing="0" w:line="560" w:lineRule="exact"/>
        <w:ind w:firstLine="241" w:firstLineChars="100"/>
        <w:textAlignment w:val="auto"/>
        <w:rPr>
          <w:rFonts w:hint="eastAsia" w:ascii="宋体" w:hAnsi="宋体" w:eastAsia="宋体" w:cs="宋体"/>
          <w:color w:val="auto"/>
          <w:sz w:val="24"/>
          <w:szCs w:val="24"/>
        </w:rPr>
      </w:pPr>
      <w:bookmarkStart w:id="352" w:name="_Toc18937"/>
      <w:bookmarkStart w:id="353" w:name="_Toc431542608"/>
      <w:r>
        <w:rPr>
          <w:rFonts w:hint="eastAsia" w:ascii="宋体" w:hAnsi="宋体" w:eastAsia="宋体" w:cs="宋体"/>
          <w:color w:val="auto"/>
          <w:sz w:val="24"/>
          <w:szCs w:val="24"/>
        </w:rPr>
        <w:t>9.1 对招标人的纪律要求</w:t>
      </w:r>
      <w:bookmarkEnd w:id="347"/>
      <w:bookmarkEnd w:id="348"/>
      <w:bookmarkEnd w:id="349"/>
      <w:bookmarkEnd w:id="350"/>
      <w:bookmarkEnd w:id="351"/>
      <w:bookmarkEnd w:id="352"/>
      <w:bookmarkEnd w:id="353"/>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招标人不得泄漏招标投标活动中应当保密的情况和资料，不得与投标人串通损害国家利益、社会公共利益或者他人合法权益。</w:t>
      </w:r>
    </w:p>
    <w:p>
      <w:pPr>
        <w:pStyle w:val="5"/>
        <w:pageBreakBefore w:val="0"/>
        <w:kinsoku/>
        <w:wordWrap/>
        <w:overflowPunct/>
        <w:topLinePunct w:val="0"/>
        <w:bidi w:val="0"/>
        <w:adjustRightInd w:val="0"/>
        <w:spacing w:before="0" w:beforeAutospacing="0" w:after="0" w:afterAutospacing="0" w:line="560" w:lineRule="exact"/>
        <w:ind w:firstLine="241" w:firstLineChars="100"/>
        <w:textAlignment w:val="auto"/>
        <w:rPr>
          <w:rFonts w:hint="eastAsia" w:ascii="宋体" w:hAnsi="宋体" w:eastAsia="宋体" w:cs="宋体"/>
          <w:color w:val="auto"/>
          <w:sz w:val="24"/>
          <w:szCs w:val="24"/>
        </w:rPr>
      </w:pPr>
      <w:bookmarkStart w:id="354" w:name="_Toc276979445"/>
      <w:bookmarkStart w:id="355" w:name="_Toc275512452"/>
      <w:bookmarkStart w:id="356" w:name="_Toc431542609"/>
      <w:bookmarkStart w:id="357" w:name="_Toc25059"/>
      <w:bookmarkStart w:id="358" w:name="_Toc277453796"/>
      <w:bookmarkStart w:id="359" w:name="_Toc277453878"/>
      <w:bookmarkStart w:id="360" w:name="_Toc275511675"/>
      <w:r>
        <w:rPr>
          <w:rFonts w:hint="eastAsia" w:ascii="宋体" w:hAnsi="宋体" w:eastAsia="宋体" w:cs="宋体"/>
          <w:color w:val="auto"/>
          <w:sz w:val="24"/>
          <w:szCs w:val="24"/>
        </w:rPr>
        <w:t>9.2 对投标人的纪律要求</w:t>
      </w:r>
      <w:bookmarkEnd w:id="354"/>
      <w:bookmarkEnd w:id="355"/>
      <w:bookmarkEnd w:id="356"/>
      <w:bookmarkEnd w:id="357"/>
      <w:bookmarkEnd w:id="358"/>
      <w:bookmarkEnd w:id="359"/>
      <w:bookmarkEnd w:id="360"/>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pageBreakBefore w:val="0"/>
        <w:kinsoku/>
        <w:wordWrap/>
        <w:overflowPunct/>
        <w:topLinePunct w:val="0"/>
        <w:bidi w:val="0"/>
        <w:adjustRightInd w:val="0"/>
        <w:spacing w:before="0" w:beforeAutospacing="0" w:after="0" w:afterAutospacing="0" w:line="560" w:lineRule="exact"/>
        <w:ind w:firstLine="241" w:firstLineChars="100"/>
        <w:textAlignment w:val="auto"/>
        <w:rPr>
          <w:rFonts w:hint="eastAsia" w:ascii="宋体" w:hAnsi="宋体" w:eastAsia="宋体" w:cs="宋体"/>
          <w:color w:val="auto"/>
          <w:sz w:val="24"/>
          <w:szCs w:val="24"/>
        </w:rPr>
      </w:pPr>
      <w:bookmarkStart w:id="361" w:name="_Toc276979446"/>
      <w:bookmarkStart w:id="362" w:name="_Toc431542610"/>
      <w:bookmarkStart w:id="363" w:name="_Toc4327"/>
      <w:bookmarkStart w:id="364" w:name="_Toc275512453"/>
      <w:bookmarkStart w:id="365" w:name="_Toc275511676"/>
      <w:bookmarkStart w:id="366" w:name="_Toc277453797"/>
      <w:bookmarkStart w:id="367" w:name="_Toc277453879"/>
      <w:r>
        <w:rPr>
          <w:rFonts w:hint="eastAsia" w:ascii="宋体" w:hAnsi="宋体" w:eastAsia="宋体" w:cs="宋体"/>
          <w:color w:val="auto"/>
          <w:sz w:val="24"/>
          <w:szCs w:val="24"/>
        </w:rPr>
        <w:t>9.3 对评标委员会成员的纪律要求</w:t>
      </w:r>
      <w:bookmarkEnd w:id="361"/>
      <w:bookmarkEnd w:id="362"/>
      <w:bookmarkEnd w:id="363"/>
      <w:bookmarkEnd w:id="364"/>
      <w:bookmarkEnd w:id="365"/>
      <w:bookmarkEnd w:id="366"/>
      <w:bookmarkEnd w:id="367"/>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评标委员会成员不得收受他人的财物或者其他好处，不得向他人</w:t>
      </w:r>
      <w:r>
        <w:rPr>
          <w:rFonts w:hint="eastAsia" w:ascii="宋体" w:hAnsi="宋体" w:eastAsia="宋体" w:cs="宋体"/>
          <w:color w:val="auto"/>
          <w:kern w:val="0"/>
          <w:sz w:val="24"/>
          <w:szCs w:val="24"/>
          <w:highlight w:val="none"/>
        </w:rPr>
        <w:t>透漏</w:t>
      </w:r>
      <w:r>
        <w:rPr>
          <w:rFonts w:hint="eastAsia" w:ascii="宋体" w:hAnsi="宋体" w:eastAsia="宋体" w:cs="宋体"/>
          <w:color w:val="auto"/>
          <w:kern w:val="0"/>
          <w:sz w:val="24"/>
          <w:szCs w:val="24"/>
        </w:rPr>
        <w:t>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pageBreakBefore w:val="0"/>
        <w:kinsoku/>
        <w:wordWrap/>
        <w:overflowPunct/>
        <w:topLinePunct w:val="0"/>
        <w:bidi w:val="0"/>
        <w:adjustRightInd w:val="0"/>
        <w:spacing w:before="0" w:beforeAutospacing="0" w:after="0" w:afterAutospacing="0" w:line="560" w:lineRule="exact"/>
        <w:ind w:firstLine="241" w:firstLineChars="100"/>
        <w:textAlignment w:val="auto"/>
        <w:rPr>
          <w:rFonts w:hint="eastAsia" w:ascii="宋体" w:hAnsi="宋体" w:eastAsia="宋体" w:cs="宋体"/>
          <w:color w:val="auto"/>
          <w:sz w:val="24"/>
          <w:szCs w:val="24"/>
        </w:rPr>
      </w:pPr>
      <w:bookmarkStart w:id="368" w:name="_Toc28168"/>
      <w:bookmarkStart w:id="369" w:name="_Toc431542611"/>
      <w:bookmarkStart w:id="370" w:name="_Toc276979447"/>
      <w:bookmarkStart w:id="371" w:name="_Toc275511677"/>
      <w:bookmarkStart w:id="372" w:name="_Toc277453798"/>
      <w:bookmarkStart w:id="373" w:name="_Toc277453880"/>
      <w:bookmarkStart w:id="374" w:name="_Toc275512454"/>
      <w:r>
        <w:rPr>
          <w:rFonts w:hint="eastAsia" w:ascii="宋体" w:hAnsi="宋体" w:eastAsia="宋体" w:cs="宋体"/>
          <w:color w:val="auto"/>
          <w:sz w:val="24"/>
          <w:szCs w:val="24"/>
        </w:rPr>
        <w:t>9.4 对与评标活动有关的工作人员的纪律要求</w:t>
      </w:r>
      <w:bookmarkEnd w:id="368"/>
      <w:bookmarkEnd w:id="369"/>
      <w:bookmarkEnd w:id="370"/>
      <w:bookmarkEnd w:id="371"/>
      <w:bookmarkEnd w:id="372"/>
      <w:bookmarkEnd w:id="373"/>
      <w:bookmarkEnd w:id="374"/>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与评标活动有关的工作人员不得收受他人的财物或者其他好处，不得向他人</w:t>
      </w:r>
      <w:r>
        <w:rPr>
          <w:rFonts w:hint="eastAsia" w:ascii="宋体" w:hAnsi="宋体" w:eastAsia="宋体" w:cs="宋体"/>
          <w:color w:val="auto"/>
          <w:kern w:val="0"/>
          <w:sz w:val="24"/>
          <w:szCs w:val="24"/>
          <w:highlight w:val="none"/>
        </w:rPr>
        <w:t>透漏</w:t>
      </w:r>
      <w:r>
        <w:rPr>
          <w:rFonts w:hint="eastAsia" w:ascii="宋体" w:hAnsi="宋体" w:eastAsia="宋体" w:cs="宋体"/>
          <w:color w:val="auto"/>
          <w:kern w:val="0"/>
          <w:sz w:val="24"/>
          <w:szCs w:val="24"/>
        </w:rPr>
        <w:t>对投标文件的评审和比较、中标候选人的推荐情况以及评标有关的其他情况。在评标活动中，与评标活动有关的工作人员不得擅离职守，影响评标程序正常进行。</w:t>
      </w:r>
    </w:p>
    <w:p>
      <w:pPr>
        <w:pStyle w:val="5"/>
        <w:pageBreakBefore w:val="0"/>
        <w:kinsoku/>
        <w:wordWrap/>
        <w:overflowPunct/>
        <w:topLinePunct w:val="0"/>
        <w:bidi w:val="0"/>
        <w:adjustRightInd w:val="0"/>
        <w:spacing w:before="0" w:beforeAutospacing="0" w:after="0" w:afterAutospacing="0" w:line="560" w:lineRule="exact"/>
        <w:ind w:firstLine="241" w:firstLineChars="100"/>
        <w:textAlignment w:val="auto"/>
        <w:rPr>
          <w:rFonts w:hint="eastAsia" w:ascii="宋体" w:hAnsi="宋体" w:eastAsia="宋体" w:cs="宋体"/>
          <w:color w:val="auto"/>
          <w:sz w:val="24"/>
          <w:szCs w:val="24"/>
        </w:rPr>
      </w:pPr>
      <w:bookmarkStart w:id="375" w:name="_Toc275511678"/>
      <w:bookmarkStart w:id="376" w:name="_Toc277453799"/>
      <w:bookmarkStart w:id="377" w:name="_Toc277453881"/>
      <w:bookmarkStart w:id="378" w:name="_Toc276979448"/>
      <w:bookmarkStart w:id="379" w:name="_Toc431542612"/>
      <w:bookmarkStart w:id="380" w:name="_Toc275512455"/>
      <w:bookmarkStart w:id="381" w:name="_Toc27851"/>
      <w:r>
        <w:rPr>
          <w:rFonts w:hint="eastAsia" w:ascii="宋体" w:hAnsi="宋体" w:eastAsia="宋体" w:cs="宋体"/>
          <w:color w:val="auto"/>
          <w:sz w:val="24"/>
          <w:szCs w:val="24"/>
        </w:rPr>
        <w:t>9.5 投诉</w:t>
      </w:r>
      <w:bookmarkEnd w:id="375"/>
      <w:bookmarkEnd w:id="376"/>
      <w:bookmarkEnd w:id="377"/>
      <w:bookmarkEnd w:id="378"/>
      <w:bookmarkEnd w:id="379"/>
      <w:bookmarkEnd w:id="380"/>
      <w:bookmarkEnd w:id="381"/>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投标人和其他利害关系人认为本次招标活动违反法律、法规和规章规定的，有权向有关行政监督部门投诉。</w:t>
      </w:r>
    </w:p>
    <w:p>
      <w:pPr>
        <w:pStyle w:val="5"/>
        <w:pageBreakBefore w:val="0"/>
        <w:kinsoku/>
        <w:wordWrap/>
        <w:overflowPunct/>
        <w:topLinePunct w:val="0"/>
        <w:bidi w:val="0"/>
        <w:adjustRightInd w:val="0"/>
        <w:spacing w:before="0" w:beforeAutospacing="0" w:after="0" w:afterAutospacing="0" w:line="560" w:lineRule="exact"/>
        <w:textAlignment w:val="auto"/>
        <w:outlineLvl w:val="1"/>
        <w:rPr>
          <w:rFonts w:hint="eastAsia" w:ascii="宋体" w:hAnsi="宋体" w:eastAsia="宋体" w:cs="宋体"/>
          <w:color w:val="auto"/>
          <w:sz w:val="24"/>
          <w:szCs w:val="24"/>
        </w:rPr>
      </w:pPr>
      <w:bookmarkStart w:id="382" w:name="_Toc28667"/>
      <w:bookmarkStart w:id="383" w:name="_Toc276979449"/>
      <w:bookmarkStart w:id="384" w:name="_Toc28482"/>
      <w:bookmarkStart w:id="385" w:name="_Toc4826"/>
      <w:bookmarkStart w:id="386" w:name="_Toc275511679"/>
      <w:bookmarkStart w:id="387" w:name="_Toc277453882"/>
      <w:bookmarkStart w:id="388" w:name="_Toc431542613"/>
      <w:bookmarkStart w:id="389" w:name="_Toc275512456"/>
      <w:bookmarkStart w:id="390" w:name="_Toc277453800"/>
      <w:bookmarkStart w:id="391" w:name="_Toc27685"/>
      <w:r>
        <w:rPr>
          <w:rFonts w:hint="eastAsia" w:ascii="宋体" w:hAnsi="宋体" w:eastAsia="宋体" w:cs="宋体"/>
          <w:color w:val="auto"/>
          <w:sz w:val="24"/>
          <w:szCs w:val="24"/>
        </w:rPr>
        <w:t>10. 需要补充的其他内容</w:t>
      </w:r>
      <w:bookmarkEnd w:id="382"/>
      <w:bookmarkEnd w:id="383"/>
      <w:bookmarkEnd w:id="384"/>
      <w:bookmarkEnd w:id="385"/>
      <w:bookmarkEnd w:id="386"/>
      <w:bookmarkEnd w:id="387"/>
      <w:bookmarkEnd w:id="388"/>
      <w:bookmarkEnd w:id="389"/>
      <w:bookmarkEnd w:id="390"/>
      <w:bookmarkEnd w:id="391"/>
    </w:p>
    <w:p>
      <w:pPr>
        <w:pageBreakBefore w:val="0"/>
        <w:kinsoku/>
        <w:wordWrap/>
        <w:overflowPunct/>
        <w:topLinePunct w:val="0"/>
        <w:autoSpaceDE w:val="0"/>
        <w:autoSpaceDN w:val="0"/>
        <w:bidi w:val="0"/>
        <w:adjustRightInd w:val="0"/>
        <w:spacing w:line="56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需要补充的其他内容：见投标人须知前附表。</w:t>
      </w:r>
    </w:p>
    <w:bookmarkEnd w:id="37"/>
    <w:p>
      <w:pPr>
        <w:pStyle w:val="2"/>
        <w:spacing w:before="156" w:beforeLines="50" w:after="156" w:afterLines="50" w:line="360" w:lineRule="auto"/>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br w:type="page"/>
      </w:r>
      <w:bookmarkStart w:id="392" w:name="_Toc276979450"/>
      <w:bookmarkStart w:id="393" w:name="_Toc277453801"/>
      <w:bookmarkStart w:id="394" w:name="_Toc15987"/>
      <w:bookmarkStart w:id="395" w:name="_Toc275511680"/>
      <w:bookmarkStart w:id="396" w:name="_Toc275512457"/>
      <w:bookmarkStart w:id="397" w:name="_Toc8163"/>
      <w:bookmarkStart w:id="398" w:name="_Toc25868"/>
      <w:bookmarkStart w:id="399" w:name="_Toc25138"/>
      <w:bookmarkStart w:id="400" w:name="_Toc277453883"/>
      <w:bookmarkStart w:id="401" w:name="_Toc199309427"/>
      <w:r>
        <w:rPr>
          <w:rFonts w:hint="eastAsia" w:ascii="宋体" w:hAnsi="宋体" w:eastAsia="宋体" w:cs="宋体"/>
          <w:color w:val="auto"/>
          <w:sz w:val="24"/>
          <w:szCs w:val="24"/>
        </w:rPr>
        <w:t>第三章 评标办法（综合评估法）</w:t>
      </w:r>
      <w:bookmarkEnd w:id="392"/>
      <w:bookmarkEnd w:id="393"/>
      <w:bookmarkEnd w:id="394"/>
      <w:bookmarkEnd w:id="395"/>
      <w:bookmarkEnd w:id="396"/>
      <w:bookmarkEnd w:id="397"/>
      <w:bookmarkEnd w:id="398"/>
      <w:bookmarkEnd w:id="399"/>
      <w:bookmarkEnd w:id="400"/>
    </w:p>
    <w:p>
      <w:pPr>
        <w:tabs>
          <w:tab w:val="left" w:pos="360"/>
        </w:tabs>
        <w:spacing w:line="360" w:lineRule="auto"/>
        <w:jc w:val="center"/>
        <w:outlineLvl w:val="1"/>
        <w:rPr>
          <w:rFonts w:hint="eastAsia" w:ascii="宋体" w:hAnsi="宋体" w:eastAsia="宋体" w:cs="宋体"/>
          <w:b/>
          <w:bCs/>
          <w:color w:val="auto"/>
          <w:sz w:val="24"/>
          <w:szCs w:val="24"/>
        </w:rPr>
      </w:pPr>
      <w:bookmarkStart w:id="402" w:name="_Toc4252"/>
      <w:bookmarkStart w:id="403" w:name="_Toc27340"/>
      <w:bookmarkStart w:id="404" w:name="_Toc10370"/>
      <w:r>
        <w:rPr>
          <w:rFonts w:hint="eastAsia" w:ascii="宋体" w:hAnsi="宋体" w:eastAsia="宋体" w:cs="宋体"/>
          <w:b/>
          <w:bCs/>
          <w:color w:val="auto"/>
          <w:sz w:val="24"/>
          <w:szCs w:val="24"/>
        </w:rPr>
        <w:t>评标办法前附表</w:t>
      </w:r>
      <w:bookmarkEnd w:id="402"/>
      <w:bookmarkEnd w:id="403"/>
      <w:bookmarkEnd w:id="404"/>
    </w:p>
    <w:tbl>
      <w:tblPr>
        <w:tblStyle w:val="30"/>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
        <w:gridCol w:w="223"/>
        <w:gridCol w:w="1273"/>
        <w:gridCol w:w="2053"/>
        <w:gridCol w:w="274"/>
        <w:gridCol w:w="51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80" w:type="pct"/>
            <w:gridSpan w:val="3"/>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rPr>
            </w:pPr>
            <w:bookmarkStart w:id="405" w:name="_Toc276979451"/>
            <w:bookmarkStart w:id="406" w:name="_Toc277453802"/>
            <w:bookmarkStart w:id="407" w:name="_Toc277453884"/>
            <w:r>
              <w:rPr>
                <w:rFonts w:hint="eastAsia" w:ascii="宋体" w:hAnsi="宋体" w:eastAsia="宋体" w:cs="宋体"/>
                <w:b/>
                <w:color w:val="auto"/>
                <w:sz w:val="24"/>
                <w:szCs w:val="24"/>
              </w:rPr>
              <w:t>条款号</w:t>
            </w: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评审因素</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restart"/>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759" w:type="pct"/>
            <w:gridSpan w:val="2"/>
            <w:vMerge w:val="restart"/>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形式评审</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标准</w:t>
            </w: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top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759" w:type="pct"/>
            <w:gridSpan w:val="2"/>
            <w:vMerge w:val="continue"/>
            <w:tcBorders>
              <w:top w:val="nil"/>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投标文件签字</w:t>
            </w:r>
            <w:r>
              <w:rPr>
                <w:rFonts w:hint="eastAsia" w:ascii="宋体" w:hAnsi="宋体" w:eastAsia="宋体" w:cs="宋体"/>
                <w:color w:val="auto"/>
                <w:sz w:val="24"/>
                <w:szCs w:val="24"/>
                <w:lang w:eastAsia="zh-CN"/>
              </w:rPr>
              <w:t>电子签章</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符合第二章“投标人须知”的要求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top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759" w:type="pct"/>
            <w:gridSpan w:val="2"/>
            <w:vMerge w:val="continue"/>
            <w:tcBorders>
              <w:top w:val="nil"/>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投标文件格式</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符合第五章“投标文件格式”的要求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top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759" w:type="pct"/>
            <w:gridSpan w:val="2"/>
            <w:vMerge w:val="continue"/>
            <w:tcBorders>
              <w:top w:val="nil"/>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报价唯一</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restart"/>
            <w:tcBorders>
              <w:top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759" w:type="pct"/>
            <w:gridSpan w:val="2"/>
            <w:vMerge w:val="restart"/>
            <w:tcBorders>
              <w:top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资格评审</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标准</w:t>
            </w:r>
          </w:p>
          <w:p>
            <w:pPr>
              <w:spacing w:line="360" w:lineRule="auto"/>
              <w:jc w:val="center"/>
              <w:rPr>
                <w:rFonts w:hint="eastAsia" w:ascii="宋体" w:hAnsi="宋体" w:eastAsia="宋体" w:cs="宋体"/>
                <w:color w:val="auto"/>
                <w:sz w:val="24"/>
                <w:szCs w:val="24"/>
              </w:rPr>
            </w:pPr>
            <w:r>
              <w:rPr>
                <w:rFonts w:hint="eastAsia" w:ascii="宋体" w:hAnsi="宋体" w:eastAsia="宋体" w:cs="宋体"/>
                <w:b/>
                <w:bCs/>
                <w:color w:val="auto"/>
              </w:rPr>
              <w:t>（以企业（南阳市）诚信库“基本信息”中证件原件的扫描件为准）</w:t>
            </w: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营业执照</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759" w:type="pct"/>
            <w:gridSpan w:val="2"/>
            <w:vMerge w:val="continue"/>
            <w:tcBorders>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资质等级</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759" w:type="pct"/>
            <w:gridSpan w:val="2"/>
            <w:vMerge w:val="continue"/>
            <w:tcBorders>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财务状况</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759" w:type="pct"/>
            <w:gridSpan w:val="2"/>
            <w:vMerge w:val="continue"/>
            <w:tcBorders>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信誉</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759" w:type="pct"/>
            <w:gridSpan w:val="2"/>
            <w:vMerge w:val="continue"/>
            <w:tcBorders>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项目总监</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9" w:hRule="atLeast"/>
          <w:jc w:val="center"/>
        </w:trPr>
        <w:tc>
          <w:tcPr>
            <w:tcW w:w="421" w:type="pct"/>
            <w:vMerge w:val="continue"/>
            <w:tcBorders>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759" w:type="pct"/>
            <w:gridSpan w:val="2"/>
            <w:vMerge w:val="continue"/>
            <w:tcBorders>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1.3</w:t>
            </w: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tc>
        <w:tc>
          <w:tcPr>
            <w:tcW w:w="759"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响应性评审</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标准</w:t>
            </w: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投标内容</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759"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投标价格</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低于（含等于）第二章“投标人须知”前附表载明的招标控制价。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759"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投标有效期</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759"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投标保证金</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符合第二章“投标人须知”规定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00" w:hRule="atLeast"/>
          <w:jc w:val="center"/>
        </w:trPr>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759"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技术标准和要求</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符合第六章“委托监理的范围和监理工作主要内容”的规定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0" w:type="pct"/>
            <w:gridSpan w:val="3"/>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条款号</w:t>
            </w: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b/>
                <w:color w:val="auto"/>
                <w:sz w:val="24"/>
                <w:szCs w:val="24"/>
              </w:rPr>
              <w:t>条款内容</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9" w:hRule="atLeast"/>
          <w:jc w:val="center"/>
        </w:trPr>
        <w:tc>
          <w:tcPr>
            <w:tcW w:w="1180" w:type="pct"/>
            <w:gridSpan w:val="3"/>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分值构成</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rPr>
              <w:t>总分100分</w:t>
            </w:r>
            <w:r>
              <w:rPr>
                <w:rFonts w:hint="eastAsia" w:ascii="宋体" w:hAnsi="宋体" w:eastAsia="宋体" w:cs="宋体"/>
                <w:color w:val="auto"/>
                <w:sz w:val="24"/>
                <w:szCs w:val="24"/>
                <w:highlight w:val="none"/>
              </w:rPr>
              <w:t>)</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（1）投标报价：</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（2）监理大纲：</w:t>
            </w:r>
            <w:r>
              <w:rPr>
                <w:rFonts w:hint="eastAsia" w:ascii="宋体" w:hAnsi="宋体" w:eastAsia="宋体" w:cs="宋体"/>
                <w:color w:val="auto"/>
                <w:sz w:val="24"/>
                <w:szCs w:val="24"/>
                <w:lang w:val="en-US" w:eastAsia="zh-CN"/>
              </w:rPr>
              <w:t>60</w:t>
            </w:r>
            <w:r>
              <w:rPr>
                <w:rFonts w:hint="eastAsia" w:ascii="宋体" w:hAnsi="宋体" w:eastAsia="宋体" w:cs="宋体"/>
                <w:color w:val="auto"/>
                <w:sz w:val="24"/>
                <w:szCs w:val="24"/>
              </w:rPr>
              <w:t>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（3）项目管理机构：1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（4）企业综合实力：</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80" w:type="pct"/>
            <w:gridSpan w:val="3"/>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2.2</w:t>
            </w:r>
          </w:p>
        </w:tc>
        <w:tc>
          <w:tcPr>
            <w:tcW w:w="118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评标基准价</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计算方法</w:t>
            </w:r>
          </w:p>
        </w:tc>
        <w:tc>
          <w:tcPr>
            <w:tcW w:w="2637" w:type="pct"/>
            <w:tcBorders>
              <w:top w:val="single" w:color="auto" w:sz="4" w:space="0"/>
              <w:left w:val="single" w:color="auto" w:sz="4" w:space="0"/>
              <w:bottom w:val="single" w:color="auto" w:sz="4" w:space="0"/>
              <w:right w:val="single" w:color="auto" w:sz="4" w:space="0"/>
            </w:tcBorders>
            <w:noWrap w:val="0"/>
            <w:vAlign w:val="center"/>
          </w:tcPr>
          <w:p>
            <w:pPr>
              <w:numPr>
                <w:ilvl w:val="0"/>
                <w:numId w:val="8"/>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参与评标基准值计算的投标人报价的确定：</w:t>
            </w:r>
          </w:p>
          <w:p>
            <w:pPr>
              <w:numPr>
                <w:ilvl w:val="0"/>
                <w:numId w:val="9"/>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参与评标基准值计算的投标人报价是指投标人报价与最高限价相比，在95%</w:t>
            </w:r>
            <w:bookmarkStart w:id="408" w:name="OLE_LINK12"/>
            <w:r>
              <w:rPr>
                <w:rFonts w:hint="eastAsia" w:ascii="宋体" w:hAnsi="宋体" w:eastAsia="宋体" w:cs="宋体"/>
                <w:color w:val="auto"/>
                <w:sz w:val="24"/>
                <w:szCs w:val="24"/>
              </w:rPr>
              <w:t>（含）</w:t>
            </w:r>
            <w:bookmarkEnd w:id="408"/>
            <w:r>
              <w:rPr>
                <w:rFonts w:hint="eastAsia" w:ascii="宋体" w:hAnsi="宋体" w:eastAsia="宋体" w:cs="宋体"/>
                <w:color w:val="auto"/>
                <w:sz w:val="24"/>
                <w:szCs w:val="24"/>
              </w:rPr>
              <w:t>-100%（含）范围以内的投标人报价。</w:t>
            </w:r>
          </w:p>
          <w:p>
            <w:pPr>
              <w:numPr>
                <w:ilvl w:val="0"/>
                <w:numId w:val="9"/>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参与评标基准值计算的投标人报价超过4家时，去掉一个最高值，去掉一个最低值之后，取其算术平均值。</w:t>
            </w:r>
          </w:p>
          <w:p>
            <w:pPr>
              <w:numPr>
                <w:ilvl w:val="0"/>
                <w:numId w:val="9"/>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参与评标基准值计算的投标人报价不超过4家（含4家）时，直接取投标人报价得算术平均值。</w:t>
            </w:r>
          </w:p>
          <w:p>
            <w:pPr>
              <w:numPr>
                <w:ilvl w:val="0"/>
                <w:numId w:val="10"/>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评标基准值的计算：</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评标基准值=参与评标基准值计算的投标人报价的算术平均值×50%+最高限价×50%</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注：若投标人报价均不在最高限价的95%（含）-100%（含）范围之内，最高限价的95%即为评标基准值。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3" w:hRule="atLeast"/>
          <w:jc w:val="center"/>
        </w:trPr>
        <w:tc>
          <w:tcPr>
            <w:tcW w:w="1180" w:type="pct"/>
            <w:gridSpan w:val="3"/>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2.3</w:t>
            </w:r>
          </w:p>
        </w:tc>
        <w:tc>
          <w:tcPr>
            <w:tcW w:w="1181" w:type="pct"/>
            <w:gridSpan w:val="2"/>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投标报价的偏差率计算公式</w:t>
            </w:r>
          </w:p>
        </w:tc>
        <w:tc>
          <w:tcPr>
            <w:tcW w:w="2637" w:type="pct"/>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34" w:type="pct"/>
            <w:gridSpan w:val="2"/>
            <w:tcBorders>
              <w:top w:val="nil"/>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条款号</w:t>
            </w:r>
          </w:p>
        </w:tc>
        <w:tc>
          <w:tcPr>
            <w:tcW w:w="646" w:type="pc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评分因素</w:t>
            </w:r>
          </w:p>
        </w:tc>
        <w:tc>
          <w:tcPr>
            <w:tcW w:w="3819"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02" w:hRule="atLeast"/>
          <w:jc w:val="center"/>
        </w:trPr>
        <w:tc>
          <w:tcPr>
            <w:tcW w:w="534" w:type="pct"/>
            <w:gridSpan w:val="2"/>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bookmarkStart w:id="409" w:name="_Toc431542615"/>
            <w:r>
              <w:rPr>
                <w:rFonts w:hint="eastAsia" w:ascii="宋体" w:hAnsi="宋体" w:eastAsia="宋体" w:cs="宋体"/>
                <w:color w:val="auto"/>
                <w:sz w:val="24"/>
                <w:szCs w:val="24"/>
              </w:rPr>
              <w:t>2.2.4（1）</w:t>
            </w:r>
          </w:p>
        </w:tc>
        <w:tc>
          <w:tcPr>
            <w:tcW w:w="646" w:type="pct"/>
            <w:tcBorders>
              <w:top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投标报价评分标准（</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0分）</w:t>
            </w:r>
          </w:p>
        </w:tc>
        <w:tc>
          <w:tcPr>
            <w:tcW w:w="3819" w:type="pct"/>
            <w:gridSpan w:val="3"/>
            <w:tcBorders>
              <w:top w:val="single" w:color="auto" w:sz="4" w:space="0"/>
              <w:left w:val="single" w:color="auto" w:sz="4" w:space="0"/>
              <w:bottom w:val="single" w:color="auto" w:sz="4" w:space="0"/>
            </w:tcBorders>
            <w:noWrap w:val="0"/>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投标人评标价与评标基准价相等者得基本分</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分；</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   投标人评标价高于评标基准值的，按每高于评标基准价1%在基本分</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分基础上进行扣1分的比例扣分，扣完为止；</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   投标人评标价低于评标基准值的，按每低于评标基准价1%在基本分</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分基础上加1分，最多加</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分；满分后</w:t>
            </w:r>
            <w:r>
              <w:rPr>
                <w:rFonts w:hint="eastAsia" w:ascii="宋体" w:hAnsi="宋体" w:eastAsia="宋体" w:cs="宋体"/>
                <w:color w:val="auto"/>
                <w:sz w:val="24"/>
                <w:szCs w:val="24"/>
                <w:highlight w:val="none"/>
              </w:rPr>
              <w:t>每再</w:t>
            </w:r>
            <w:r>
              <w:rPr>
                <w:rFonts w:hint="eastAsia" w:ascii="宋体" w:hAnsi="宋体" w:eastAsia="宋体" w:cs="宋体"/>
                <w:color w:val="auto"/>
                <w:sz w:val="24"/>
                <w:szCs w:val="24"/>
              </w:rPr>
              <w:t>低1%从满分</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0分内扣2分，扣完为止。</w:t>
            </w:r>
          </w:p>
          <w:p>
            <w:pPr>
              <w:tabs>
                <w:tab w:val="left" w:pos="54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不足1%的按照内插法计算。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534" w:type="pct"/>
            <w:gridSpan w:val="2"/>
            <w:vMerge w:val="restart"/>
            <w:tcBorders>
              <w:top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2.2.4（2）</w:t>
            </w:r>
          </w:p>
        </w:tc>
        <w:tc>
          <w:tcPr>
            <w:tcW w:w="646" w:type="pct"/>
            <w:vMerge w:val="restart"/>
            <w:tcBorders>
              <w:top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监理大纲（</w:t>
            </w:r>
            <w:r>
              <w:rPr>
                <w:rFonts w:hint="eastAsia" w:ascii="宋体" w:hAnsi="宋体" w:eastAsia="宋体" w:cs="宋体"/>
                <w:color w:val="auto"/>
                <w:sz w:val="24"/>
                <w:szCs w:val="24"/>
                <w:lang w:val="en-US" w:eastAsia="zh-CN"/>
              </w:rPr>
              <w:t>60</w:t>
            </w:r>
            <w:r>
              <w:rPr>
                <w:rFonts w:hint="eastAsia" w:ascii="宋体" w:hAnsi="宋体" w:eastAsia="宋体" w:cs="宋体"/>
                <w:color w:val="auto"/>
                <w:sz w:val="24"/>
                <w:szCs w:val="24"/>
              </w:rPr>
              <w:t>分）</w:t>
            </w:r>
          </w:p>
        </w:tc>
        <w:tc>
          <w:tcPr>
            <w:tcW w:w="1042" w:type="pct"/>
            <w:tcBorders>
              <w:top w:val="single" w:color="auto" w:sz="4" w:space="0"/>
              <w:left w:val="single" w:color="auto" w:sz="4" w:space="0"/>
              <w:bottom w:val="single" w:color="auto" w:sz="4" w:space="0"/>
            </w:tcBorders>
            <w:noWrap w:val="0"/>
            <w:vAlign w:val="center"/>
          </w:tcPr>
          <w:p>
            <w:pPr>
              <w:numPr>
                <w:ilvl w:val="0"/>
                <w:numId w:val="11"/>
              </w:numPr>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监理目标、办法（</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监理目标明确、方法得当得3-</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分，一般得1-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2"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1"/>
              </w:numPr>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进度控制措施和方法（</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合理者得3-</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分，一般得1-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1"/>
              </w:numPr>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质量控制措施和方法（</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合理者得3-</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分，一般得1-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1"/>
              </w:numPr>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保证旁站监理措施和方法（</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设置旁站监理部位（过程）且设置合理，保证旁站监理措施合理者得3-</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分，一般得1-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1"/>
              </w:numPr>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造价控制措施和方法（</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周密、及时、准确得3-</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分，一般得1-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1"/>
              </w:numPr>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文明、安全控制措施和方法（</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合理得</w:t>
            </w:r>
            <w:r>
              <w:rPr>
                <w:rFonts w:hint="eastAsia" w:ascii="宋体" w:hAnsi="宋体" w:eastAsia="宋体" w:cs="宋体"/>
                <w:color w:val="auto"/>
                <w:sz w:val="24"/>
                <w:szCs w:val="24"/>
                <w:lang w:val="en-US" w:eastAsia="zh-CN"/>
              </w:rPr>
              <w:t>5-6</w:t>
            </w:r>
            <w:r>
              <w:rPr>
                <w:rFonts w:hint="eastAsia" w:ascii="宋体" w:hAnsi="宋体" w:eastAsia="宋体" w:cs="宋体"/>
                <w:color w:val="auto"/>
                <w:sz w:val="24"/>
                <w:szCs w:val="24"/>
              </w:rPr>
              <w:t>分，一般得</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1"/>
              </w:numPr>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工作协调措施和方法（</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合理得</w:t>
            </w:r>
            <w:r>
              <w:rPr>
                <w:rFonts w:hint="eastAsia" w:ascii="宋体" w:hAnsi="宋体" w:eastAsia="宋体" w:cs="宋体"/>
                <w:color w:val="auto"/>
                <w:sz w:val="24"/>
                <w:szCs w:val="24"/>
                <w:lang w:val="en-US" w:eastAsia="zh-CN"/>
              </w:rPr>
              <w:t>5-6</w:t>
            </w:r>
            <w:r>
              <w:rPr>
                <w:rFonts w:hint="eastAsia" w:ascii="宋体" w:hAnsi="宋体" w:eastAsia="宋体" w:cs="宋体"/>
                <w:color w:val="auto"/>
                <w:sz w:val="24"/>
                <w:szCs w:val="24"/>
              </w:rPr>
              <w:t>分，一般得</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1"/>
              </w:numPr>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合同和信息管理和方法（</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有序、得当、合理得</w:t>
            </w:r>
            <w:r>
              <w:rPr>
                <w:rFonts w:hint="eastAsia" w:ascii="宋体" w:hAnsi="宋体" w:eastAsia="宋体" w:cs="宋体"/>
                <w:color w:val="auto"/>
                <w:sz w:val="24"/>
                <w:szCs w:val="24"/>
                <w:lang w:val="en-US" w:eastAsia="zh-CN"/>
              </w:rPr>
              <w:t>5-6</w:t>
            </w:r>
            <w:r>
              <w:rPr>
                <w:rFonts w:hint="eastAsia" w:ascii="宋体" w:hAnsi="宋体" w:eastAsia="宋体" w:cs="宋体"/>
                <w:color w:val="auto"/>
                <w:sz w:val="24"/>
                <w:szCs w:val="24"/>
              </w:rPr>
              <w:t>分，一般得</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vMerge w:val="continue"/>
            <w:tcBorders>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646" w:type="pct"/>
            <w:vMerge w:val="continue"/>
            <w:tcBorders>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numPr>
                <w:ilvl w:val="0"/>
                <w:numId w:val="11"/>
              </w:numPr>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重点与难点分析（</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合理得</w:t>
            </w:r>
            <w:r>
              <w:rPr>
                <w:rFonts w:hint="eastAsia" w:ascii="宋体" w:hAnsi="宋体" w:eastAsia="宋体" w:cs="宋体"/>
                <w:color w:val="auto"/>
                <w:sz w:val="24"/>
                <w:szCs w:val="24"/>
                <w:lang w:val="en-US" w:eastAsia="zh-CN"/>
              </w:rPr>
              <w:t>5-6</w:t>
            </w:r>
            <w:r>
              <w:rPr>
                <w:rFonts w:hint="eastAsia" w:ascii="宋体" w:hAnsi="宋体" w:eastAsia="宋体" w:cs="宋体"/>
                <w:color w:val="auto"/>
                <w:sz w:val="24"/>
                <w:szCs w:val="24"/>
              </w:rPr>
              <w:t>分，基本合理得</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98" w:hRule="atLeast"/>
          <w:jc w:val="center"/>
        </w:trPr>
        <w:tc>
          <w:tcPr>
            <w:tcW w:w="534" w:type="pct"/>
            <w:gridSpan w:val="2"/>
            <w:vMerge w:val="continue"/>
            <w:tcBorders>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646" w:type="pct"/>
            <w:vMerge w:val="continue"/>
            <w:tcBorders>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p>
        </w:tc>
        <w:tc>
          <w:tcPr>
            <w:tcW w:w="1042" w:type="pct"/>
            <w:tcBorders>
              <w:top w:val="single" w:color="auto" w:sz="4" w:space="0"/>
              <w:left w:val="single" w:color="auto" w:sz="4" w:space="0"/>
              <w:bottom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10.对本工程的建议（</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2776" w:type="pct"/>
            <w:gridSpan w:val="2"/>
            <w:tcBorders>
              <w:top w:val="single" w:color="auto" w:sz="4" w:space="0"/>
              <w:left w:val="single" w:color="auto" w:sz="4" w:space="0"/>
              <w:bottom w:val="single" w:color="auto" w:sz="4" w:space="0"/>
            </w:tcBorders>
            <w:noWrap w:val="0"/>
            <w:vAlign w:val="center"/>
          </w:tcPr>
          <w:p>
            <w:pPr>
              <w:tabs>
                <w:tab w:val="left" w:pos="54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合理得</w:t>
            </w:r>
            <w:r>
              <w:rPr>
                <w:rFonts w:hint="eastAsia" w:ascii="宋体" w:hAnsi="宋体" w:eastAsia="宋体" w:cs="宋体"/>
                <w:color w:val="auto"/>
                <w:sz w:val="24"/>
                <w:szCs w:val="24"/>
                <w:lang w:val="en-US" w:eastAsia="zh-CN"/>
              </w:rPr>
              <w:t>5-6</w:t>
            </w:r>
            <w:r>
              <w:rPr>
                <w:rFonts w:hint="eastAsia" w:ascii="宋体" w:hAnsi="宋体" w:eastAsia="宋体" w:cs="宋体"/>
                <w:color w:val="auto"/>
                <w:sz w:val="24"/>
                <w:szCs w:val="24"/>
              </w:rPr>
              <w:t>分，基本合理得</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2.2.4（3）</w:t>
            </w:r>
          </w:p>
        </w:tc>
        <w:tc>
          <w:tcPr>
            <w:tcW w:w="646" w:type="pct"/>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项目管理机构</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r>
              <w:rPr>
                <w:rFonts w:hint="eastAsia" w:ascii="宋体" w:hAnsi="宋体" w:eastAsia="宋体" w:cs="宋体"/>
                <w:color w:val="auto"/>
                <w:sz w:val="24"/>
                <w:szCs w:val="24"/>
                <w:highlight w:val="none"/>
              </w:rPr>
              <w:t>)</w:t>
            </w:r>
          </w:p>
        </w:tc>
        <w:tc>
          <w:tcPr>
            <w:tcW w:w="3819" w:type="pct"/>
            <w:gridSpan w:val="3"/>
            <w:tcBorders>
              <w:top w:val="single" w:color="auto" w:sz="4" w:space="0"/>
              <w:left w:val="single" w:color="auto" w:sz="4" w:space="0"/>
              <w:bottom w:val="single" w:color="auto" w:sz="4" w:space="0"/>
            </w:tcBorders>
            <w:noWrap w:val="0"/>
            <w:vAlign w:val="center"/>
          </w:tcPr>
          <w:p>
            <w:pPr>
              <w:tabs>
                <w:tab w:val="left" w:pos="54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1、监理机构设置：合理得2分，基本合理得1分，否则得0分；</w:t>
            </w:r>
          </w:p>
          <w:p>
            <w:pPr>
              <w:tabs>
                <w:tab w:val="left" w:pos="54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2、内部管理规章制度：建立职业准则、行为规范、岗位职责等齐全得2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分，基本合理得1分，否则得0分；</w:t>
            </w:r>
          </w:p>
          <w:p>
            <w:pPr>
              <w:tabs>
                <w:tab w:val="left" w:pos="54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3、主要监理人员进场计划：合理得3</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分，基本合理得1-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分，否则得0分；</w:t>
            </w:r>
          </w:p>
          <w:p>
            <w:pPr>
              <w:tabs>
                <w:tab w:val="left" w:pos="54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4、拟投入检测、办公设备：数量、品种、型号满足监理工作需要得3</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分，基本</w:t>
            </w:r>
            <w:r>
              <w:rPr>
                <w:rFonts w:hint="eastAsia" w:ascii="宋体" w:hAnsi="宋体" w:eastAsia="宋体" w:cs="宋体"/>
                <w:color w:val="auto"/>
                <w:sz w:val="24"/>
                <w:szCs w:val="24"/>
                <w:highlight w:val="none"/>
              </w:rPr>
              <w:t>满足得</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分，否则得0分。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534" w:type="pct"/>
            <w:gridSpan w:val="2"/>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2.2.4（4）</w:t>
            </w:r>
          </w:p>
        </w:tc>
        <w:tc>
          <w:tcPr>
            <w:tcW w:w="646" w:type="pct"/>
            <w:tcBorders>
              <w:top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企业综合实力（</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5分）</w:t>
            </w:r>
          </w:p>
        </w:tc>
        <w:tc>
          <w:tcPr>
            <w:tcW w:w="3819" w:type="pct"/>
            <w:gridSpan w:val="3"/>
            <w:tcBorders>
              <w:top w:val="single" w:color="auto" w:sz="4" w:space="0"/>
              <w:left w:val="single" w:color="auto" w:sz="4" w:space="0"/>
              <w:bottom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年1月</w:t>
            </w:r>
            <w:r>
              <w:rPr>
                <w:rFonts w:hint="eastAsia" w:ascii="宋体" w:hAnsi="宋体" w:eastAsia="宋体" w:cs="宋体"/>
                <w:color w:val="auto"/>
                <w:sz w:val="24"/>
                <w:szCs w:val="24"/>
                <w:lang w:val="en-US" w:eastAsia="zh-CN"/>
              </w:rPr>
              <w:t>1日</w:t>
            </w:r>
            <w:r>
              <w:rPr>
                <w:rFonts w:hint="eastAsia" w:ascii="宋体" w:hAnsi="宋体" w:eastAsia="宋体" w:cs="宋体"/>
                <w:color w:val="auto"/>
                <w:sz w:val="24"/>
                <w:szCs w:val="24"/>
              </w:rPr>
              <w:t>以来（以合同协议书签订时间为准），企业已完成的类似项目监理业绩，每一项完整业绩得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color w:val="auto"/>
                <w:sz w:val="24"/>
                <w:szCs w:val="24"/>
                <w:highlight w:val="none"/>
              </w:rPr>
              <w:t>最高得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p>
            <w:pPr>
              <w:numPr>
                <w:ilvl w:val="0"/>
                <w:numId w:val="0"/>
              </w:numPr>
              <w:spacing w:line="360" w:lineRule="auto"/>
              <w:ind w:left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监理部成员中（不含总监）有</w:t>
            </w:r>
            <w:r>
              <w:rPr>
                <w:rFonts w:hint="eastAsia" w:ascii="宋体" w:hAnsi="宋体" w:eastAsia="宋体" w:cs="宋体"/>
                <w:color w:val="auto"/>
                <w:sz w:val="24"/>
                <w:szCs w:val="24"/>
                <w:lang w:val="en-US" w:eastAsia="zh-CN"/>
              </w:rPr>
              <w:t>相关</w:t>
            </w:r>
            <w:r>
              <w:rPr>
                <w:rFonts w:hint="eastAsia" w:ascii="宋体" w:hAnsi="宋体" w:eastAsia="宋体" w:cs="宋体"/>
                <w:color w:val="auto"/>
                <w:sz w:val="24"/>
                <w:szCs w:val="24"/>
              </w:rPr>
              <w:t>中级或以上工程师职称的，每一个加</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color w:val="auto"/>
                <w:sz w:val="24"/>
                <w:szCs w:val="24"/>
                <w:highlight w:val="none"/>
              </w:rPr>
              <w:t>最高得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p>
            <w:pPr>
              <w:pStyle w:val="28"/>
              <w:numPr>
                <w:ilvl w:val="0"/>
                <w:numId w:val="0"/>
              </w:numPr>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kern w:val="2"/>
                <w:sz w:val="24"/>
                <w:szCs w:val="24"/>
                <w:lang w:val="en-US" w:eastAsia="zh-CN" w:bidi="ar-SA"/>
              </w:rPr>
              <w:t>企业荣誉：2020年1月1日以来获得行业主管部门颁发的先进监理企业荣誉的每年次加1分，最高加3分。</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注：</w:t>
            </w:r>
          </w:p>
          <w:p>
            <w:pPr>
              <w:numPr>
                <w:ilvl w:val="0"/>
                <w:numId w:val="12"/>
              </w:num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完整业绩包括：中标通知书和合同协议书，并在投标文件中附复印件，并加盖公章。</w:t>
            </w:r>
          </w:p>
          <w:p>
            <w:pPr>
              <w:numPr>
                <w:ilvl w:val="0"/>
                <w:numId w:val="12"/>
              </w:num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以上</w:t>
            </w:r>
            <w:r>
              <w:rPr>
                <w:rFonts w:hint="eastAsia" w:ascii="宋体" w:hAnsi="宋体" w:eastAsia="宋体" w:cs="宋体"/>
                <w:b/>
                <w:bCs/>
                <w:color w:val="auto"/>
                <w:sz w:val="24"/>
                <w:szCs w:val="24"/>
                <w:highlight w:val="none"/>
              </w:rPr>
              <w:t>涉及到</w:t>
            </w:r>
            <w:r>
              <w:rPr>
                <w:rFonts w:hint="eastAsia" w:ascii="宋体" w:hAnsi="宋体" w:eastAsia="宋体" w:cs="宋体"/>
                <w:b/>
                <w:bCs/>
                <w:color w:val="auto"/>
                <w:sz w:val="24"/>
                <w:szCs w:val="24"/>
              </w:rPr>
              <w:t>的资料、证明、证件，开标时</w:t>
            </w:r>
            <w:r>
              <w:rPr>
                <w:rFonts w:hint="eastAsia" w:ascii="宋体" w:hAnsi="宋体" w:eastAsia="宋体" w:cs="宋体"/>
                <w:b/>
                <w:bCs/>
                <w:color w:val="auto"/>
              </w:rPr>
              <w:t>以企业（南阳市）诚信库“基本信息”中证件原件的扫描件为准</w:t>
            </w:r>
            <w:r>
              <w:rPr>
                <w:rFonts w:hint="eastAsia" w:ascii="宋体" w:hAnsi="宋体" w:eastAsia="宋体" w:cs="宋体"/>
                <w:b/>
                <w:bCs/>
                <w:color w:val="auto"/>
                <w:sz w:val="24"/>
                <w:szCs w:val="24"/>
              </w:rPr>
              <w:t>，原件不齐或无原件的不得分（有特殊情况说明的除外）。</w:t>
            </w:r>
          </w:p>
        </w:tc>
      </w:tr>
    </w:tbl>
    <w:p>
      <w:pPr>
        <w:rPr>
          <w:rFonts w:hint="eastAsia" w:ascii="宋体" w:hAnsi="宋体" w:eastAsia="宋体" w:cs="宋体"/>
          <w:color w:val="auto"/>
          <w:sz w:val="24"/>
          <w:szCs w:val="24"/>
        </w:rPr>
      </w:pPr>
    </w:p>
    <w:p>
      <w:pPr>
        <w:pStyle w:val="4"/>
        <w:spacing w:after="0" w:line="360" w:lineRule="auto"/>
        <w:jc w:val="left"/>
        <w:rPr>
          <w:rFonts w:hint="eastAsia" w:ascii="宋体" w:hAnsi="宋体" w:eastAsia="宋体" w:cs="宋体"/>
          <w:color w:val="auto"/>
          <w:sz w:val="24"/>
          <w:szCs w:val="24"/>
        </w:rPr>
      </w:pPr>
      <w:bookmarkStart w:id="410" w:name="_Toc27052"/>
      <w:bookmarkStart w:id="411" w:name="_Toc13515"/>
      <w:bookmarkStart w:id="412" w:name="_Toc16606"/>
      <w:bookmarkStart w:id="413" w:name="_Toc32176"/>
      <w:r>
        <w:rPr>
          <w:rFonts w:hint="eastAsia" w:ascii="宋体" w:hAnsi="宋体" w:eastAsia="宋体" w:cs="宋体"/>
          <w:color w:val="auto"/>
          <w:sz w:val="24"/>
          <w:szCs w:val="24"/>
        </w:rPr>
        <w:t>1. 评标方法</w:t>
      </w:r>
      <w:bookmarkEnd w:id="405"/>
      <w:bookmarkEnd w:id="406"/>
      <w:bookmarkEnd w:id="407"/>
      <w:bookmarkEnd w:id="409"/>
      <w:bookmarkEnd w:id="410"/>
      <w:bookmarkEnd w:id="411"/>
      <w:bookmarkEnd w:id="412"/>
      <w:bookmarkEnd w:id="413"/>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本次评标采用综合评估法。评标委员会对满足招标文件实质性要求的投标文件，按照本章第2.2 款规定的评分标准进行打分，并按得分由高到低顺序推荐中标候选人，但投标报价低于其成本的除外。综合评分相等时，以投标报价低的优先；投标报价也相等的，以监理大纲得分高的优先；监理大纲得分也相等的，由招标人自行确定。</w:t>
      </w:r>
    </w:p>
    <w:p>
      <w:pPr>
        <w:pStyle w:val="4"/>
        <w:spacing w:before="0" w:after="0" w:line="360" w:lineRule="auto"/>
        <w:jc w:val="left"/>
        <w:rPr>
          <w:rFonts w:hint="eastAsia" w:ascii="宋体" w:hAnsi="宋体" w:eastAsia="宋体" w:cs="宋体"/>
          <w:color w:val="auto"/>
          <w:sz w:val="24"/>
          <w:szCs w:val="24"/>
        </w:rPr>
      </w:pPr>
      <w:bookmarkStart w:id="414" w:name="_Toc275511683"/>
      <w:bookmarkStart w:id="415" w:name="_Toc241840794"/>
      <w:bookmarkStart w:id="416" w:name="_Toc275512460"/>
      <w:bookmarkStart w:id="417" w:name="_Toc10350"/>
      <w:bookmarkStart w:id="418" w:name="_Toc277453803"/>
      <w:bookmarkStart w:id="419" w:name="_Toc29346"/>
      <w:bookmarkStart w:id="420" w:name="_Toc9337"/>
      <w:bookmarkStart w:id="421" w:name="_Toc431542616"/>
      <w:bookmarkStart w:id="422" w:name="_Toc276979452"/>
      <w:bookmarkStart w:id="423" w:name="_Toc1166"/>
      <w:bookmarkStart w:id="424" w:name="_Toc258330994"/>
      <w:bookmarkStart w:id="425" w:name="_Toc277453885"/>
      <w:r>
        <w:rPr>
          <w:rFonts w:hint="eastAsia" w:ascii="宋体" w:hAnsi="宋体" w:eastAsia="宋体" w:cs="宋体"/>
          <w:color w:val="auto"/>
          <w:sz w:val="24"/>
          <w:szCs w:val="24"/>
        </w:rPr>
        <w:t>2. 评审标准</w:t>
      </w:r>
      <w:bookmarkEnd w:id="414"/>
      <w:bookmarkEnd w:id="415"/>
      <w:bookmarkEnd w:id="416"/>
      <w:bookmarkEnd w:id="417"/>
      <w:bookmarkEnd w:id="418"/>
      <w:bookmarkEnd w:id="419"/>
      <w:bookmarkEnd w:id="420"/>
      <w:bookmarkEnd w:id="421"/>
      <w:bookmarkEnd w:id="422"/>
      <w:bookmarkEnd w:id="423"/>
      <w:bookmarkEnd w:id="424"/>
      <w:bookmarkEnd w:id="425"/>
    </w:p>
    <w:p>
      <w:pPr>
        <w:pStyle w:val="5"/>
        <w:spacing w:before="0" w:beforeAutospacing="0" w:after="0" w:afterAutospacing="0" w:line="360" w:lineRule="auto"/>
        <w:rPr>
          <w:rFonts w:hint="eastAsia" w:ascii="宋体" w:hAnsi="宋体" w:eastAsia="宋体" w:cs="宋体"/>
          <w:color w:val="auto"/>
          <w:sz w:val="24"/>
          <w:szCs w:val="24"/>
        </w:rPr>
      </w:pPr>
      <w:bookmarkStart w:id="426" w:name="_Toc31969"/>
      <w:bookmarkStart w:id="427" w:name="_Toc277453886"/>
      <w:bookmarkStart w:id="428" w:name="_Toc275511684"/>
      <w:bookmarkStart w:id="429" w:name="_Toc258330995"/>
      <w:bookmarkStart w:id="430" w:name="_Toc431542617"/>
      <w:bookmarkStart w:id="431" w:name="_Toc275512461"/>
      <w:bookmarkStart w:id="432" w:name="_Toc277453804"/>
      <w:bookmarkStart w:id="433" w:name="_Toc276979453"/>
      <w:bookmarkStart w:id="434" w:name="_Toc241840795"/>
      <w:r>
        <w:rPr>
          <w:rFonts w:hint="eastAsia" w:ascii="宋体" w:hAnsi="宋体" w:eastAsia="宋体" w:cs="宋体"/>
          <w:color w:val="auto"/>
          <w:sz w:val="24"/>
          <w:szCs w:val="24"/>
        </w:rPr>
        <w:t>2.1 初步评审标准</w:t>
      </w:r>
      <w:bookmarkEnd w:id="426"/>
      <w:bookmarkEnd w:id="427"/>
      <w:bookmarkEnd w:id="428"/>
      <w:bookmarkEnd w:id="429"/>
      <w:bookmarkEnd w:id="430"/>
      <w:bookmarkEnd w:id="431"/>
      <w:bookmarkEnd w:id="432"/>
      <w:bookmarkEnd w:id="433"/>
      <w:bookmarkEnd w:id="434"/>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2.1.1 形式评审标准：见评标办法前附表。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2.1.2 资格评审标准：见评标办法前附表。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2.1.3 响应性评审标准：见评标办法前附表。</w:t>
      </w:r>
    </w:p>
    <w:p>
      <w:pPr>
        <w:pStyle w:val="5"/>
        <w:spacing w:before="0" w:beforeAutospacing="0" w:after="0" w:afterAutospacing="0" w:line="360" w:lineRule="auto"/>
        <w:rPr>
          <w:rFonts w:hint="eastAsia" w:ascii="宋体" w:hAnsi="宋体" w:eastAsia="宋体" w:cs="宋体"/>
          <w:color w:val="auto"/>
          <w:sz w:val="24"/>
          <w:szCs w:val="24"/>
        </w:rPr>
      </w:pPr>
      <w:bookmarkStart w:id="435" w:name="_Toc431542618"/>
      <w:bookmarkStart w:id="436" w:name="_Toc25135"/>
      <w:bookmarkStart w:id="437" w:name="_Toc241840796"/>
      <w:bookmarkStart w:id="438" w:name="_Toc277453887"/>
      <w:bookmarkStart w:id="439" w:name="_Toc277453805"/>
      <w:bookmarkStart w:id="440" w:name="_Toc275511685"/>
      <w:bookmarkStart w:id="441" w:name="_Toc258330996"/>
      <w:bookmarkStart w:id="442" w:name="_Toc276979454"/>
      <w:bookmarkStart w:id="443" w:name="_Toc275512462"/>
      <w:r>
        <w:rPr>
          <w:rFonts w:hint="eastAsia" w:ascii="宋体" w:hAnsi="宋体" w:eastAsia="宋体" w:cs="宋体"/>
          <w:color w:val="auto"/>
          <w:sz w:val="24"/>
          <w:szCs w:val="24"/>
        </w:rPr>
        <w:t>2.2 分值构成与评分标准</w:t>
      </w:r>
      <w:bookmarkEnd w:id="435"/>
      <w:bookmarkEnd w:id="436"/>
      <w:bookmarkEnd w:id="437"/>
      <w:bookmarkEnd w:id="438"/>
      <w:bookmarkEnd w:id="439"/>
      <w:bookmarkEnd w:id="440"/>
      <w:bookmarkEnd w:id="441"/>
      <w:bookmarkEnd w:id="442"/>
      <w:bookmarkEnd w:id="443"/>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2.2.1 分值构成：见评标办法前附表；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2.2.2 评标基准价计算：见评标办法前附表。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2.2.3 投标报价的偏差率计算：见评标办法前附表。</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2.2.4 评分标准</w:t>
      </w:r>
      <w:bookmarkStart w:id="444" w:name="_Toc277453888"/>
      <w:bookmarkStart w:id="445" w:name="_Toc277453806"/>
      <w:bookmarkStart w:id="446" w:name="_Toc241840797"/>
      <w:bookmarkStart w:id="447" w:name="_Toc275512463"/>
      <w:bookmarkStart w:id="448" w:name="_Toc276979455"/>
      <w:bookmarkStart w:id="449" w:name="_Toc258330997"/>
      <w:bookmarkStart w:id="450" w:name="_Toc275511686"/>
      <w:r>
        <w:rPr>
          <w:rFonts w:hint="eastAsia" w:ascii="宋体" w:hAnsi="宋体" w:eastAsia="宋体" w:cs="宋体"/>
          <w:color w:val="auto"/>
          <w:kern w:val="0"/>
          <w:sz w:val="24"/>
          <w:szCs w:val="24"/>
        </w:rPr>
        <w:t>：见评标办法前附表；</w:t>
      </w:r>
    </w:p>
    <w:p>
      <w:pPr>
        <w:autoSpaceDE w:val="0"/>
        <w:autoSpaceDN w:val="0"/>
        <w:adjustRightInd w:val="0"/>
        <w:spacing w:line="360" w:lineRule="auto"/>
        <w:jc w:val="left"/>
        <w:outlineLvl w:val="1"/>
        <w:rPr>
          <w:rFonts w:hint="eastAsia" w:ascii="宋体" w:hAnsi="宋体" w:eastAsia="宋体" w:cs="宋体"/>
          <w:b/>
          <w:color w:val="auto"/>
          <w:kern w:val="0"/>
          <w:sz w:val="24"/>
          <w:szCs w:val="24"/>
        </w:rPr>
      </w:pPr>
      <w:bookmarkStart w:id="451" w:name="_Toc23552"/>
      <w:bookmarkStart w:id="452" w:name="_Toc9020"/>
      <w:bookmarkStart w:id="453" w:name="_Toc17302"/>
      <w:r>
        <w:rPr>
          <w:rFonts w:hint="eastAsia" w:ascii="宋体" w:hAnsi="宋体" w:eastAsia="宋体" w:cs="宋体"/>
          <w:b/>
          <w:color w:val="auto"/>
          <w:kern w:val="0"/>
          <w:sz w:val="24"/>
          <w:szCs w:val="24"/>
        </w:rPr>
        <w:t>3. 评标程序</w:t>
      </w:r>
      <w:bookmarkEnd w:id="444"/>
      <w:bookmarkEnd w:id="445"/>
      <w:bookmarkEnd w:id="446"/>
      <w:bookmarkEnd w:id="447"/>
      <w:bookmarkEnd w:id="448"/>
      <w:bookmarkEnd w:id="449"/>
      <w:bookmarkEnd w:id="450"/>
      <w:bookmarkEnd w:id="451"/>
      <w:bookmarkEnd w:id="452"/>
      <w:bookmarkEnd w:id="453"/>
    </w:p>
    <w:p>
      <w:pPr>
        <w:pStyle w:val="5"/>
        <w:spacing w:before="0" w:beforeAutospacing="0" w:after="0" w:afterAutospacing="0" w:line="360" w:lineRule="auto"/>
        <w:rPr>
          <w:rFonts w:hint="eastAsia" w:ascii="宋体" w:hAnsi="宋体" w:eastAsia="宋体" w:cs="宋体"/>
          <w:color w:val="auto"/>
          <w:sz w:val="24"/>
          <w:szCs w:val="24"/>
        </w:rPr>
      </w:pPr>
      <w:bookmarkStart w:id="454" w:name="_Toc277453807"/>
      <w:bookmarkStart w:id="455" w:name="_Toc258330998"/>
      <w:bookmarkStart w:id="456" w:name="_Toc275512464"/>
      <w:bookmarkStart w:id="457" w:name="_Toc277453889"/>
      <w:bookmarkStart w:id="458" w:name="_Toc241840798"/>
      <w:bookmarkStart w:id="459" w:name="_Toc3042"/>
      <w:bookmarkStart w:id="460" w:name="_Toc275511687"/>
      <w:bookmarkStart w:id="461" w:name="_Toc431542619"/>
      <w:bookmarkStart w:id="462" w:name="_Toc276979456"/>
      <w:r>
        <w:rPr>
          <w:rFonts w:hint="eastAsia" w:ascii="宋体" w:hAnsi="宋体" w:eastAsia="宋体" w:cs="宋体"/>
          <w:color w:val="auto"/>
          <w:sz w:val="24"/>
          <w:szCs w:val="24"/>
        </w:rPr>
        <w:t>3.1 初步评审</w:t>
      </w:r>
      <w:bookmarkEnd w:id="454"/>
      <w:bookmarkEnd w:id="455"/>
      <w:bookmarkEnd w:id="456"/>
      <w:bookmarkEnd w:id="457"/>
      <w:bookmarkEnd w:id="458"/>
      <w:bookmarkEnd w:id="459"/>
      <w:bookmarkEnd w:id="460"/>
      <w:bookmarkEnd w:id="461"/>
      <w:bookmarkEnd w:id="462"/>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3.1.1 评标委员会可以要求投标人提交第二章“投标人须知”第3.5项规定的有关证明和证件的原件，以便核验。评标委员会依据本章第2.1 款规定的标准对投标文件进行初步评审。有一项不符合评审标准的，作废标处理。</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3.1.2 投标人有以下情形之一的，其投标作废标处理：</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（1）投标人拒不按照评标委员会的要求对其投标文件进行澄清、说明或者补正的，评标委员会应将该投标作无效标处理。</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（2）投标人未按招标文件要求提交足额、有效的投</w:t>
      </w:r>
      <w:r>
        <w:rPr>
          <w:rFonts w:hint="eastAsia" w:ascii="宋体" w:hAnsi="宋体" w:eastAsia="宋体" w:cs="宋体"/>
          <w:color w:val="auto"/>
          <w:kern w:val="0"/>
          <w:sz w:val="24"/>
          <w:szCs w:val="24"/>
          <w:lang w:val="en-US" w:eastAsia="zh-CN"/>
        </w:rPr>
        <w:t>标</w:t>
      </w:r>
      <w:r>
        <w:rPr>
          <w:rFonts w:hint="eastAsia" w:ascii="宋体" w:hAnsi="宋体" w:eastAsia="宋体" w:cs="宋体"/>
          <w:color w:val="auto"/>
          <w:kern w:val="0"/>
          <w:sz w:val="24"/>
          <w:szCs w:val="24"/>
        </w:rPr>
        <w:t>保证金；</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（3）投标人拒绝承担某部分监理工作，或提出与招标文件相悖的要求，或对招标文件有重要保留。</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3.1.3 投标报价有算术错误的，评标委员会按以下原则对投标报价进行修正，修正的价格经投标人书面确认后具有约束力。投标人不接受修正价格的，其投标作废标处理。</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（1）投标文件中的大写金额与小写金额不一致的，以大写金额为准；</w:t>
      </w:r>
    </w:p>
    <w:p>
      <w:pPr>
        <w:pStyle w:val="5"/>
        <w:spacing w:before="0" w:beforeAutospacing="0" w:after="0" w:afterAutospacing="0" w:line="360" w:lineRule="auto"/>
        <w:rPr>
          <w:rFonts w:hint="eastAsia" w:ascii="宋体" w:hAnsi="宋体" w:eastAsia="宋体" w:cs="宋体"/>
          <w:color w:val="auto"/>
          <w:sz w:val="24"/>
          <w:szCs w:val="24"/>
        </w:rPr>
      </w:pPr>
      <w:bookmarkStart w:id="463" w:name="_Toc275512465"/>
      <w:bookmarkStart w:id="464" w:name="_Toc277453808"/>
      <w:bookmarkStart w:id="465" w:name="_Toc258330999"/>
      <w:bookmarkStart w:id="466" w:name="_Toc431542620"/>
      <w:bookmarkStart w:id="467" w:name="_Toc277453890"/>
      <w:bookmarkStart w:id="468" w:name="_Toc276979457"/>
      <w:bookmarkStart w:id="469" w:name="_Toc29859"/>
      <w:bookmarkStart w:id="470" w:name="_Toc241840799"/>
      <w:bookmarkStart w:id="471" w:name="_Toc275511688"/>
      <w:r>
        <w:rPr>
          <w:rFonts w:hint="eastAsia" w:ascii="宋体" w:hAnsi="宋体" w:eastAsia="宋体" w:cs="宋体"/>
          <w:color w:val="auto"/>
          <w:sz w:val="24"/>
          <w:szCs w:val="24"/>
        </w:rPr>
        <w:t>3.2 详细评审</w:t>
      </w:r>
      <w:bookmarkEnd w:id="463"/>
      <w:bookmarkEnd w:id="464"/>
      <w:bookmarkEnd w:id="465"/>
      <w:bookmarkEnd w:id="466"/>
      <w:bookmarkEnd w:id="467"/>
      <w:bookmarkEnd w:id="468"/>
      <w:bookmarkEnd w:id="469"/>
      <w:bookmarkEnd w:id="470"/>
      <w:bookmarkEnd w:id="471"/>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3.2.1 评标委员会按本章第2.2 款规定的量化因素和分值进行打分，并计算出综合评估得分。</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rPr>
        <w:t>按本章第2.2.4（1）目规定的评审因素和分值计算出得分A；</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rPr>
        <w:t>按本章第2.2.4（2）目规定的评审因素和分值计算出得分B；</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rPr>
        <w:t xml:space="preserve">按本章第2.2.4（3）目规定的评审因素和分值计算出得分C； </w:t>
      </w:r>
    </w:p>
    <w:p>
      <w:pPr>
        <w:autoSpaceDE w:val="0"/>
        <w:autoSpaceDN w:val="0"/>
        <w:adjustRightInd w:val="0"/>
        <w:spacing w:line="360" w:lineRule="auto"/>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rPr>
        <w:t>按本章第2.2.4（4）目规定的评审因素和分值计算出得分D；</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3.2.2 评分分值计算保留小数点后两位，小数点后第三位“四舍五入”。</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3.2.3 投标人得分=A+B+C+D，投标人最终得分等于各评委的各投标人得分相加除以评委人数。</w:t>
      </w:r>
    </w:p>
    <w:p>
      <w:pPr>
        <w:pStyle w:val="5"/>
        <w:spacing w:before="0" w:beforeAutospacing="0" w:after="0" w:afterAutospacing="0" w:line="360" w:lineRule="auto"/>
        <w:rPr>
          <w:rFonts w:hint="eastAsia" w:ascii="宋体" w:hAnsi="宋体" w:eastAsia="宋体" w:cs="宋体"/>
          <w:color w:val="auto"/>
          <w:sz w:val="24"/>
          <w:szCs w:val="24"/>
        </w:rPr>
      </w:pPr>
      <w:bookmarkStart w:id="472" w:name="_Toc277453891"/>
      <w:bookmarkStart w:id="473" w:name="_Toc275512466"/>
      <w:bookmarkStart w:id="474" w:name="_Toc275511689"/>
      <w:bookmarkStart w:id="475" w:name="_Toc431542621"/>
      <w:bookmarkStart w:id="476" w:name="_Toc276979458"/>
      <w:bookmarkStart w:id="477" w:name="_Toc277453809"/>
      <w:bookmarkStart w:id="478" w:name="_Toc28869"/>
      <w:bookmarkStart w:id="479" w:name="_Toc258331000"/>
      <w:bookmarkStart w:id="480" w:name="_Toc241840800"/>
      <w:r>
        <w:rPr>
          <w:rFonts w:hint="eastAsia" w:ascii="宋体" w:hAnsi="宋体" w:eastAsia="宋体" w:cs="宋体"/>
          <w:color w:val="auto"/>
          <w:sz w:val="24"/>
          <w:szCs w:val="24"/>
        </w:rPr>
        <w:t>3.3 投标文件的澄清和补正</w:t>
      </w:r>
      <w:bookmarkEnd w:id="472"/>
      <w:bookmarkEnd w:id="473"/>
      <w:bookmarkEnd w:id="474"/>
      <w:bookmarkEnd w:id="475"/>
      <w:bookmarkEnd w:id="476"/>
      <w:bookmarkEnd w:id="477"/>
      <w:bookmarkEnd w:id="478"/>
      <w:bookmarkEnd w:id="479"/>
      <w:bookmarkEnd w:id="480"/>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3.3.1 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3.3.2 澄清、说明和补正不得改变投标文件的实质性内容（算术性错误修正的除外）。投标人的书面澄清、说明和补正属于投标文件的组成部分。</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3.3.3 评标委员会对投标人提交的澄清、说明或补正有疑问的，可以要求投标人进一步澄清、说明或补正，直至满足评标委员会的要求。</w:t>
      </w:r>
    </w:p>
    <w:p>
      <w:pPr>
        <w:pStyle w:val="5"/>
        <w:spacing w:after="0" w:afterAutospacing="0" w:line="360" w:lineRule="auto"/>
        <w:rPr>
          <w:rFonts w:hint="eastAsia" w:ascii="宋体" w:hAnsi="宋体" w:eastAsia="宋体" w:cs="宋体"/>
          <w:color w:val="auto"/>
          <w:sz w:val="24"/>
          <w:szCs w:val="24"/>
        </w:rPr>
      </w:pPr>
      <w:bookmarkStart w:id="481" w:name="_Toc276979459"/>
      <w:bookmarkStart w:id="482" w:name="_Toc24930"/>
      <w:bookmarkStart w:id="483" w:name="_Toc277453892"/>
      <w:bookmarkStart w:id="484" w:name="_Toc275512467"/>
      <w:bookmarkStart w:id="485" w:name="_Toc241840801"/>
      <w:bookmarkStart w:id="486" w:name="_Toc275511690"/>
      <w:bookmarkStart w:id="487" w:name="_Toc277453810"/>
      <w:bookmarkStart w:id="488" w:name="_Toc431542622"/>
      <w:bookmarkStart w:id="489" w:name="_Toc258331001"/>
      <w:r>
        <w:rPr>
          <w:rFonts w:hint="eastAsia" w:ascii="宋体" w:hAnsi="宋体" w:eastAsia="宋体" w:cs="宋体"/>
          <w:color w:val="auto"/>
          <w:sz w:val="24"/>
          <w:szCs w:val="24"/>
        </w:rPr>
        <w:t>3.4 评标结果</w:t>
      </w:r>
      <w:bookmarkEnd w:id="481"/>
      <w:bookmarkEnd w:id="482"/>
      <w:bookmarkEnd w:id="483"/>
      <w:bookmarkEnd w:id="484"/>
      <w:bookmarkEnd w:id="485"/>
      <w:bookmarkEnd w:id="486"/>
      <w:bookmarkEnd w:id="487"/>
      <w:bookmarkEnd w:id="488"/>
      <w:bookmarkEnd w:id="489"/>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3.4.1 评标委员会按照得分由高到低的顺序推荐中标候选人；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3.4.2 评标委员会完成评标后，应当向招标人提交书面评标报告。</w:t>
      </w:r>
    </w:p>
    <w:p>
      <w:pPr>
        <w:pStyle w:val="2"/>
        <w:spacing w:after="0" w:line="360" w:lineRule="auto"/>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br w:type="page"/>
      </w:r>
      <w:bookmarkStart w:id="490" w:name="_Toc277453811"/>
      <w:bookmarkStart w:id="491" w:name="_Toc4087"/>
      <w:bookmarkStart w:id="492" w:name="_Toc22380"/>
      <w:bookmarkStart w:id="493" w:name="_Toc5154"/>
      <w:bookmarkStart w:id="494" w:name="_Toc277453893"/>
      <w:bookmarkStart w:id="495" w:name="_Toc276979460"/>
      <w:bookmarkStart w:id="496" w:name="_Toc2032"/>
      <w:r>
        <w:rPr>
          <w:rFonts w:hint="eastAsia" w:ascii="宋体" w:hAnsi="宋体" w:eastAsia="宋体" w:cs="宋体"/>
          <w:color w:val="auto"/>
          <w:sz w:val="24"/>
          <w:szCs w:val="24"/>
        </w:rPr>
        <w:t>第四章 工程建设委托监理合同</w:t>
      </w:r>
      <w:bookmarkEnd w:id="401"/>
      <w:bookmarkEnd w:id="490"/>
      <w:bookmarkEnd w:id="491"/>
      <w:bookmarkEnd w:id="492"/>
      <w:bookmarkEnd w:id="493"/>
      <w:bookmarkEnd w:id="494"/>
      <w:bookmarkEnd w:id="495"/>
      <w:bookmarkEnd w:id="496"/>
    </w:p>
    <w:p>
      <w:pPr>
        <w:tabs>
          <w:tab w:val="left" w:pos="360"/>
        </w:tabs>
        <w:spacing w:line="360" w:lineRule="auto"/>
        <w:jc w:val="center"/>
        <w:rPr>
          <w:rFonts w:hint="eastAsia" w:ascii="宋体" w:hAnsi="宋体" w:eastAsia="宋体" w:cs="宋体"/>
          <w:b/>
          <w:color w:val="auto"/>
          <w:sz w:val="24"/>
          <w:szCs w:val="24"/>
        </w:rPr>
      </w:pPr>
      <w:bookmarkStart w:id="497" w:name="_Toc276979464"/>
      <w:bookmarkStart w:id="498" w:name="_Toc277453815"/>
      <w:bookmarkStart w:id="499" w:name="_Toc199309431"/>
      <w:bookmarkStart w:id="500" w:name="_Toc277453897"/>
      <w:r>
        <w:rPr>
          <w:rFonts w:hint="eastAsia" w:ascii="宋体" w:hAnsi="宋体" w:eastAsia="宋体" w:cs="宋体"/>
          <w:b/>
          <w:color w:val="auto"/>
          <w:sz w:val="24"/>
          <w:szCs w:val="24"/>
        </w:rPr>
        <w:t>第一部分  建设工程委托监理合同</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合同登记编号：</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工程项目单位：</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监理单位：</w:t>
      </w:r>
    </w:p>
    <w:p>
      <w:pPr>
        <w:tabs>
          <w:tab w:val="left" w:pos="360"/>
          <w:tab w:val="left" w:pos="270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委托人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与监理人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经双方协商一致，签订本合同。</w:t>
      </w:r>
    </w:p>
    <w:p>
      <w:pPr>
        <w:tabs>
          <w:tab w:val="left" w:pos="360"/>
          <w:tab w:val="left" w:pos="2700"/>
        </w:tabs>
        <w:spacing w:line="360" w:lineRule="auto"/>
        <w:ind w:firstLine="630"/>
        <w:rPr>
          <w:rFonts w:hint="eastAsia" w:ascii="宋体" w:hAnsi="宋体" w:eastAsia="宋体" w:cs="宋体"/>
          <w:color w:val="auto"/>
          <w:sz w:val="24"/>
          <w:szCs w:val="24"/>
        </w:rPr>
      </w:pPr>
      <w:r>
        <w:rPr>
          <w:rFonts w:hint="eastAsia" w:ascii="宋体" w:hAnsi="宋体" w:eastAsia="宋体" w:cs="宋体"/>
          <w:color w:val="auto"/>
          <w:sz w:val="24"/>
          <w:szCs w:val="24"/>
        </w:rPr>
        <w:t>一、委托人委托监理人监理的工程（以下简称“本工程”）概况如下：</w:t>
      </w:r>
    </w:p>
    <w:p>
      <w:pPr>
        <w:tabs>
          <w:tab w:val="left" w:pos="360"/>
          <w:tab w:val="left" w:pos="2700"/>
        </w:tabs>
        <w:spacing w:line="360" w:lineRule="auto"/>
        <w:ind w:firstLine="630"/>
        <w:rPr>
          <w:rFonts w:hint="eastAsia" w:ascii="宋体" w:hAnsi="宋体" w:eastAsia="宋体" w:cs="宋体"/>
          <w:color w:val="auto"/>
          <w:spacing w:val="1"/>
          <w:kern w:val="0"/>
          <w:sz w:val="24"/>
          <w:szCs w:val="24"/>
          <w:u w:val="single"/>
          <w:lang w:eastAsia="zh-CN"/>
        </w:rPr>
      </w:pPr>
      <w:r>
        <w:rPr>
          <w:rFonts w:hint="eastAsia" w:ascii="宋体" w:hAnsi="宋体" w:eastAsia="宋体" w:cs="宋体"/>
          <w:color w:val="auto"/>
          <w:sz w:val="24"/>
          <w:szCs w:val="24"/>
        </w:rPr>
        <w:t>工程名称：</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pacing w:val="1"/>
          <w:kern w:val="0"/>
          <w:sz w:val="24"/>
          <w:szCs w:val="24"/>
          <w:u w:val="single"/>
          <w:lang w:eastAsia="zh-CN"/>
        </w:rPr>
        <w:t xml:space="preserve"> </w:t>
      </w:r>
    </w:p>
    <w:p>
      <w:pPr>
        <w:tabs>
          <w:tab w:val="left" w:pos="360"/>
          <w:tab w:val="left" w:pos="2700"/>
        </w:tabs>
        <w:spacing w:line="360" w:lineRule="auto"/>
        <w:ind w:firstLine="63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工程地点：</w:t>
      </w:r>
      <w:r>
        <w:rPr>
          <w:rFonts w:hint="eastAsia" w:ascii="宋体" w:hAnsi="宋体" w:eastAsia="宋体" w:cs="宋体"/>
          <w:color w:val="auto"/>
          <w:sz w:val="24"/>
          <w:szCs w:val="24"/>
          <w:u w:val="single"/>
          <w:lang w:val="en-US" w:eastAsia="zh-CN"/>
        </w:rPr>
        <w:t xml:space="preserve">                                                 </w:t>
      </w:r>
    </w:p>
    <w:p>
      <w:pPr>
        <w:tabs>
          <w:tab w:val="left" w:pos="360"/>
          <w:tab w:val="left" w:pos="2700"/>
        </w:tabs>
        <w:spacing w:line="360" w:lineRule="auto"/>
        <w:ind w:firstLine="630"/>
        <w:rPr>
          <w:rFonts w:hint="eastAsia" w:ascii="宋体" w:hAnsi="宋体" w:eastAsia="宋体" w:cs="宋体"/>
          <w:color w:val="auto"/>
          <w:sz w:val="24"/>
          <w:szCs w:val="24"/>
        </w:rPr>
      </w:pPr>
      <w:r>
        <w:rPr>
          <w:rFonts w:hint="eastAsia" w:ascii="宋体" w:hAnsi="宋体" w:eastAsia="宋体" w:cs="宋体"/>
          <w:color w:val="auto"/>
          <w:sz w:val="24"/>
          <w:szCs w:val="24"/>
        </w:rPr>
        <w:t xml:space="preserve">工程规模： </w:t>
      </w:r>
    </w:p>
    <w:p>
      <w:pPr>
        <w:tabs>
          <w:tab w:val="left" w:pos="360"/>
          <w:tab w:val="left" w:pos="2700"/>
        </w:tabs>
        <w:spacing w:line="360" w:lineRule="auto"/>
        <w:ind w:firstLine="630"/>
        <w:rPr>
          <w:rFonts w:hint="eastAsia" w:ascii="宋体" w:hAnsi="宋体" w:eastAsia="宋体" w:cs="宋体"/>
          <w:color w:val="auto"/>
          <w:sz w:val="24"/>
          <w:szCs w:val="24"/>
        </w:rPr>
      </w:pPr>
      <w:r>
        <w:rPr>
          <w:rFonts w:hint="eastAsia" w:ascii="宋体" w:hAnsi="宋体" w:eastAsia="宋体" w:cs="宋体"/>
          <w:color w:val="auto"/>
          <w:sz w:val="24"/>
          <w:szCs w:val="24"/>
        </w:rPr>
        <w:t>总 投 资：</w:t>
      </w:r>
    </w:p>
    <w:p>
      <w:pPr>
        <w:tabs>
          <w:tab w:val="left" w:pos="360"/>
          <w:tab w:val="left" w:pos="2700"/>
        </w:tabs>
        <w:spacing w:line="360" w:lineRule="auto"/>
        <w:ind w:firstLine="630"/>
        <w:rPr>
          <w:rFonts w:hint="eastAsia" w:ascii="宋体" w:hAnsi="宋体" w:eastAsia="宋体" w:cs="宋体"/>
          <w:color w:val="auto"/>
          <w:sz w:val="24"/>
          <w:szCs w:val="24"/>
        </w:rPr>
      </w:pPr>
      <w:r>
        <w:rPr>
          <w:rFonts w:hint="eastAsia" w:ascii="宋体" w:hAnsi="宋体" w:eastAsia="宋体" w:cs="宋体"/>
          <w:color w:val="auto"/>
          <w:sz w:val="24"/>
          <w:szCs w:val="24"/>
        </w:rPr>
        <w:t>二、本合同中的有关词语含义与本合同第二部分《标准条件》中赋予它们的定义相同。</w:t>
      </w:r>
    </w:p>
    <w:p>
      <w:pPr>
        <w:tabs>
          <w:tab w:val="left" w:pos="360"/>
          <w:tab w:val="left" w:pos="2700"/>
        </w:tabs>
        <w:spacing w:line="360" w:lineRule="auto"/>
        <w:ind w:firstLine="630"/>
        <w:rPr>
          <w:rFonts w:hint="eastAsia" w:ascii="宋体" w:hAnsi="宋体" w:eastAsia="宋体" w:cs="宋体"/>
          <w:color w:val="auto"/>
          <w:sz w:val="24"/>
          <w:szCs w:val="24"/>
        </w:rPr>
      </w:pPr>
      <w:r>
        <w:rPr>
          <w:rFonts w:hint="eastAsia" w:ascii="宋体" w:hAnsi="宋体" w:eastAsia="宋体" w:cs="宋体"/>
          <w:color w:val="auto"/>
          <w:sz w:val="24"/>
          <w:szCs w:val="24"/>
        </w:rPr>
        <w:t>三、下列文件均为本合同的组成部分：</w:t>
      </w:r>
    </w:p>
    <w:p>
      <w:pPr>
        <w:numPr>
          <w:ilvl w:val="0"/>
          <w:numId w:val="13"/>
        </w:num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监理投标书或中标通知书；</w:t>
      </w:r>
    </w:p>
    <w:p>
      <w:pPr>
        <w:numPr>
          <w:ilvl w:val="0"/>
          <w:numId w:val="13"/>
        </w:num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本合同标准条件；</w:t>
      </w:r>
    </w:p>
    <w:p>
      <w:pPr>
        <w:numPr>
          <w:ilvl w:val="0"/>
          <w:numId w:val="13"/>
        </w:num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本合同专用条件；</w:t>
      </w:r>
    </w:p>
    <w:p>
      <w:pPr>
        <w:numPr>
          <w:ilvl w:val="0"/>
          <w:numId w:val="13"/>
        </w:num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在实施过程中双方共同签署的补充与修正文件。</w:t>
      </w:r>
    </w:p>
    <w:p>
      <w:pPr>
        <w:tabs>
          <w:tab w:val="left" w:pos="360"/>
          <w:tab w:val="left" w:pos="2700"/>
        </w:tabs>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四、监理人向委托人承诺，按照本合同的规定，承担本合同专用条件中议定范围内的监理业务。</w:t>
      </w:r>
    </w:p>
    <w:p>
      <w:pPr>
        <w:tabs>
          <w:tab w:val="left" w:pos="360"/>
          <w:tab w:val="left" w:pos="2700"/>
        </w:tabs>
        <w:spacing w:line="360" w:lineRule="auto"/>
        <w:ind w:firstLine="645"/>
        <w:rPr>
          <w:rFonts w:hint="eastAsia" w:ascii="宋体" w:hAnsi="宋体" w:eastAsia="宋体" w:cs="宋体"/>
          <w:color w:val="auto"/>
          <w:sz w:val="24"/>
          <w:szCs w:val="24"/>
        </w:rPr>
      </w:pPr>
      <w:r>
        <w:rPr>
          <w:rFonts w:hint="eastAsia" w:ascii="宋体" w:hAnsi="宋体" w:eastAsia="宋体" w:cs="宋体"/>
          <w:color w:val="auto"/>
          <w:sz w:val="24"/>
          <w:szCs w:val="24"/>
        </w:rPr>
        <w:t>五、委托人向监理人承诺按照本合同注明的期限、方式、币种，向监理人支付报酬。</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本合同自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日开始实施。 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日完成。</w:t>
      </w:r>
    </w:p>
    <w:p>
      <w:pPr>
        <w:tabs>
          <w:tab w:val="left" w:pos="360"/>
          <w:tab w:val="left" w:pos="2700"/>
        </w:tabs>
        <w:spacing w:line="360" w:lineRule="auto"/>
        <w:ind w:firstLine="525"/>
        <w:rPr>
          <w:rFonts w:hint="eastAsia" w:ascii="宋体" w:hAnsi="宋体" w:eastAsia="宋体" w:cs="宋体"/>
          <w:color w:val="auto"/>
          <w:sz w:val="24"/>
          <w:szCs w:val="24"/>
        </w:rPr>
      </w:pPr>
      <w:r>
        <w:rPr>
          <w:rFonts w:hint="eastAsia" w:ascii="宋体" w:hAnsi="宋体" w:eastAsia="宋体" w:cs="宋体"/>
          <w:color w:val="auto"/>
          <w:sz w:val="24"/>
          <w:szCs w:val="24"/>
        </w:rPr>
        <w:t>本合同一式</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份，具有同等法律效力，双方各执</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w:t>
      </w:r>
    </w:p>
    <w:p>
      <w:pPr>
        <w:tabs>
          <w:tab w:val="left" w:pos="360"/>
          <w:tab w:val="left" w:pos="2700"/>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委托人：（签章）                           监理人：（签章）</w:t>
      </w:r>
    </w:p>
    <w:p>
      <w:pPr>
        <w:tabs>
          <w:tab w:val="left" w:pos="360"/>
          <w:tab w:val="left" w:pos="2700"/>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代  表：（签章）                           代  表：（签章）</w:t>
      </w:r>
    </w:p>
    <w:p>
      <w:pPr>
        <w:tabs>
          <w:tab w:val="left" w:pos="360"/>
          <w:tab w:val="left" w:pos="2700"/>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地址：                                    地址：</w:t>
      </w:r>
    </w:p>
    <w:p>
      <w:pPr>
        <w:tabs>
          <w:tab w:val="left" w:pos="360"/>
          <w:tab w:val="left" w:pos="2700"/>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电话：                                    电话：</w:t>
      </w:r>
    </w:p>
    <w:p>
      <w:pPr>
        <w:tabs>
          <w:tab w:val="left" w:pos="360"/>
          <w:tab w:val="left" w:pos="2700"/>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传真：                                    传真：</w:t>
      </w:r>
    </w:p>
    <w:p>
      <w:pPr>
        <w:tabs>
          <w:tab w:val="left" w:pos="360"/>
          <w:tab w:val="left" w:pos="2700"/>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开户银行：                                开户银行：</w:t>
      </w:r>
    </w:p>
    <w:p>
      <w:pPr>
        <w:tabs>
          <w:tab w:val="left" w:pos="360"/>
          <w:tab w:val="left" w:pos="2700"/>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账号：                                    账号：</w:t>
      </w:r>
    </w:p>
    <w:p>
      <w:pPr>
        <w:tabs>
          <w:tab w:val="left" w:pos="360"/>
          <w:tab w:val="left" w:pos="2700"/>
        </w:tabs>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本合同签订于：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tabs>
          <w:tab w:val="left" w:pos="360"/>
        </w:tabs>
        <w:spacing w:line="360" w:lineRule="auto"/>
        <w:ind w:firstLine="183" w:firstLineChars="76"/>
        <w:jc w:val="center"/>
        <w:rPr>
          <w:rFonts w:hint="eastAsia" w:ascii="宋体" w:hAnsi="宋体" w:eastAsia="宋体" w:cs="宋体"/>
          <w:b/>
          <w:color w:val="auto"/>
          <w:sz w:val="24"/>
          <w:szCs w:val="24"/>
        </w:rPr>
      </w:pPr>
      <w:r>
        <w:rPr>
          <w:rFonts w:hint="eastAsia" w:ascii="宋体" w:hAnsi="宋体" w:eastAsia="宋体" w:cs="宋体"/>
          <w:b/>
          <w:bCs/>
          <w:color w:val="auto"/>
          <w:sz w:val="24"/>
          <w:szCs w:val="24"/>
        </w:rPr>
        <w:br w:type="page"/>
      </w:r>
      <w:r>
        <w:rPr>
          <w:rFonts w:hint="eastAsia" w:ascii="宋体" w:hAnsi="宋体" w:eastAsia="宋体" w:cs="宋体"/>
          <w:b/>
          <w:color w:val="auto"/>
          <w:sz w:val="24"/>
          <w:szCs w:val="24"/>
        </w:rPr>
        <w:t>第二部分   标准条件</w:t>
      </w:r>
    </w:p>
    <w:p>
      <w:pPr>
        <w:tabs>
          <w:tab w:val="left" w:pos="360"/>
          <w:tab w:val="left" w:pos="2700"/>
        </w:tabs>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词语定义、适用范围和法规</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第一条  下列名词和用语，除上下文另有规定外，有如下含义：</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（1）“工程”是指委托人委托实施监理的工程。</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（2）“委托人”是指承担直接投资责任和委托监理业务的一方以及其合法继承人。</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（3）“监理人”是指承担监理业务和监理责任的一方，以及其合法继承人。</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（4）“监理机构”是指监理人派驻本工程现场实施监理业务的组织。</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（5）“总监理工程师”是指经委托人同意，监理人派到监理机构全面履行本合同的全权负责人。</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（6）“承包人”是指除监理人以外，委托人就工程建设有关事宜签订合同的当事人。</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（7）“工程监理的正常工作”是指双方在专用条件中约定，委托人委托的监理工作范围和内容。</w:t>
      </w:r>
    </w:p>
    <w:p>
      <w:pPr>
        <w:tabs>
          <w:tab w:val="left" w:pos="360"/>
          <w:tab w:val="left" w:pos="2700"/>
        </w:tabs>
        <w:spacing w:line="360" w:lineRule="auto"/>
        <w:ind w:left="48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（8）“工程监理的附加工作”是指：①委托人委托监理范围以外，通过双方书面协议另外增加的工作内容；②由于委托人或承包人原因，使监理工作受到阻碍或延误，因增加工作量或持续时间而增加的工作。</w:t>
      </w:r>
    </w:p>
    <w:p>
      <w:pPr>
        <w:tabs>
          <w:tab w:val="left" w:pos="360"/>
          <w:tab w:val="left" w:pos="2700"/>
        </w:tabs>
        <w:spacing w:line="360" w:lineRule="auto"/>
        <w:ind w:left="48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（9）“工程监理的额外工作”是指正常工作和附加工作以外，或非监理人自己的原因而暂停或终止监理业务，其善后工作及恢复监理业务的工作。</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（10）“日”是指任何一天零时至第二天零时的时间段。</w:t>
      </w:r>
    </w:p>
    <w:p>
      <w:pPr>
        <w:tabs>
          <w:tab w:val="left" w:pos="360"/>
          <w:tab w:val="left" w:pos="27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（11）“月”是指根据公历从一个月份中任何一天开始到下一个月相应日期的前一天的时间段。</w:t>
      </w:r>
    </w:p>
    <w:p>
      <w:pPr>
        <w:tabs>
          <w:tab w:val="left" w:pos="360"/>
          <w:tab w:val="left" w:pos="2700"/>
        </w:tabs>
        <w:spacing w:line="360" w:lineRule="auto"/>
        <w:ind w:left="420" w:leftChars="200"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第二条  建设工程委托监理合同适用的法律是指国家的法律、行政法规，以及专用条件中议定的部门规章或工程所在地的</w:t>
      </w:r>
      <w:r>
        <w:rPr>
          <w:rFonts w:hint="eastAsia" w:ascii="宋体" w:hAnsi="宋体" w:eastAsia="宋体" w:cs="宋体"/>
          <w:color w:val="auto"/>
          <w:sz w:val="24"/>
          <w:szCs w:val="24"/>
          <w:highlight w:val="none"/>
        </w:rPr>
        <w:t>地方法规</w:t>
      </w:r>
      <w:r>
        <w:rPr>
          <w:rFonts w:hint="eastAsia" w:ascii="宋体" w:hAnsi="宋体" w:eastAsia="宋体" w:cs="宋体"/>
          <w:color w:val="auto"/>
          <w:sz w:val="24"/>
          <w:szCs w:val="24"/>
        </w:rPr>
        <w:t>、地方规章。</w:t>
      </w:r>
    </w:p>
    <w:p>
      <w:pPr>
        <w:tabs>
          <w:tab w:val="left" w:pos="360"/>
          <w:tab w:val="left" w:pos="2700"/>
        </w:tabs>
        <w:spacing w:line="360" w:lineRule="auto"/>
        <w:ind w:left="315" w:leftChars="150"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第三条  本合同文件使用汉语语言文字书写、解释和说明。如专用条件约定使用两种以上（含两种）语言文字时，汉语应为解释和说明本合同的标准语言文字。</w:t>
      </w:r>
    </w:p>
    <w:p>
      <w:pPr>
        <w:tabs>
          <w:tab w:val="left" w:pos="360"/>
          <w:tab w:val="left" w:pos="2700"/>
        </w:tabs>
        <w:spacing w:line="360" w:lineRule="auto"/>
        <w:ind w:firstLine="63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监理人义务</w:t>
      </w:r>
    </w:p>
    <w:p>
      <w:pPr>
        <w:tabs>
          <w:tab w:val="left" w:pos="0"/>
          <w:tab w:val="left" w:pos="2700"/>
        </w:tabs>
        <w:spacing w:line="360" w:lineRule="auto"/>
        <w:ind w:firstLine="616" w:firstLineChars="257"/>
        <w:rPr>
          <w:rFonts w:hint="eastAsia" w:ascii="宋体" w:hAnsi="宋体" w:eastAsia="宋体" w:cs="宋体"/>
          <w:color w:val="auto"/>
          <w:sz w:val="24"/>
          <w:szCs w:val="24"/>
        </w:rPr>
      </w:pPr>
      <w:r>
        <w:rPr>
          <w:rFonts w:hint="eastAsia" w:ascii="宋体" w:hAnsi="宋体" w:eastAsia="宋体" w:cs="宋体"/>
          <w:color w:val="auto"/>
          <w:sz w:val="24"/>
          <w:szCs w:val="24"/>
        </w:rPr>
        <w:t>第四条 监理人按合同约定派出监理工作需要的监理机构及监理人员，向委托人报送委派的总监理工程师及其监理机构主要成员名单、监理规划，完成监理合同专用条件中约定的监理工程范围内的监理业务。在履行合同义务期间，应按合同约定定期向委托人报告监理工作。</w:t>
      </w:r>
    </w:p>
    <w:p>
      <w:pPr>
        <w:tabs>
          <w:tab w:val="left" w:pos="0"/>
          <w:tab w:val="left" w:pos="360"/>
          <w:tab w:val="left" w:pos="2700"/>
        </w:tabs>
        <w:spacing w:line="360" w:lineRule="auto"/>
        <w:ind w:firstLine="616" w:firstLineChars="257"/>
        <w:rPr>
          <w:rFonts w:hint="eastAsia" w:ascii="宋体" w:hAnsi="宋体" w:eastAsia="宋体" w:cs="宋体"/>
          <w:color w:val="auto"/>
          <w:sz w:val="24"/>
          <w:szCs w:val="24"/>
        </w:rPr>
      </w:pPr>
      <w:r>
        <w:rPr>
          <w:rFonts w:hint="eastAsia" w:ascii="宋体" w:hAnsi="宋体" w:eastAsia="宋体" w:cs="宋体"/>
          <w:color w:val="auto"/>
          <w:sz w:val="24"/>
          <w:szCs w:val="24"/>
        </w:rPr>
        <w:t>第五条 监理人在履行本合同的义务期间，应认真勤奋地工作，为委托人提供与其水平相适应的咨询意见，公正维护各方面的合法权益。</w:t>
      </w:r>
    </w:p>
    <w:p>
      <w:pPr>
        <w:tabs>
          <w:tab w:val="left" w:pos="0"/>
          <w:tab w:val="left" w:pos="360"/>
          <w:tab w:val="left" w:pos="2700"/>
        </w:tabs>
        <w:spacing w:line="360" w:lineRule="auto"/>
        <w:ind w:firstLine="616" w:firstLineChars="257"/>
        <w:rPr>
          <w:rFonts w:hint="eastAsia" w:ascii="宋体" w:hAnsi="宋体" w:eastAsia="宋体" w:cs="宋体"/>
          <w:color w:val="auto"/>
          <w:sz w:val="24"/>
          <w:szCs w:val="24"/>
        </w:rPr>
      </w:pPr>
      <w:r>
        <w:rPr>
          <w:rFonts w:hint="eastAsia" w:ascii="宋体" w:hAnsi="宋体" w:eastAsia="宋体" w:cs="宋体"/>
          <w:color w:val="auto"/>
          <w:sz w:val="24"/>
          <w:szCs w:val="24"/>
        </w:rPr>
        <w:t>第六条 监理人使用委托人提供</w:t>
      </w:r>
      <w:r>
        <w:rPr>
          <w:rFonts w:hint="eastAsia" w:ascii="宋体" w:hAnsi="宋体" w:eastAsia="宋体" w:cs="宋体"/>
          <w:color w:val="auto"/>
          <w:sz w:val="24"/>
          <w:szCs w:val="24"/>
          <w:highlight w:val="none"/>
        </w:rPr>
        <w:t>的设施</w:t>
      </w:r>
      <w:r>
        <w:rPr>
          <w:rFonts w:hint="eastAsia" w:ascii="宋体" w:hAnsi="宋体" w:eastAsia="宋体" w:cs="宋体"/>
          <w:color w:val="auto"/>
          <w:sz w:val="24"/>
          <w:szCs w:val="24"/>
        </w:rPr>
        <w:t>和物品属委托人的财产。在监理工作完成或中止时，应将其设施和剩余的物品按合同约定的时间和方式移交给委托人。</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第七条 在合同期内或合同终止后，未征得有关方同意，不得泄露与本工程、本合同业务有关的保密资料。</w:t>
      </w:r>
    </w:p>
    <w:p>
      <w:pPr>
        <w:tabs>
          <w:tab w:val="left" w:pos="360"/>
          <w:tab w:val="left" w:pos="2700"/>
        </w:tabs>
        <w:spacing w:line="360" w:lineRule="auto"/>
        <w:ind w:firstLine="412" w:firstLineChars="171"/>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委托人义务</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第八条 委托人在监理人开展监理业务之前应向监理人支付预付款。</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第九条 委托人应当负责工程建设的所有外部关系的协调，为监理工作提供外部条件。根据需要，如将部分或全部协调工作委托监理人承担，则应在专用条件中明确委托的工作和相应的报酬。</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第十条 委托人应当在双方约定的时间内免费向监理人提供与工程有关的为监理工作所需要的工程数据。</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第十一条 委托人应当在专用条款约定的时间内就监理人书面提交并要求作出决定的一切事宜作出书面决定。</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第十二条 委托人应当授权一名熟悉工程情况、能在规定时间内作出决定的常驻代表（在专用条款中约定），负责与监理人联系。更换常驻代表，要提前通知监理人。</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第十三条 委托人应当将授予监理人监理权利，以及监理人主要成员的职能分工、监理权限及时书面通知已选定的承包合同的承包人，并在与第三人签订的合同中予以明确。</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第十四条 委托人应在不影响监理人开展监理工作时间内提供如下数据：</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 xml:space="preserve">     （1）与本工程合作的原材料、构配件、机械设备等生产厂家名录。</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（2）提供与本工程有关的协作单位、配合单位的名录。</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第十五条 委托人应免费向监理人提供办公用房、监理人员工地住房及合同专用条件约定</w:t>
      </w:r>
      <w:r>
        <w:rPr>
          <w:rFonts w:hint="eastAsia" w:ascii="宋体" w:hAnsi="宋体" w:eastAsia="宋体" w:cs="宋体"/>
          <w:color w:val="auto"/>
          <w:sz w:val="24"/>
          <w:szCs w:val="24"/>
          <w:highlight w:val="none"/>
        </w:rPr>
        <w:t>的设施</w:t>
      </w:r>
      <w:r>
        <w:rPr>
          <w:rFonts w:hint="eastAsia" w:ascii="宋体" w:hAnsi="宋体" w:eastAsia="宋体" w:cs="宋体"/>
          <w:color w:val="auto"/>
          <w:sz w:val="24"/>
          <w:szCs w:val="24"/>
        </w:rPr>
        <w:t>。</w:t>
      </w:r>
    </w:p>
    <w:p>
      <w:pPr>
        <w:tabs>
          <w:tab w:val="left" w:pos="360"/>
          <w:tab w:val="left" w:pos="2700"/>
        </w:tabs>
        <w:spacing w:line="360" w:lineRule="auto"/>
        <w:ind w:firstLine="410" w:firstLineChars="171"/>
        <w:rPr>
          <w:rFonts w:hint="eastAsia" w:ascii="宋体" w:hAnsi="宋体" w:eastAsia="宋体" w:cs="宋体"/>
          <w:b/>
          <w:color w:val="auto"/>
          <w:sz w:val="24"/>
          <w:szCs w:val="24"/>
        </w:rPr>
      </w:pPr>
      <w:r>
        <w:rPr>
          <w:rFonts w:hint="eastAsia" w:ascii="宋体" w:hAnsi="宋体" w:eastAsia="宋体" w:cs="宋体"/>
          <w:color w:val="auto"/>
          <w:sz w:val="24"/>
          <w:szCs w:val="24"/>
        </w:rPr>
        <w:t>第十六条 根据情况需要，如果双方约定，由委托人免费向监理人提供</w:t>
      </w:r>
      <w:r>
        <w:rPr>
          <w:rFonts w:hint="eastAsia" w:ascii="宋体" w:hAnsi="宋体" w:eastAsia="宋体" w:cs="宋体"/>
          <w:color w:val="auto"/>
          <w:sz w:val="24"/>
          <w:szCs w:val="24"/>
          <w:highlight w:val="none"/>
        </w:rPr>
        <w:t>其它</w:t>
      </w:r>
      <w:r>
        <w:rPr>
          <w:rFonts w:hint="eastAsia" w:ascii="宋体" w:hAnsi="宋体" w:eastAsia="宋体" w:cs="宋体"/>
          <w:color w:val="auto"/>
          <w:sz w:val="24"/>
          <w:szCs w:val="24"/>
        </w:rPr>
        <w:t>人员，应在监理合同专用条件中予以明确。</w:t>
      </w:r>
    </w:p>
    <w:p>
      <w:pPr>
        <w:tabs>
          <w:tab w:val="left" w:pos="360"/>
          <w:tab w:val="left" w:pos="2700"/>
        </w:tabs>
        <w:spacing w:line="360" w:lineRule="auto"/>
        <w:ind w:firstLine="412" w:firstLineChars="171"/>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监理人权利</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第十七条 监理人在委托人委托的工程范围内，享有以下权利：</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（1）选择工程总承包人的建议权。</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（2）选择工程分包人的认可权。</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 xml:space="preserve">     （3）对工程建设有关事项包括工程规模、设计标准、规划设计、生产工艺设计和使用功能要求，向委托人的建议权。</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（4）对工程设计中的技术问题，按照安全和优化的原则，向设计人提出建议；</w:t>
      </w:r>
      <w:r>
        <w:rPr>
          <w:rFonts w:hint="eastAsia" w:ascii="宋体" w:hAnsi="宋体" w:eastAsia="宋体" w:cs="宋体"/>
          <w:color w:val="auto"/>
          <w:sz w:val="24"/>
          <w:szCs w:val="24"/>
          <w:highlight w:val="none"/>
        </w:rPr>
        <w:t>如果拟</w:t>
      </w:r>
      <w:r>
        <w:rPr>
          <w:rFonts w:hint="eastAsia" w:ascii="宋体" w:hAnsi="宋体" w:eastAsia="宋体" w:cs="宋体"/>
          <w:color w:val="auto"/>
          <w:sz w:val="24"/>
          <w:szCs w:val="24"/>
        </w:rPr>
        <w:t>提出的建议可能会提高工程造价，或延长工期，应当事先征得委托人的同意。当发现工程设计不符合国家颁布的建设工程质量标准或设计合同约定的质量标准时，监理人应当书面报告委托人并要求设计人更正。</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（5）审批工程监理大纲和技术方案，按照保质量、保工期和降低成本的原则，向承包人提出建议，并向委托人提出书面报告。</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（6）主持工程建设有关协作单位的组织协调，重要协调事项应当先向委托人报告。</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（7）征得委托人同意，监理人有权发布开工令、停工令、复工令，但应当事先向委托人作出书面报告。如在紧急情况下未能事先向委托人报告时，则应在24小时内向委托人作出书面报告。</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8）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（9）工程施工进度的检查、监督权，以及工程实际竣工日期提前或超过工程施工合同规定的竣工期限的签认权。</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（10）在工程施工合同约定的工程价格范围内，工程款支付的审核和签认权，以及工程结算的复核确认权与否决权。未经总监理工程师签字确认，委托人不支付工程款。</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第十八条 监理人在委托人授权下，可对任何承包人合同规定的义务提出变更。如果由此严重影响了工程费用或质量</w:t>
      </w:r>
      <w:r>
        <w:rPr>
          <w:rFonts w:hint="eastAsia" w:ascii="宋体" w:hAnsi="宋体" w:eastAsia="宋体" w:cs="宋体"/>
          <w:color w:val="auto"/>
          <w:sz w:val="24"/>
          <w:szCs w:val="24"/>
          <w:highlight w:val="none"/>
        </w:rPr>
        <w:t>、或</w:t>
      </w:r>
      <w:r>
        <w:rPr>
          <w:rFonts w:hint="eastAsia" w:ascii="宋体" w:hAnsi="宋体" w:eastAsia="宋体" w:cs="宋体"/>
          <w:color w:val="auto"/>
          <w:sz w:val="24"/>
          <w:szCs w:val="24"/>
        </w:rPr>
        <w:t>进度，则这种变更须经委托人事先批准。在紧急情况下未能事先报委托人批准时，监理人所做的变更也应尽快通知委托人。在监理过程中如发现工程承包人人员工作不力，监理机构可要求承包人调换有关人员。</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第十九条 在委托的工程范围内，委托人或承包人对对方的任何意见和要求（包括索赔要求），均必须首先向监理机构提出，由监理机构研究处置意见，再同双方协商确定。当委托人和承包人发生争议时，监理机构应根据自己的职能，以独立的身份判断，公正地进行调解。当双方的争议由政府建设行政主管部门调解或仲裁机关仲裁时，应当提供作证的事实材料。</w:t>
      </w:r>
    </w:p>
    <w:p>
      <w:pPr>
        <w:tabs>
          <w:tab w:val="left" w:pos="360"/>
          <w:tab w:val="left" w:pos="2700"/>
        </w:tabs>
        <w:spacing w:line="360" w:lineRule="auto"/>
        <w:ind w:firstLine="412" w:firstLineChars="171"/>
        <w:jc w:val="center"/>
        <w:rPr>
          <w:rFonts w:hint="eastAsia" w:ascii="宋体" w:hAnsi="宋体" w:eastAsia="宋体" w:cs="宋体"/>
          <w:b/>
          <w:color w:val="auto"/>
          <w:sz w:val="24"/>
          <w:szCs w:val="24"/>
        </w:rPr>
      </w:pPr>
    </w:p>
    <w:p>
      <w:pPr>
        <w:tabs>
          <w:tab w:val="left" w:pos="360"/>
          <w:tab w:val="left" w:pos="2700"/>
        </w:tabs>
        <w:spacing w:line="360" w:lineRule="auto"/>
        <w:ind w:firstLine="412" w:firstLineChars="171"/>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委托人的权利</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第二十条 委托人有选定工程总承包人，以及与其订立合同的权利。</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第二十一条 委托人有对工程规模、设计标准、规划设计、生产工艺设计和设计使用功能要求的认定权，以及对工程设计变更的审批权。</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第二十二条 监理人调换总监理工程师须事先经委托人同意。</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第二十三条 委托人有权要求监理人提交监理工作月报及监理业务范围内的专项报告。</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第二十四条 当委托人发现监理人员不按监理合同履行监理职责，或与承包人串通给委托人或工程造成损失的，委托人有权要求监理人更换监理人员，直到终止合同并要求监理人承担相应的赔偿责任或连带赔偿责任。</w:t>
      </w:r>
    </w:p>
    <w:p>
      <w:pPr>
        <w:tabs>
          <w:tab w:val="left" w:pos="360"/>
          <w:tab w:val="left" w:pos="2700"/>
        </w:tabs>
        <w:spacing w:line="360" w:lineRule="auto"/>
        <w:ind w:firstLine="412" w:firstLineChars="171"/>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监理人责任</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第二十五条 监理人的责任期即委托监理合同有效期。在监理过程中，如果因工程建设进度的推迟或延误而超过书面约定的日期，双方应进一步约定相应延长的合同期。</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第二十六条 监理人在责任期内，应当履行约定的义务。如果因监理人过失而造成了委托人的经济损失，应当向委托人赔偿。累计赔偿总额（除本合同第二十四条规定以外）不应超过监理报酬总额（除去税金）。</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第二十七条 监理人对承包人违反合同规定的质量要求和完工（交图、交货）时限，不承担责任。因不可抗力导致委托监理合同不能全部或部分履行，监理人不承担责任。但对违反第五条规定引起的与之有关的事宜，向委托人承担赔偿责任。</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第二十八条 监理人向委托人提出赔偿要求不能成立时，监理人应当补偿由于该索赔所导致委托人的各种费用支出。</w:t>
      </w:r>
    </w:p>
    <w:p>
      <w:pPr>
        <w:tabs>
          <w:tab w:val="left" w:pos="360"/>
          <w:tab w:val="left" w:pos="2700"/>
        </w:tabs>
        <w:spacing w:line="360" w:lineRule="auto"/>
        <w:ind w:firstLine="412" w:firstLineChars="171"/>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委托人责任</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第二十九条 委托人应当履行委托监理合同约定的义务，如有违反则应当承担违约责任，赔偿给监理人造成的经济损失。</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监理人处理委托业务时，因非监理人原因的事由受到损失的，可以向委托人要求补偿损失。</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第三十条 委托人如果向监理人提出赔偿的要求不能成立，则应当补偿由该索赔所引起的监理人的各种费用支出。</w:t>
      </w:r>
    </w:p>
    <w:p>
      <w:pPr>
        <w:tabs>
          <w:tab w:val="left" w:pos="360"/>
          <w:tab w:val="left" w:pos="2700"/>
        </w:tabs>
        <w:spacing w:line="360" w:lineRule="auto"/>
        <w:ind w:firstLine="412" w:firstLineChars="171"/>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合同生效、变更与终止</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第三十一条 由于委托人或承包人的原因使监理工作受到阻碍或延误，以致发生了附加工作或延长了持续时间，则监理人应当将此情况与可能产生的影响及时通知委托人。完成监理业务的时间相应延长，并得到附加工作的报酬。</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第三十二条 在委托监理合同签订后，实际情况发生变化，使得监理人不能全部或部分执行监理业务时，监理人应当立即通知委托人。该监理业务的完成时间应予延长。当恢复执行监理业务时，应当增加不超过42日的时间用于恢复执行监理业务，并按双方约定的数量支付监理报酬。</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第三十三条 监理人向委托人办理完竣工验收或工程移交手续，承包人和委托人已签订工程保修责任书，监理人收到监理报酬尾款，本合同即终止。保修期间的责任，双方在专用条款中约定。</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第三十四条 当事人一方要求变更或解除合同时，应当在42日前通知对方，因解除合同使一方遭受损失的，除依法可以免除责任的外，应由责任方负责赔偿。</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变更或解除合同的通知或协议必须采取书面形式，协议未达成之前，原合同仍然有效。</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第三十五条 监理人在应当获得监理报酬之日起30日内仍未收到支付单据，而委托人又未对监理人提出任何书面解释时，或根据第三十一条及第三十二条已暂停执行监理业务时限超过六个月的，监理人可向委托人发出终止合同的通知，发出通知后14日内仍未得到委托人答复，可进一步发出终止合同的通知，如果第二份通知发出后42日内仍未得到委托人答复，可终止合同或自行暂停或继续暂停执行全部或部分监理业务。委托人承担违约责任。</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第三十六条 监理人由于非自己的原因而暂停或终止执行监理业务，其善后工作以及恢复执行监理业务的工作，应当视为额外工作，有权得到额外的报酬。</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第三七条 当委托人认为监理人无正当理由而又未履行监理义务时，可向监理人发出指明其未履行义务的通知。若委托人发出通知后21日内没有收到答复，可在第一个通知发出后35日内发出终止委托监理合同的通知，合同即行终止。监理人承担违约责任。</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第三十八条 合同协议的终止并不影响各方应有的权利和应当承担的责任。</w:t>
      </w:r>
    </w:p>
    <w:p>
      <w:pPr>
        <w:tabs>
          <w:tab w:val="left" w:pos="360"/>
          <w:tab w:val="left" w:pos="2700"/>
        </w:tabs>
        <w:spacing w:line="360" w:lineRule="auto"/>
        <w:ind w:firstLine="412" w:firstLineChars="171"/>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监理报酬</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第三十九条 正常的监理工作、附加工作和额外工作的报酬，按照监理合同专用条件中约定的方法计算，并按约定的时间和数额支付。</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第四十条 如果委托人在规定的支付期限内未支付监理报酬，自规定之日起，还应向监理人支付滞纳金。滞纳金从规定支付期限最后一日起计算。</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第四十一条 支付监理报酬所采取的货币币种、汇率由合同专用条件约定。</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第四十二条 如果委托人对监理人提交的支付通知中报酬或部分报酬项目提出异议，应当在收到支付通知书24小时内向监理人发出表示异议的通知，但委托人不得拖延</w:t>
      </w:r>
      <w:r>
        <w:rPr>
          <w:rFonts w:hint="eastAsia" w:ascii="宋体" w:hAnsi="宋体" w:eastAsia="宋体" w:cs="宋体"/>
          <w:color w:val="auto"/>
          <w:sz w:val="24"/>
          <w:szCs w:val="24"/>
          <w:highlight w:val="none"/>
        </w:rPr>
        <w:t>其它</w:t>
      </w:r>
      <w:r>
        <w:rPr>
          <w:rFonts w:hint="eastAsia" w:ascii="宋体" w:hAnsi="宋体" w:eastAsia="宋体" w:cs="宋体"/>
          <w:color w:val="auto"/>
          <w:sz w:val="24"/>
          <w:szCs w:val="24"/>
        </w:rPr>
        <w:t>无异议报酬项目的支付。</w:t>
      </w:r>
    </w:p>
    <w:p>
      <w:pPr>
        <w:tabs>
          <w:tab w:val="left" w:pos="360"/>
          <w:tab w:val="left" w:pos="2700"/>
        </w:tabs>
        <w:spacing w:line="360" w:lineRule="auto"/>
        <w:ind w:firstLine="412" w:firstLineChars="171"/>
        <w:jc w:val="center"/>
        <w:rPr>
          <w:rFonts w:hint="eastAsia" w:ascii="宋体" w:hAnsi="宋体" w:eastAsia="宋体" w:cs="宋体"/>
          <w:b/>
          <w:color w:val="auto"/>
          <w:sz w:val="24"/>
          <w:szCs w:val="24"/>
        </w:rPr>
      </w:pPr>
    </w:p>
    <w:p>
      <w:pPr>
        <w:tabs>
          <w:tab w:val="left" w:pos="360"/>
          <w:tab w:val="left" w:pos="2700"/>
        </w:tabs>
        <w:spacing w:line="360" w:lineRule="auto"/>
        <w:ind w:firstLine="412" w:firstLineChars="171"/>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其 他</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第四十三条 委托的建设工程监理所必要的监理人员出外考察、材料设备复试，其费用支出经委托人同意的，在预算范围内向委托人实报实销。</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第四十四条 在监理业务范围内，如需聘用专家咨询或协助，由监理人聘用的，其费用由监理人承担；由委托人聘用的，其费用由委托人承担。</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第四十五条 监理人在监理工作过程中提出合理化建议，使委托人得到了经济效益，委托人应按专用条件中的约定给予经济奖励。</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第四十六条 监理人驻地监理机构及其职员不得接受监理工程项目施工承包人的任何报酬或者经济利益。</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监理人不得参与可能与合同规定的与委托人的利益相冲突的任何活动。</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第四十七条 监理人在监理过程中，不得泄露委托人申明的秘密，监理人亦不得泄露设计人、承包人等提供并申明的秘密。</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第四十八条 监理人对于由其编制的所有文件拥有版权，委托人仅有权为本工程使用或复制此类文件。</w:t>
      </w:r>
    </w:p>
    <w:p>
      <w:pPr>
        <w:tabs>
          <w:tab w:val="left" w:pos="360"/>
          <w:tab w:val="left" w:pos="2700"/>
        </w:tabs>
        <w:spacing w:line="360" w:lineRule="auto"/>
        <w:ind w:firstLine="412" w:firstLineChars="171"/>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争议的解决</w:t>
      </w:r>
    </w:p>
    <w:p>
      <w:pPr>
        <w:tabs>
          <w:tab w:val="left" w:pos="360"/>
          <w:tab w:val="left" w:pos="2700"/>
        </w:tabs>
        <w:spacing w:line="360" w:lineRule="auto"/>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第四十九条 因违反或终止合同而引起</w:t>
      </w:r>
      <w:r>
        <w:rPr>
          <w:rFonts w:hint="eastAsia" w:ascii="宋体" w:hAnsi="宋体" w:eastAsia="宋体" w:cs="宋体"/>
          <w:color w:val="auto"/>
          <w:sz w:val="24"/>
          <w:szCs w:val="24"/>
          <w:highlight w:val="none"/>
        </w:rPr>
        <w:t>的对</w:t>
      </w:r>
      <w:r>
        <w:rPr>
          <w:rFonts w:hint="eastAsia" w:ascii="宋体" w:hAnsi="宋体" w:eastAsia="宋体" w:cs="宋体"/>
          <w:color w:val="auto"/>
          <w:sz w:val="24"/>
          <w:szCs w:val="24"/>
        </w:rPr>
        <w:t>对方损失和损害的赔偿，双方应当协调解决，如未能达成一致，可提交主管部门协调，如仍未能达成一致时，根据双方约定提交仲裁机关仲裁，或向人民法院起诉。</w:t>
      </w:r>
    </w:p>
    <w:p>
      <w:pPr>
        <w:pStyle w:val="45"/>
        <w:rPr>
          <w:rFonts w:hint="eastAsia" w:ascii="宋体" w:hAnsi="宋体" w:eastAsia="宋体" w:cs="宋体"/>
          <w:b/>
          <w:color w:val="auto"/>
          <w:sz w:val="24"/>
          <w:szCs w:val="24"/>
        </w:rPr>
      </w:pPr>
    </w:p>
    <w:p>
      <w:pPr>
        <w:rPr>
          <w:rFonts w:hint="eastAsia" w:ascii="宋体" w:hAnsi="宋体" w:eastAsia="宋体" w:cs="宋体"/>
        </w:rPr>
      </w:pPr>
    </w:p>
    <w:p>
      <w:pPr>
        <w:pStyle w:val="28"/>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lang w:eastAsia="zh-CN"/>
        </w:rPr>
      </w:pPr>
    </w:p>
    <w:p>
      <w:pPr>
        <w:pStyle w:val="29"/>
        <w:rPr>
          <w:rFonts w:hint="eastAsia" w:ascii="宋体" w:hAnsi="宋体" w:eastAsia="宋体" w:cs="宋体"/>
          <w:lang w:eastAsia="zh-CN"/>
        </w:rPr>
      </w:pPr>
    </w:p>
    <w:p>
      <w:pPr>
        <w:pStyle w:val="29"/>
        <w:rPr>
          <w:rFonts w:hint="eastAsia" w:ascii="宋体" w:hAnsi="宋体" w:eastAsia="宋体" w:cs="宋体"/>
          <w:lang w:eastAsia="zh-CN"/>
        </w:rPr>
      </w:pPr>
    </w:p>
    <w:p>
      <w:pPr>
        <w:pStyle w:val="29"/>
        <w:rPr>
          <w:rFonts w:hint="eastAsia" w:ascii="宋体" w:hAnsi="宋体" w:eastAsia="宋体" w:cs="宋体"/>
          <w:lang w:eastAsia="zh-CN"/>
        </w:rPr>
      </w:pPr>
    </w:p>
    <w:p>
      <w:pPr>
        <w:pStyle w:val="29"/>
        <w:rPr>
          <w:rFonts w:hint="eastAsia" w:ascii="宋体" w:hAnsi="宋体" w:eastAsia="宋体" w:cs="宋体"/>
          <w:lang w:eastAsia="zh-CN"/>
        </w:rPr>
      </w:pPr>
    </w:p>
    <w:p>
      <w:pPr>
        <w:pStyle w:val="29"/>
        <w:rPr>
          <w:rFonts w:hint="eastAsia" w:ascii="宋体" w:hAnsi="宋体" w:eastAsia="宋体" w:cs="宋体"/>
          <w:lang w:eastAsia="zh-CN"/>
        </w:rPr>
      </w:pPr>
    </w:p>
    <w:p>
      <w:pPr>
        <w:pStyle w:val="29"/>
        <w:rPr>
          <w:rFonts w:hint="eastAsia" w:ascii="宋体" w:hAnsi="宋体" w:eastAsia="宋体" w:cs="宋体"/>
          <w:lang w:eastAsia="zh-CN"/>
        </w:rPr>
      </w:pPr>
    </w:p>
    <w:p>
      <w:pPr>
        <w:pStyle w:val="29"/>
        <w:rPr>
          <w:rFonts w:hint="eastAsia" w:ascii="宋体" w:hAnsi="宋体" w:eastAsia="宋体" w:cs="宋体"/>
          <w:lang w:eastAsia="zh-CN"/>
        </w:rPr>
      </w:pPr>
    </w:p>
    <w:p>
      <w:pPr>
        <w:pStyle w:val="29"/>
        <w:rPr>
          <w:rFonts w:hint="eastAsia" w:ascii="宋体" w:hAnsi="宋体" w:eastAsia="宋体" w:cs="宋体"/>
          <w:lang w:eastAsia="zh-CN"/>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ind w:left="0" w:leftChars="0" w:firstLine="0" w:firstLineChars="0"/>
        <w:rPr>
          <w:rFonts w:hint="eastAsia" w:ascii="宋体" w:hAnsi="宋体" w:eastAsia="宋体" w:cs="宋体"/>
        </w:rPr>
      </w:pPr>
    </w:p>
    <w:p>
      <w:pPr>
        <w:tabs>
          <w:tab w:val="left" w:pos="360"/>
          <w:tab w:val="left" w:pos="2700"/>
        </w:tabs>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第三部分   专用条件</w:t>
      </w:r>
    </w:p>
    <w:p>
      <w:pPr>
        <w:spacing w:before="240" w:after="240" w:line="360" w:lineRule="auto"/>
        <w:jc w:val="left"/>
        <w:outlineLvl w:val="2"/>
        <w:rPr>
          <w:rFonts w:hint="eastAsia" w:ascii="宋体" w:hAnsi="宋体" w:eastAsia="宋体" w:cs="宋体"/>
          <w:b/>
          <w:bCs/>
          <w:color w:val="auto"/>
          <w:sz w:val="24"/>
          <w:szCs w:val="24"/>
        </w:rPr>
      </w:pPr>
      <w:bookmarkStart w:id="501" w:name="_Toc335666997"/>
      <w:bookmarkStart w:id="502" w:name="_Toc29891"/>
      <w:bookmarkStart w:id="503" w:name="_Toc335147668"/>
      <w:r>
        <w:rPr>
          <w:rFonts w:hint="eastAsia" w:ascii="宋体" w:hAnsi="宋体" w:eastAsia="宋体" w:cs="宋体"/>
          <w:b/>
          <w:bCs/>
          <w:color w:val="auto"/>
          <w:sz w:val="24"/>
          <w:szCs w:val="24"/>
        </w:rPr>
        <w:t>1.定义与解释</w:t>
      </w:r>
      <w:bookmarkEnd w:id="501"/>
      <w:bookmarkEnd w:id="502"/>
      <w:bookmarkEnd w:id="503"/>
    </w:p>
    <w:p>
      <w:pPr>
        <w:spacing w:line="360" w:lineRule="auto"/>
        <w:ind w:firstLine="456" w:firstLineChars="190"/>
        <w:rPr>
          <w:rFonts w:hint="eastAsia" w:ascii="宋体" w:hAnsi="宋体" w:eastAsia="宋体" w:cs="宋体"/>
          <w:color w:val="auto"/>
          <w:sz w:val="24"/>
          <w:szCs w:val="24"/>
        </w:rPr>
      </w:pPr>
      <w:r>
        <w:rPr>
          <w:rFonts w:hint="eastAsia" w:ascii="宋体" w:hAnsi="宋体" w:eastAsia="宋体" w:cs="宋体"/>
          <w:color w:val="auto"/>
          <w:sz w:val="24"/>
          <w:szCs w:val="24"/>
        </w:rPr>
        <w:t>1.1.1  项目</w:t>
      </w:r>
    </w:p>
    <w:p>
      <w:pPr>
        <w:widowControl/>
        <w:spacing w:line="360" w:lineRule="auto"/>
        <w:rPr>
          <w:rFonts w:hint="eastAsia" w:ascii="宋体" w:hAnsi="宋体" w:eastAsia="宋体" w:cs="宋体"/>
          <w:color w:val="auto"/>
          <w:kern w:val="0"/>
          <w:sz w:val="24"/>
          <w:szCs w:val="24"/>
        </w:rPr>
      </w:pPr>
      <w:r>
        <w:rPr>
          <w:rFonts w:hint="eastAsia" w:ascii="宋体" w:hAnsi="宋体" w:eastAsia="宋体" w:cs="宋体"/>
          <w:color w:val="auto"/>
          <w:sz w:val="24"/>
          <w:szCs w:val="24"/>
        </w:rPr>
        <w:t>　　项目名称：</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Cs/>
          <w:color w:val="auto"/>
          <w:sz w:val="24"/>
          <w:szCs w:val="24"/>
        </w:rPr>
        <w:t>；</w:t>
      </w:r>
    </w:p>
    <w:p>
      <w:pPr>
        <w:widowControl/>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发包人名称：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bCs/>
          <w:color w:val="auto"/>
          <w:sz w:val="24"/>
          <w:szCs w:val="24"/>
        </w:rPr>
        <w:t>；</w:t>
      </w:r>
    </w:p>
    <w:p>
      <w:pPr>
        <w:widowControl/>
        <w:spacing w:line="360" w:lineRule="auto"/>
        <w:rPr>
          <w:rFonts w:hint="eastAsia" w:ascii="宋体" w:hAnsi="宋体" w:eastAsia="宋体" w:cs="宋体"/>
          <w:color w:val="auto"/>
          <w:kern w:val="0"/>
          <w:sz w:val="24"/>
          <w:szCs w:val="24"/>
        </w:rPr>
      </w:pPr>
      <w:r>
        <w:rPr>
          <w:rFonts w:hint="eastAsia" w:ascii="宋体" w:hAnsi="宋体" w:eastAsia="宋体" w:cs="宋体"/>
          <w:color w:val="auto"/>
          <w:sz w:val="24"/>
          <w:szCs w:val="24"/>
        </w:rPr>
        <w:t>　　立项审批情况：</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bCs/>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资金组成及到位情况：</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Cs/>
          <w:color w:val="auto"/>
          <w:sz w:val="24"/>
          <w:szCs w:val="24"/>
        </w:rPr>
        <w:t>；</w:t>
      </w:r>
    </w:p>
    <w:p>
      <w:pPr>
        <w:spacing w:line="360" w:lineRule="auto"/>
        <w:ind w:firstLine="456" w:firstLineChars="190"/>
        <w:rPr>
          <w:rFonts w:hint="eastAsia" w:ascii="宋体" w:hAnsi="宋体" w:eastAsia="宋体" w:cs="宋体"/>
          <w:color w:val="auto"/>
          <w:sz w:val="24"/>
          <w:szCs w:val="24"/>
        </w:rPr>
      </w:pPr>
      <w:r>
        <w:rPr>
          <w:rFonts w:hint="eastAsia" w:ascii="宋体" w:hAnsi="宋体" w:eastAsia="宋体" w:cs="宋体"/>
          <w:color w:val="auto"/>
          <w:sz w:val="24"/>
          <w:szCs w:val="24"/>
        </w:rPr>
        <w:t>1.1.2  工程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工程地点：</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Cs/>
          <w:color w:val="auto"/>
          <w:kern w:val="0"/>
          <w:sz w:val="24"/>
          <w:szCs w:val="24"/>
          <w:u w:val="single"/>
        </w:rPr>
        <w:t xml:space="preserve">  </w:t>
      </w:r>
      <w:r>
        <w:rPr>
          <w:rFonts w:hint="eastAsia" w:ascii="宋体" w:hAnsi="宋体" w:eastAsia="宋体" w:cs="宋体"/>
          <w:bCs/>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施工合同段划分：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bCs/>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监理合同段划分：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bCs/>
          <w:color w:val="auto"/>
          <w:sz w:val="24"/>
          <w:szCs w:val="24"/>
        </w:rPr>
        <w:t>；</w:t>
      </w:r>
    </w:p>
    <w:p>
      <w:pPr>
        <w:spacing w:before="240" w:after="240" w:line="360" w:lineRule="auto"/>
        <w:jc w:val="left"/>
        <w:outlineLvl w:val="2"/>
        <w:rPr>
          <w:rFonts w:hint="eastAsia" w:ascii="宋体" w:hAnsi="宋体" w:eastAsia="宋体" w:cs="宋体"/>
          <w:b/>
          <w:bCs/>
          <w:color w:val="auto"/>
          <w:sz w:val="24"/>
          <w:szCs w:val="24"/>
        </w:rPr>
      </w:pPr>
      <w:bookmarkStart w:id="504" w:name="_Toc335666998"/>
      <w:bookmarkStart w:id="505" w:name="_Toc28614"/>
      <w:bookmarkStart w:id="506" w:name="_Toc335147669"/>
      <w:r>
        <w:rPr>
          <w:rFonts w:hint="eastAsia" w:ascii="宋体" w:hAnsi="宋体" w:eastAsia="宋体" w:cs="宋体"/>
          <w:b/>
          <w:bCs/>
          <w:color w:val="auto"/>
          <w:sz w:val="24"/>
          <w:szCs w:val="24"/>
        </w:rPr>
        <w:t>2.监理人的义务</w:t>
      </w:r>
      <w:bookmarkEnd w:id="504"/>
      <w:bookmarkEnd w:id="505"/>
      <w:bookmarkEnd w:id="506"/>
    </w:p>
    <w:p>
      <w:pPr>
        <w:spacing w:line="360" w:lineRule="auto"/>
        <w:ind w:firstLine="456" w:firstLineChars="190"/>
        <w:rPr>
          <w:rFonts w:hint="eastAsia" w:ascii="宋体" w:hAnsi="宋体" w:eastAsia="宋体" w:cs="宋体"/>
          <w:color w:val="auto"/>
          <w:sz w:val="24"/>
          <w:szCs w:val="24"/>
        </w:rPr>
      </w:pPr>
      <w:r>
        <w:rPr>
          <w:rFonts w:hint="eastAsia" w:ascii="宋体" w:hAnsi="宋体" w:eastAsia="宋体" w:cs="宋体"/>
          <w:color w:val="auto"/>
          <w:sz w:val="24"/>
          <w:szCs w:val="24"/>
        </w:rPr>
        <w:t>2.1.1  服务形式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总监理工程师办公室按</w:t>
      </w:r>
      <w:r>
        <w:rPr>
          <w:rFonts w:hint="eastAsia" w:ascii="宋体" w:hAnsi="宋体" w:eastAsia="宋体" w:cs="宋体"/>
          <w:color w:val="auto"/>
          <w:sz w:val="24"/>
          <w:szCs w:val="24"/>
          <w:u w:val="single"/>
        </w:rPr>
        <w:t>一级监理机构</w:t>
      </w:r>
      <w:r>
        <w:rPr>
          <w:rFonts w:hint="eastAsia" w:ascii="宋体" w:hAnsi="宋体" w:eastAsia="宋体" w:cs="宋体"/>
          <w:color w:val="auto"/>
          <w:sz w:val="24"/>
          <w:szCs w:val="24"/>
        </w:rPr>
        <w:t>组建。</w:t>
      </w:r>
    </w:p>
    <w:p>
      <w:pPr>
        <w:spacing w:line="360" w:lineRule="auto"/>
        <w:ind w:firstLine="456" w:firstLineChars="190"/>
        <w:rPr>
          <w:rFonts w:hint="eastAsia" w:ascii="宋体" w:hAnsi="宋体" w:eastAsia="宋体" w:cs="宋体"/>
          <w:color w:val="auto"/>
          <w:sz w:val="24"/>
          <w:szCs w:val="24"/>
        </w:rPr>
      </w:pPr>
      <w:r>
        <w:rPr>
          <w:rFonts w:hint="eastAsia" w:ascii="宋体" w:hAnsi="宋体" w:eastAsia="宋体" w:cs="宋体"/>
          <w:color w:val="auto"/>
          <w:sz w:val="24"/>
          <w:szCs w:val="24"/>
        </w:rPr>
        <w:t>2.1.2  服务范围</w:t>
      </w:r>
    </w:p>
    <w:p>
      <w:pPr>
        <w:spacing w:line="360" w:lineRule="auto"/>
        <w:ind w:firstLine="456" w:firstLineChars="190"/>
        <w:rPr>
          <w:rFonts w:hint="eastAsia" w:ascii="宋体" w:hAnsi="宋体" w:eastAsia="宋体" w:cs="宋体"/>
          <w:color w:val="auto"/>
          <w:sz w:val="24"/>
          <w:szCs w:val="24"/>
          <w:u w:val="single"/>
        </w:rPr>
      </w:pPr>
      <w:r>
        <w:rPr>
          <w:rFonts w:hint="eastAsia" w:ascii="宋体" w:hAnsi="宋体" w:eastAsia="宋体" w:cs="宋体"/>
          <w:color w:val="auto"/>
          <w:sz w:val="24"/>
          <w:szCs w:val="24"/>
        </w:rPr>
        <w:t>2.1.2.1  监理服务的工程范围：</w:t>
      </w:r>
      <w:r>
        <w:rPr>
          <w:rFonts w:hint="eastAsia" w:ascii="宋体" w:hAnsi="宋体" w:eastAsia="宋体" w:cs="宋体"/>
          <w:color w:val="auto"/>
          <w:sz w:val="24"/>
          <w:szCs w:val="24"/>
          <w:u w:val="single"/>
        </w:rPr>
        <w:t xml:space="preserve"> 在合同约定的工程范围内及约定的正常监理服务期限内，对工程进行质量监理、施工安全监理、施工环境保护监理、进度监理、费用监理、合同其他事项和文件资料管理等；</w:t>
      </w:r>
    </w:p>
    <w:p>
      <w:pPr>
        <w:spacing w:line="360" w:lineRule="auto"/>
        <w:ind w:firstLine="456" w:firstLineChars="190"/>
        <w:rPr>
          <w:rFonts w:hint="eastAsia" w:ascii="宋体" w:hAnsi="宋体" w:eastAsia="宋体" w:cs="宋体"/>
          <w:color w:val="auto"/>
          <w:sz w:val="24"/>
          <w:szCs w:val="24"/>
        </w:rPr>
      </w:pPr>
      <w:r>
        <w:rPr>
          <w:rFonts w:hint="eastAsia" w:ascii="宋体" w:hAnsi="宋体" w:eastAsia="宋体" w:cs="宋体"/>
          <w:color w:val="auto"/>
          <w:sz w:val="24"/>
          <w:szCs w:val="24"/>
        </w:rPr>
        <w:t>2.1.4  监理服务的内容：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监理服务机构设置：</w:t>
      </w:r>
      <w:r>
        <w:rPr>
          <w:rFonts w:hint="eastAsia" w:ascii="宋体" w:hAnsi="宋体" w:eastAsia="宋体" w:cs="宋体"/>
          <w:color w:val="auto"/>
          <w:sz w:val="24"/>
          <w:szCs w:val="24"/>
          <w:u w:val="single"/>
        </w:rPr>
        <w:t xml:space="preserve">设置本项目总监代表处                        </w:t>
      </w:r>
      <w:r>
        <w:rPr>
          <w:rFonts w:hint="eastAsia" w:ascii="宋体" w:hAnsi="宋体" w:eastAsia="宋体" w:cs="宋体"/>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监理服务的内容：</w:t>
      </w:r>
      <w:r>
        <w:rPr>
          <w:rFonts w:hint="eastAsia" w:ascii="宋体" w:hAnsi="宋体" w:eastAsia="宋体" w:cs="宋体"/>
          <w:color w:val="auto"/>
          <w:sz w:val="24"/>
          <w:szCs w:val="24"/>
          <w:u w:val="single"/>
        </w:rPr>
        <w:t xml:space="preserve">  监理人应按照《施工监理规范》相关法律、法规开展监理服务。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总监理工程师办公室中心实验室的资质及相应的检查项目和抽检频率：</w:t>
      </w:r>
      <w:r>
        <w:rPr>
          <w:rFonts w:hint="eastAsia" w:ascii="宋体" w:hAnsi="宋体" w:eastAsia="宋体" w:cs="宋体"/>
          <w:color w:val="auto"/>
          <w:sz w:val="24"/>
          <w:szCs w:val="24"/>
          <w:u w:val="single"/>
        </w:rPr>
        <w:t xml:space="preserve"> 不低于20% </w:t>
      </w:r>
      <w:r>
        <w:rPr>
          <w:rFonts w:hint="eastAsia" w:ascii="宋体" w:hAnsi="宋体" w:eastAsia="宋体" w:cs="宋体"/>
          <w:color w:val="auto"/>
          <w:sz w:val="24"/>
          <w:szCs w:val="24"/>
        </w:rPr>
        <w:t>；</w:t>
      </w:r>
    </w:p>
    <w:p>
      <w:pPr>
        <w:spacing w:line="360" w:lineRule="auto"/>
        <w:ind w:firstLine="456" w:firstLineChars="190"/>
        <w:rPr>
          <w:rFonts w:hint="eastAsia" w:ascii="宋体" w:hAnsi="宋体" w:eastAsia="宋体" w:cs="宋体"/>
          <w:color w:val="auto"/>
          <w:sz w:val="24"/>
          <w:szCs w:val="24"/>
        </w:rPr>
      </w:pPr>
      <w:r>
        <w:rPr>
          <w:rFonts w:hint="eastAsia" w:ascii="宋体" w:hAnsi="宋体" w:eastAsia="宋体" w:cs="宋体"/>
          <w:color w:val="auto"/>
          <w:sz w:val="24"/>
          <w:szCs w:val="24"/>
        </w:rPr>
        <w:t>2.4监理人员</w:t>
      </w:r>
    </w:p>
    <w:p>
      <w:pPr>
        <w:tabs>
          <w:tab w:val="left" w:pos="4320"/>
          <w:tab w:val="left" w:pos="7920"/>
        </w:tabs>
        <w:spacing w:line="360" w:lineRule="auto"/>
        <w:jc w:val="left"/>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　　各类主要监理人员应符合以下资质的要求：</w:t>
      </w:r>
    </w:p>
    <w:p>
      <w:pPr>
        <w:tabs>
          <w:tab w:val="left" w:pos="4320"/>
          <w:tab w:val="left" w:pos="792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（1）总监理工程师</w:t>
      </w:r>
    </w:p>
    <w:p>
      <w:pPr>
        <w:tabs>
          <w:tab w:val="left" w:pos="4320"/>
          <w:tab w:val="left" w:pos="792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（2）专业监理工程师的要求</w:t>
      </w:r>
    </w:p>
    <w:p>
      <w:pPr>
        <w:tabs>
          <w:tab w:val="left" w:pos="4320"/>
          <w:tab w:val="left" w:pos="792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（3）监理员</w:t>
      </w:r>
    </w:p>
    <w:p>
      <w:pPr>
        <w:spacing w:before="240" w:after="240" w:line="360" w:lineRule="auto"/>
        <w:jc w:val="left"/>
        <w:outlineLvl w:val="2"/>
        <w:rPr>
          <w:rFonts w:hint="eastAsia" w:ascii="宋体" w:hAnsi="宋体" w:eastAsia="宋体" w:cs="宋体"/>
          <w:b/>
          <w:bCs/>
          <w:color w:val="auto"/>
          <w:sz w:val="24"/>
          <w:szCs w:val="24"/>
        </w:rPr>
      </w:pPr>
      <w:bookmarkStart w:id="507" w:name="_Toc335147670"/>
      <w:bookmarkStart w:id="508" w:name="_Toc20858"/>
      <w:bookmarkStart w:id="509" w:name="_Toc335666999"/>
      <w:r>
        <w:rPr>
          <w:rFonts w:hint="eastAsia" w:ascii="宋体" w:hAnsi="宋体" w:eastAsia="宋体" w:cs="宋体"/>
          <w:b/>
          <w:bCs/>
          <w:color w:val="auto"/>
          <w:sz w:val="24"/>
          <w:szCs w:val="24"/>
        </w:rPr>
        <w:t>6.监理服务的费用与支付</w:t>
      </w:r>
      <w:bookmarkEnd w:id="507"/>
      <w:bookmarkEnd w:id="508"/>
      <w:bookmarkEnd w:id="509"/>
    </w:p>
    <w:p>
      <w:pPr>
        <w:spacing w:line="360" w:lineRule="auto"/>
        <w:ind w:firstLine="456" w:firstLineChars="190"/>
        <w:rPr>
          <w:rFonts w:hint="eastAsia" w:ascii="宋体" w:hAnsi="宋体" w:eastAsia="宋体" w:cs="宋体"/>
          <w:color w:val="auto"/>
          <w:sz w:val="24"/>
          <w:szCs w:val="24"/>
        </w:rPr>
      </w:pPr>
      <w:r>
        <w:rPr>
          <w:rFonts w:hint="eastAsia" w:ascii="宋体" w:hAnsi="宋体" w:eastAsia="宋体" w:cs="宋体"/>
          <w:color w:val="auto"/>
          <w:sz w:val="24"/>
          <w:szCs w:val="24"/>
        </w:rPr>
        <w:t>6.2.2  附加监理服务的费用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附加监理服务的费用计算方法：</w:t>
      </w:r>
      <w:r>
        <w:rPr>
          <w:rFonts w:hint="eastAsia" w:ascii="宋体" w:hAnsi="宋体" w:eastAsia="宋体" w:cs="宋体"/>
          <w:color w:val="auto"/>
          <w:sz w:val="24"/>
          <w:szCs w:val="24"/>
          <w:u w:val="single"/>
        </w:rPr>
        <w:t xml:space="preserve">  附加工程工作量×中标时施工阶段监理服务费与计费额比值的折算系数    </w:t>
      </w:r>
      <w:r>
        <w:rPr>
          <w:rFonts w:hint="eastAsia" w:ascii="宋体" w:hAnsi="宋体" w:eastAsia="宋体" w:cs="宋体"/>
          <w:color w:val="auto"/>
          <w:sz w:val="24"/>
          <w:szCs w:val="24"/>
        </w:rPr>
        <w:t>。</w:t>
      </w:r>
    </w:p>
    <w:p>
      <w:pPr>
        <w:spacing w:line="360" w:lineRule="auto"/>
        <w:ind w:firstLine="456" w:firstLineChars="190"/>
        <w:rPr>
          <w:rFonts w:hint="eastAsia" w:ascii="宋体" w:hAnsi="宋体" w:eastAsia="宋体" w:cs="宋体"/>
          <w:color w:val="auto"/>
          <w:sz w:val="24"/>
          <w:szCs w:val="24"/>
        </w:rPr>
      </w:pPr>
      <w:r>
        <w:rPr>
          <w:rFonts w:hint="eastAsia" w:ascii="宋体" w:hAnsi="宋体" w:eastAsia="宋体" w:cs="宋体"/>
          <w:color w:val="auto"/>
          <w:sz w:val="24"/>
          <w:szCs w:val="24"/>
        </w:rPr>
        <w:t>6.2.3  额外服务的费用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额外服务的费用计算方法：</w:t>
      </w:r>
      <w:r>
        <w:rPr>
          <w:rFonts w:hint="eastAsia" w:ascii="宋体" w:hAnsi="宋体" w:eastAsia="宋体" w:cs="宋体"/>
          <w:color w:val="auto"/>
          <w:sz w:val="24"/>
          <w:szCs w:val="24"/>
          <w:u w:val="single"/>
        </w:rPr>
        <w:t xml:space="preserve">额外工程工作量×中标时施工阶段监理服务费与计费额比值的折算系数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宋体" w:hAnsi="宋体" w:eastAsia="宋体" w:cs="宋体"/>
          <w:b/>
          <w:bCs/>
          <w:color w:val="auto"/>
          <w:sz w:val="24"/>
          <w:szCs w:val="24"/>
        </w:rPr>
      </w:pPr>
      <w:bookmarkStart w:id="510" w:name="_Toc335147671"/>
      <w:bookmarkStart w:id="511" w:name="_Toc11929"/>
      <w:bookmarkStart w:id="512" w:name="_Toc335667000"/>
      <w:r>
        <w:rPr>
          <w:rFonts w:hint="eastAsia" w:ascii="宋体" w:hAnsi="宋体" w:eastAsia="宋体" w:cs="宋体"/>
          <w:b/>
          <w:bCs/>
          <w:color w:val="auto"/>
          <w:sz w:val="24"/>
          <w:szCs w:val="24"/>
        </w:rPr>
        <w:t>8．争端的解决</w:t>
      </w:r>
      <w:bookmarkEnd w:id="510"/>
      <w:bookmarkEnd w:id="511"/>
      <w:bookmarkEnd w:id="512"/>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双方在此约定：对合同执行过程中的争端</w:t>
      </w:r>
      <w:r>
        <w:rPr>
          <w:rFonts w:hint="eastAsia" w:ascii="宋体" w:hAnsi="宋体" w:eastAsia="宋体" w:cs="宋体"/>
          <w:color w:val="auto"/>
          <w:spacing w:val="10"/>
          <w:sz w:val="24"/>
          <w:szCs w:val="24"/>
        </w:rPr>
        <w:t>最终解决争端的方式，可选择仲裁或向法院起诉。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宋体" w:hAnsi="宋体" w:eastAsia="宋体" w:cs="宋体"/>
          <w:b/>
          <w:bCs/>
          <w:color w:val="auto"/>
          <w:sz w:val="24"/>
          <w:szCs w:val="24"/>
        </w:rPr>
      </w:pPr>
      <w:bookmarkStart w:id="513" w:name="_Toc24888"/>
      <w:r>
        <w:rPr>
          <w:rFonts w:hint="eastAsia" w:ascii="宋体" w:hAnsi="宋体" w:eastAsia="宋体" w:cs="宋体"/>
          <w:b/>
          <w:bCs/>
          <w:color w:val="auto"/>
          <w:sz w:val="24"/>
          <w:szCs w:val="24"/>
        </w:rPr>
        <w:t>9.补充条款</w:t>
      </w:r>
      <w:bookmarkEnd w:id="513"/>
    </w:p>
    <w:p>
      <w:pPr>
        <w:spacing w:line="360" w:lineRule="auto"/>
        <w:ind w:left="120" w:leftChars="57"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需补充的其他条款。</w:t>
      </w:r>
    </w:p>
    <w:p>
      <w:pPr>
        <w:spacing w:line="360" w:lineRule="auto"/>
        <w:ind w:left="120" w:leftChars="57"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驻地选址、场地建设、消防设施、临时用电、驻地标识牌、中心试验室建设、试验室设置、施工现场人员着装均要按照</w:t>
      </w:r>
      <w:r>
        <w:rPr>
          <w:rFonts w:hint="eastAsia" w:ascii="宋体" w:hAnsi="宋体" w:eastAsia="宋体" w:cs="宋体"/>
          <w:color w:val="auto"/>
          <w:sz w:val="24"/>
          <w:szCs w:val="24"/>
          <w:lang w:val="en-US" w:eastAsia="zh-CN"/>
        </w:rPr>
        <w:t>相关专业</w:t>
      </w:r>
      <w:r>
        <w:rPr>
          <w:rFonts w:hint="eastAsia" w:ascii="宋体" w:hAnsi="宋体" w:eastAsia="宋体" w:cs="宋体"/>
          <w:color w:val="auto"/>
          <w:sz w:val="24"/>
          <w:szCs w:val="24"/>
        </w:rPr>
        <w:t>的规定提出具体的要求。</w:t>
      </w:r>
    </w:p>
    <w:p>
      <w:pPr>
        <w:pStyle w:val="2"/>
        <w:spacing w:after="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bookmarkStart w:id="514" w:name="_Toc14681"/>
      <w:bookmarkStart w:id="515" w:name="_Toc7047"/>
      <w:bookmarkStart w:id="516" w:name="_Toc2530"/>
      <w:bookmarkStart w:id="517" w:name="_Toc13875"/>
      <w:r>
        <w:rPr>
          <w:rFonts w:hint="eastAsia" w:ascii="宋体" w:hAnsi="宋体" w:eastAsia="宋体" w:cs="宋体"/>
          <w:color w:val="auto"/>
          <w:sz w:val="24"/>
          <w:szCs w:val="24"/>
        </w:rPr>
        <w:t>第五章 投标文件格式</w:t>
      </w:r>
      <w:bookmarkEnd w:id="497"/>
      <w:bookmarkEnd w:id="498"/>
      <w:bookmarkEnd w:id="499"/>
      <w:bookmarkEnd w:id="500"/>
      <w:bookmarkEnd w:id="514"/>
      <w:bookmarkEnd w:id="515"/>
      <w:bookmarkEnd w:id="516"/>
      <w:bookmarkEnd w:id="517"/>
    </w:p>
    <w:p>
      <w:pPr>
        <w:spacing w:line="360" w:lineRule="auto"/>
        <w:jc w:val="center"/>
        <w:rPr>
          <w:rFonts w:hint="eastAsia" w:ascii="宋体" w:hAnsi="宋体" w:eastAsia="宋体" w:cs="宋体"/>
          <w:color w:val="auto"/>
          <w:sz w:val="24"/>
          <w:szCs w:val="24"/>
          <w:u w:val="single"/>
        </w:rPr>
      </w:pPr>
    </w:p>
    <w:p>
      <w:pPr>
        <w:spacing w:line="360" w:lineRule="auto"/>
        <w:jc w:val="center"/>
        <w:rPr>
          <w:rFonts w:hint="eastAsia" w:ascii="宋体" w:hAnsi="宋体" w:eastAsia="宋体" w:cs="宋体"/>
          <w:color w:val="auto"/>
          <w:sz w:val="24"/>
          <w:szCs w:val="24"/>
          <w:u w:val="single"/>
        </w:rPr>
      </w:pPr>
    </w:p>
    <w:p>
      <w:pPr>
        <w:spacing w:line="360" w:lineRule="auto"/>
        <w:jc w:val="center"/>
        <w:rPr>
          <w:rFonts w:hint="eastAsia" w:ascii="宋体" w:hAnsi="宋体" w:eastAsia="宋体" w:cs="宋体"/>
          <w:color w:val="auto"/>
          <w:sz w:val="24"/>
          <w:szCs w:val="24"/>
          <w:u w:val="single"/>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（项目名称）</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（项目编号）</w:t>
      </w:r>
    </w:p>
    <w:p>
      <w:pPr>
        <w:spacing w:before="312" w:beforeLines="10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标段</w:t>
      </w:r>
    </w:p>
    <w:p>
      <w:pPr>
        <w:spacing w:before="312" w:beforeLines="100" w:line="360" w:lineRule="auto"/>
        <w:jc w:val="center"/>
        <w:rPr>
          <w:rFonts w:hint="eastAsia" w:ascii="宋体" w:hAnsi="宋体" w:eastAsia="宋体" w:cs="宋体"/>
          <w:color w:val="auto"/>
          <w:sz w:val="24"/>
          <w:szCs w:val="24"/>
        </w:rPr>
      </w:pPr>
    </w:p>
    <w:p>
      <w:pPr>
        <w:spacing w:before="312" w:beforeLines="100"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投 标 文 件</w:t>
      </w: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（电子签章）</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法定代表人或其授权委托人：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（电子签</w:t>
      </w:r>
      <w:r>
        <w:rPr>
          <w:rFonts w:hint="eastAsia" w:ascii="宋体" w:hAnsi="宋体" w:eastAsia="宋体" w:cs="宋体"/>
          <w:color w:val="auto"/>
          <w:sz w:val="24"/>
          <w:szCs w:val="24"/>
          <w:lang w:val="en-US" w:eastAsia="zh-CN"/>
        </w:rPr>
        <w:t>名</w:t>
      </w:r>
      <w:r>
        <w:rPr>
          <w:rFonts w:hint="eastAsia" w:ascii="宋体" w:hAnsi="宋体" w:eastAsia="宋体" w:cs="宋体"/>
          <w:color w:val="auto"/>
          <w:sz w:val="24"/>
          <w:szCs w:val="24"/>
        </w:rPr>
        <w:t>或签字）</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tabs>
          <w:tab w:val="left" w:pos="360"/>
        </w:tabs>
        <w:spacing w:line="360" w:lineRule="auto"/>
        <w:rPr>
          <w:rFonts w:hint="eastAsia" w:ascii="宋体" w:hAnsi="宋体" w:eastAsia="宋体" w:cs="宋体"/>
          <w:b/>
          <w:bCs/>
          <w:color w:val="auto"/>
          <w:sz w:val="24"/>
          <w:szCs w:val="24"/>
        </w:rPr>
      </w:pPr>
    </w:p>
    <w:p>
      <w:pPr>
        <w:pStyle w:val="29"/>
        <w:ind w:left="0" w:leftChars="0" w:firstLine="0" w:firstLineChars="0"/>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pStyle w:val="29"/>
        <w:rPr>
          <w:rFonts w:hint="eastAsia" w:ascii="宋体" w:hAnsi="宋体" w:eastAsia="宋体" w:cs="宋体"/>
        </w:rPr>
      </w:pPr>
    </w:p>
    <w:p>
      <w:pPr>
        <w:jc w:val="center"/>
        <w:rPr>
          <w:rFonts w:hint="eastAsia" w:ascii="宋体" w:hAnsi="宋体" w:eastAsia="宋体" w:cs="宋体"/>
          <w:color w:val="auto"/>
          <w:sz w:val="24"/>
          <w:szCs w:val="24"/>
        </w:rPr>
      </w:pPr>
      <w:bookmarkStart w:id="518" w:name="_Toc304463255"/>
      <w:bookmarkStart w:id="519" w:name="_Toc296523520"/>
      <w:bookmarkStart w:id="520" w:name="_Toc446542612"/>
      <w:bookmarkStart w:id="521" w:name="_Toc296523719"/>
      <w:r>
        <w:rPr>
          <w:rFonts w:hint="eastAsia" w:ascii="宋体" w:hAnsi="宋体" w:eastAsia="宋体" w:cs="宋体"/>
          <w:color w:val="auto"/>
          <w:sz w:val="24"/>
          <w:szCs w:val="24"/>
        </w:rPr>
        <w:t>目  录</w:t>
      </w:r>
      <w:bookmarkEnd w:id="518"/>
      <w:bookmarkEnd w:id="519"/>
      <w:bookmarkEnd w:id="520"/>
      <w:bookmarkEnd w:id="521"/>
    </w:p>
    <w:p>
      <w:pPr>
        <w:spacing w:line="600" w:lineRule="exact"/>
        <w:ind w:firstLine="960" w:firstLineChars="400"/>
        <w:jc w:val="center"/>
        <w:rPr>
          <w:rFonts w:hint="eastAsia" w:ascii="宋体" w:hAnsi="宋体" w:eastAsia="宋体" w:cs="宋体"/>
          <w:color w:val="auto"/>
          <w:sz w:val="24"/>
          <w:szCs w:val="24"/>
        </w:rPr>
      </w:pPr>
      <w:r>
        <w:rPr>
          <w:rFonts w:hint="eastAsia" w:ascii="宋体" w:hAnsi="宋体" w:eastAsia="宋体" w:cs="宋体"/>
          <w:color w:val="auto"/>
          <w:sz w:val="24"/>
          <w:szCs w:val="24"/>
        </w:rPr>
        <w:t>（由投标单位自行编制）</w:t>
      </w:r>
    </w:p>
    <w:p>
      <w:pPr>
        <w:spacing w:line="600" w:lineRule="exact"/>
        <w:rPr>
          <w:rFonts w:hint="eastAsia" w:ascii="宋体" w:hAnsi="宋体" w:eastAsia="宋体" w:cs="宋体"/>
          <w:color w:val="auto"/>
          <w:sz w:val="24"/>
          <w:szCs w:val="24"/>
        </w:rPr>
      </w:pPr>
    </w:p>
    <w:p>
      <w:pPr>
        <w:spacing w:line="600" w:lineRule="exact"/>
        <w:ind w:firstLine="480" w:firstLineChars="200"/>
        <w:rPr>
          <w:rFonts w:hint="eastAsia" w:ascii="宋体" w:hAnsi="宋体" w:eastAsia="宋体" w:cs="宋体"/>
          <w:color w:val="auto"/>
          <w:sz w:val="24"/>
          <w:szCs w:val="24"/>
        </w:rPr>
      </w:pPr>
    </w:p>
    <w:p>
      <w:pPr>
        <w:spacing w:line="600" w:lineRule="exact"/>
        <w:ind w:firstLine="480" w:firstLineChars="200"/>
        <w:rPr>
          <w:rFonts w:hint="eastAsia" w:ascii="宋体" w:hAnsi="宋体" w:eastAsia="宋体" w:cs="宋体"/>
          <w:color w:val="auto"/>
          <w:sz w:val="24"/>
          <w:szCs w:val="24"/>
        </w:rPr>
      </w:pPr>
    </w:p>
    <w:p>
      <w:pPr>
        <w:widowControl/>
        <w:jc w:val="left"/>
        <w:rPr>
          <w:rFonts w:hint="eastAsia" w:ascii="宋体" w:hAnsi="宋体" w:eastAsia="宋体" w:cs="宋体"/>
          <w:color w:val="auto"/>
          <w:sz w:val="24"/>
          <w:szCs w:val="24"/>
        </w:rPr>
        <w:sectPr>
          <w:headerReference r:id="rId3" w:type="default"/>
          <w:footerReference r:id="rId4" w:type="default"/>
          <w:pgSz w:w="11906" w:h="16838"/>
          <w:pgMar w:top="1134" w:right="1134" w:bottom="1134" w:left="1134" w:header="851" w:footer="992" w:gutter="0"/>
          <w:pgNumType w:fmt="decimal" w:start="1"/>
          <w:cols w:space="720" w:num="1"/>
          <w:docGrid w:type="lines" w:linePitch="312" w:charSpace="0"/>
        </w:sectPr>
      </w:pPr>
    </w:p>
    <w:p>
      <w:pPr>
        <w:pStyle w:val="6"/>
        <w:jc w:val="center"/>
        <w:rPr>
          <w:rFonts w:hint="eastAsia" w:ascii="宋体" w:hAnsi="宋体" w:eastAsia="宋体" w:cs="宋体"/>
          <w:color w:val="auto"/>
          <w:sz w:val="24"/>
          <w:szCs w:val="24"/>
        </w:rPr>
      </w:pPr>
      <w:bookmarkStart w:id="522" w:name="_Toc304463256"/>
      <w:r>
        <w:rPr>
          <w:rFonts w:hint="eastAsia" w:ascii="宋体" w:hAnsi="宋体" w:eastAsia="宋体" w:cs="宋体"/>
          <w:color w:val="auto"/>
          <w:sz w:val="24"/>
          <w:szCs w:val="24"/>
        </w:rPr>
        <w:t>一、投标函及投标函附录</w:t>
      </w:r>
      <w:bookmarkEnd w:id="522"/>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（一）投标函</w:t>
      </w:r>
    </w:p>
    <w:p>
      <w:pPr>
        <w:tabs>
          <w:tab w:val="left" w:pos="36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（招标人）</w:t>
      </w:r>
    </w:p>
    <w:p>
      <w:pPr>
        <w:tabs>
          <w:tab w:val="left" w:pos="360"/>
        </w:tabs>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color w:val="auto"/>
          <w:sz w:val="24"/>
          <w:szCs w:val="24"/>
        </w:rPr>
        <w:t>根据已收到的贵方的标书编号为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标段工程监理招标文件，遵照《中华人民共和国招标投标法》等有关规定，经详细研究，我方决定参加该项目投标活动并投标，我们郑重声明以下诸点并负法律责任：</w:t>
      </w:r>
    </w:p>
    <w:p>
      <w:pPr>
        <w:numPr>
          <w:ilvl w:val="0"/>
          <w:numId w:val="14"/>
        </w:numPr>
        <w:tabs>
          <w:tab w:val="left" w:pos="360"/>
          <w:tab w:val="left" w:pos="425"/>
        </w:tabs>
        <w:spacing w:line="360" w:lineRule="auto"/>
        <w:ind w:left="0" w:firstLine="601"/>
        <w:rPr>
          <w:rFonts w:hint="eastAsia" w:ascii="宋体" w:hAnsi="宋体" w:eastAsia="宋体" w:cs="宋体"/>
          <w:color w:val="auto"/>
          <w:sz w:val="24"/>
          <w:szCs w:val="24"/>
        </w:rPr>
      </w:pPr>
      <w:r>
        <w:rPr>
          <w:rFonts w:hint="eastAsia" w:ascii="宋体" w:hAnsi="宋体" w:eastAsia="宋体" w:cs="宋体"/>
          <w:color w:val="auto"/>
          <w:sz w:val="24"/>
          <w:szCs w:val="24"/>
        </w:rPr>
        <w:t>我方已经详细审核了全部招标文件，包括修改、补充的文件（如果有的话）和参考数据，我方完全理解并同意放弃对这方面有不明及误解的权利；</w:t>
      </w:r>
    </w:p>
    <w:p>
      <w:pPr>
        <w:numPr>
          <w:ilvl w:val="0"/>
          <w:numId w:val="14"/>
        </w:numPr>
        <w:tabs>
          <w:tab w:val="left" w:pos="360"/>
          <w:tab w:val="left" w:pos="425"/>
        </w:tabs>
        <w:spacing w:line="360" w:lineRule="auto"/>
        <w:ind w:left="0" w:firstLine="601"/>
        <w:rPr>
          <w:rFonts w:hint="eastAsia" w:ascii="宋体" w:hAnsi="宋体" w:eastAsia="宋体" w:cs="宋体"/>
          <w:color w:val="auto"/>
          <w:sz w:val="24"/>
          <w:szCs w:val="24"/>
        </w:rPr>
      </w:pPr>
      <w:r>
        <w:rPr>
          <w:rFonts w:hint="eastAsia" w:ascii="宋体" w:hAnsi="宋体" w:eastAsia="宋体" w:cs="宋体"/>
          <w:color w:val="auto"/>
          <w:sz w:val="24"/>
          <w:szCs w:val="24"/>
        </w:rPr>
        <w:t>如果我方中标，我方</w:t>
      </w:r>
      <w:r>
        <w:rPr>
          <w:rFonts w:hint="eastAsia" w:ascii="宋体" w:hAnsi="宋体" w:eastAsia="宋体" w:cs="宋体"/>
          <w:color w:val="auto"/>
          <w:spacing w:val="-10"/>
          <w:sz w:val="24"/>
          <w:szCs w:val="24"/>
        </w:rPr>
        <w:t>愿按照招标文件中的条款和要求，提供监理服务与设备，投标报价为：</w:t>
      </w:r>
      <w:r>
        <w:rPr>
          <w:rFonts w:hint="eastAsia" w:ascii="宋体" w:hAnsi="宋体" w:eastAsia="宋体" w:cs="宋体"/>
          <w:color w:val="auto"/>
          <w:sz w:val="24"/>
          <w:szCs w:val="24"/>
        </w:rPr>
        <w:t>人民币（大写）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元（RMB</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w:t>
      </w:r>
    </w:p>
    <w:p>
      <w:pPr>
        <w:numPr>
          <w:ilvl w:val="0"/>
          <w:numId w:val="14"/>
        </w:numPr>
        <w:tabs>
          <w:tab w:val="left" w:pos="360"/>
          <w:tab w:val="left" w:pos="425"/>
        </w:tabs>
        <w:spacing w:line="360" w:lineRule="auto"/>
        <w:ind w:left="0" w:firstLine="601"/>
        <w:rPr>
          <w:rFonts w:hint="eastAsia" w:ascii="宋体" w:hAnsi="宋体" w:eastAsia="宋体" w:cs="宋体"/>
          <w:color w:val="auto"/>
          <w:sz w:val="24"/>
          <w:szCs w:val="24"/>
        </w:rPr>
      </w:pPr>
      <w:r>
        <w:rPr>
          <w:rFonts w:hint="eastAsia" w:ascii="宋体" w:hAnsi="宋体" w:eastAsia="宋体" w:cs="宋体"/>
          <w:color w:val="auto"/>
          <w:sz w:val="24"/>
          <w:szCs w:val="24"/>
        </w:rPr>
        <w:t>我方承认投标函附录是我方投标函的组成部分；</w:t>
      </w:r>
    </w:p>
    <w:p>
      <w:pPr>
        <w:numPr>
          <w:ilvl w:val="0"/>
          <w:numId w:val="14"/>
        </w:numPr>
        <w:tabs>
          <w:tab w:val="left" w:pos="360"/>
          <w:tab w:val="left" w:pos="425"/>
        </w:tabs>
        <w:spacing w:line="360" w:lineRule="auto"/>
        <w:ind w:left="0" w:firstLine="601"/>
        <w:rPr>
          <w:rFonts w:hint="eastAsia" w:ascii="宋体" w:hAnsi="宋体" w:eastAsia="宋体" w:cs="宋体"/>
          <w:color w:val="auto"/>
          <w:sz w:val="24"/>
          <w:szCs w:val="24"/>
        </w:rPr>
      </w:pPr>
      <w:r>
        <w:rPr>
          <w:rFonts w:hint="eastAsia" w:ascii="宋体" w:hAnsi="宋体" w:eastAsia="宋体" w:cs="宋体"/>
          <w:color w:val="auto"/>
          <w:sz w:val="24"/>
          <w:szCs w:val="24"/>
        </w:rPr>
        <w:t>如果我方中标，我方保证按招标文件的要求和招标人签订工程监理合同，成立</w:t>
      </w:r>
      <w:r>
        <w:rPr>
          <w:rFonts w:hint="eastAsia" w:ascii="宋体" w:hAnsi="宋体" w:eastAsia="宋体" w:cs="宋体"/>
          <w:color w:val="auto"/>
          <w:sz w:val="24"/>
          <w:szCs w:val="24"/>
          <w:u w:val="single"/>
        </w:rPr>
        <w:t xml:space="preserve">  （工程名称） </w:t>
      </w:r>
      <w:r>
        <w:rPr>
          <w:rFonts w:hint="eastAsia" w:ascii="宋体" w:hAnsi="宋体" w:eastAsia="宋体" w:cs="宋体"/>
          <w:color w:val="auto"/>
          <w:sz w:val="24"/>
          <w:szCs w:val="24"/>
        </w:rPr>
        <w:t xml:space="preserve">施工监理项目部，（监理期平均人数为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人，高峰期不少于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人，最少为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人；按招标文件要求选派专业监理工程师进驻施工现场实施监理合同；</w:t>
      </w:r>
    </w:p>
    <w:p>
      <w:pPr>
        <w:numPr>
          <w:ilvl w:val="0"/>
          <w:numId w:val="14"/>
        </w:numPr>
        <w:tabs>
          <w:tab w:val="left" w:pos="360"/>
          <w:tab w:val="left" w:pos="425"/>
        </w:tabs>
        <w:spacing w:line="360" w:lineRule="auto"/>
        <w:ind w:left="0" w:firstLine="601"/>
        <w:rPr>
          <w:rFonts w:hint="eastAsia" w:ascii="宋体" w:hAnsi="宋体" w:eastAsia="宋体" w:cs="宋体"/>
          <w:color w:val="auto"/>
          <w:sz w:val="24"/>
          <w:szCs w:val="24"/>
        </w:rPr>
      </w:pPr>
      <w:r>
        <w:rPr>
          <w:rFonts w:hint="eastAsia" w:ascii="宋体" w:hAnsi="宋体" w:eastAsia="宋体" w:cs="宋体"/>
          <w:color w:val="auto"/>
          <w:sz w:val="24"/>
          <w:szCs w:val="24"/>
        </w:rPr>
        <w:t>我方愿提供招标文件中要求的所有文件数据；</w:t>
      </w:r>
    </w:p>
    <w:p>
      <w:pPr>
        <w:numPr>
          <w:ilvl w:val="0"/>
          <w:numId w:val="14"/>
        </w:numPr>
        <w:tabs>
          <w:tab w:val="left" w:pos="360"/>
          <w:tab w:val="left" w:pos="425"/>
        </w:tabs>
        <w:spacing w:line="360" w:lineRule="auto"/>
        <w:ind w:left="0" w:firstLine="601"/>
        <w:rPr>
          <w:rFonts w:hint="eastAsia" w:ascii="宋体" w:hAnsi="宋体" w:eastAsia="宋体" w:cs="宋体"/>
          <w:color w:val="auto"/>
          <w:sz w:val="24"/>
          <w:szCs w:val="24"/>
        </w:rPr>
      </w:pPr>
      <w:r>
        <w:rPr>
          <w:rFonts w:hint="eastAsia" w:ascii="宋体" w:hAnsi="宋体" w:eastAsia="宋体" w:cs="宋体"/>
          <w:color w:val="auto"/>
          <w:sz w:val="24"/>
          <w:szCs w:val="24"/>
        </w:rPr>
        <w:t>我</w:t>
      </w:r>
      <w:r>
        <w:rPr>
          <w:rFonts w:hint="eastAsia" w:ascii="宋体" w:hAnsi="宋体" w:eastAsia="宋体" w:cs="宋体"/>
          <w:color w:val="auto"/>
          <w:spacing w:val="-10"/>
          <w:sz w:val="24"/>
          <w:szCs w:val="24"/>
        </w:rPr>
        <w:t>方</w:t>
      </w:r>
      <w:r>
        <w:rPr>
          <w:rFonts w:hint="eastAsia" w:ascii="宋体" w:hAnsi="宋体" w:eastAsia="宋体" w:cs="宋体"/>
          <w:color w:val="auto"/>
          <w:sz w:val="24"/>
          <w:szCs w:val="24"/>
        </w:rPr>
        <w:t>愿意按招标文件中的规定交纳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元的投标保证金；</w:t>
      </w:r>
    </w:p>
    <w:p>
      <w:pPr>
        <w:numPr>
          <w:ilvl w:val="0"/>
          <w:numId w:val="14"/>
        </w:numPr>
        <w:tabs>
          <w:tab w:val="left" w:pos="360"/>
          <w:tab w:val="left" w:pos="425"/>
        </w:tabs>
        <w:spacing w:line="360" w:lineRule="auto"/>
        <w:ind w:left="0" w:firstLine="601"/>
        <w:rPr>
          <w:rFonts w:hint="eastAsia" w:ascii="宋体" w:hAnsi="宋体" w:eastAsia="宋体" w:cs="宋体"/>
          <w:color w:val="auto"/>
          <w:sz w:val="24"/>
          <w:szCs w:val="24"/>
        </w:rPr>
      </w:pPr>
      <w:r>
        <w:rPr>
          <w:rFonts w:hint="eastAsia" w:ascii="宋体" w:hAnsi="宋体" w:eastAsia="宋体" w:cs="宋体"/>
          <w:color w:val="auto"/>
          <w:sz w:val="24"/>
          <w:szCs w:val="24"/>
        </w:rPr>
        <w:t>我方同意所递交的投标文件在招标文件规定的投标有效期内有效，在此期间我方投标有可能中标，我方将受此约束；</w:t>
      </w:r>
    </w:p>
    <w:p>
      <w:pPr>
        <w:numPr>
          <w:ilvl w:val="0"/>
          <w:numId w:val="14"/>
        </w:numPr>
        <w:tabs>
          <w:tab w:val="left" w:pos="360"/>
          <w:tab w:val="left" w:pos="425"/>
        </w:tabs>
        <w:spacing w:line="360" w:lineRule="auto"/>
        <w:ind w:left="0" w:firstLine="601"/>
        <w:rPr>
          <w:rFonts w:hint="eastAsia" w:ascii="宋体" w:hAnsi="宋体" w:eastAsia="宋体" w:cs="宋体"/>
          <w:color w:val="auto"/>
          <w:sz w:val="24"/>
          <w:szCs w:val="24"/>
        </w:rPr>
      </w:pPr>
      <w:r>
        <w:rPr>
          <w:rFonts w:hint="eastAsia" w:ascii="宋体" w:hAnsi="宋体" w:eastAsia="宋体" w:cs="宋体"/>
          <w:color w:val="auto"/>
          <w:sz w:val="24"/>
          <w:szCs w:val="24"/>
        </w:rPr>
        <w:t>除非另外达成协议并生效，贵方的中标通知书和本投标文件将构成约束我们双方的合同；</w:t>
      </w:r>
    </w:p>
    <w:p>
      <w:pPr>
        <w:numPr>
          <w:ilvl w:val="0"/>
          <w:numId w:val="14"/>
        </w:numPr>
        <w:tabs>
          <w:tab w:val="left" w:pos="360"/>
          <w:tab w:val="left" w:pos="425"/>
        </w:tabs>
        <w:spacing w:line="360" w:lineRule="auto"/>
        <w:ind w:left="0" w:firstLine="601"/>
        <w:rPr>
          <w:rFonts w:hint="eastAsia" w:ascii="宋体" w:hAnsi="宋体" w:eastAsia="宋体" w:cs="宋体"/>
          <w:color w:val="auto"/>
          <w:sz w:val="24"/>
          <w:szCs w:val="24"/>
        </w:rPr>
      </w:pPr>
      <w:r>
        <w:rPr>
          <w:rFonts w:hint="eastAsia" w:ascii="宋体" w:hAnsi="宋体" w:eastAsia="宋体" w:cs="宋体"/>
          <w:color w:val="auto"/>
          <w:sz w:val="24"/>
          <w:szCs w:val="24"/>
        </w:rPr>
        <w:t>我方理解招标人不一定接受最低报价。</w:t>
      </w:r>
    </w:p>
    <w:p>
      <w:pPr>
        <w:ind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投标人名称：（ 电子签章）                       </w:t>
      </w:r>
    </w:p>
    <w:p>
      <w:pPr>
        <w:ind w:firstLine="585"/>
        <w:rPr>
          <w:rFonts w:hint="eastAsia" w:ascii="宋体" w:hAnsi="宋体" w:eastAsia="宋体" w:cs="宋体"/>
          <w:color w:val="auto"/>
          <w:sz w:val="24"/>
          <w:szCs w:val="24"/>
        </w:rPr>
      </w:pPr>
    </w:p>
    <w:p>
      <w:pPr>
        <w:ind w:firstLine="480" w:firstLineChars="200"/>
        <w:jc w:val="right"/>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法定代表人或授权代表人（电子签</w:t>
      </w:r>
      <w:r>
        <w:rPr>
          <w:rFonts w:hint="eastAsia" w:ascii="宋体" w:hAnsi="宋体" w:eastAsia="宋体" w:cs="宋体"/>
          <w:color w:val="auto"/>
          <w:sz w:val="24"/>
          <w:szCs w:val="24"/>
          <w:lang w:val="en-US" w:eastAsia="zh-CN"/>
        </w:rPr>
        <w:t>名</w:t>
      </w:r>
      <w:r>
        <w:rPr>
          <w:rFonts w:hint="eastAsia" w:ascii="宋体" w:hAnsi="宋体" w:eastAsia="宋体" w:cs="宋体"/>
          <w:color w:val="auto"/>
          <w:sz w:val="24"/>
          <w:szCs w:val="24"/>
        </w:rPr>
        <w:t xml:space="preserve">或签字）：            </w:t>
      </w:r>
    </w:p>
    <w:p>
      <w:pPr>
        <w:ind w:firstLine="988" w:firstLineChars="412"/>
        <w:jc w:val="left"/>
        <w:rPr>
          <w:rFonts w:hint="eastAsia" w:ascii="宋体" w:hAnsi="宋体" w:eastAsia="宋体" w:cs="宋体"/>
          <w:color w:val="auto"/>
          <w:sz w:val="24"/>
          <w:szCs w:val="24"/>
        </w:rPr>
      </w:pPr>
    </w:p>
    <w:p>
      <w:pPr>
        <w:ind w:firstLine="480" w:firstLineChars="200"/>
        <w:jc w:val="right"/>
        <w:rPr>
          <w:rFonts w:hint="eastAsia" w:ascii="宋体" w:hAnsi="宋体" w:eastAsia="宋体" w:cs="宋体"/>
          <w:color w:val="auto"/>
          <w:sz w:val="24"/>
          <w:szCs w:val="24"/>
        </w:rPr>
      </w:pPr>
      <w:r>
        <w:rPr>
          <w:rFonts w:hint="eastAsia" w:ascii="宋体" w:hAnsi="宋体" w:eastAsia="宋体" w:cs="宋体"/>
          <w:color w:val="auto"/>
          <w:sz w:val="24"/>
          <w:szCs w:val="24"/>
        </w:rPr>
        <w:t>日    期：   年   月   日</w:t>
      </w:r>
    </w:p>
    <w:p>
      <w:pPr>
        <w:jc w:val="left"/>
        <w:rPr>
          <w:rFonts w:hint="eastAsia" w:ascii="宋体" w:hAnsi="宋体" w:eastAsia="宋体" w:cs="宋体"/>
          <w:color w:val="auto"/>
          <w:sz w:val="24"/>
          <w:szCs w:val="24"/>
        </w:rPr>
      </w:pPr>
    </w:p>
    <w:p>
      <w:pPr>
        <w:jc w:val="left"/>
        <w:rPr>
          <w:rFonts w:hint="eastAsia" w:ascii="宋体" w:hAnsi="宋体" w:eastAsia="宋体" w:cs="宋体"/>
          <w:b/>
          <w:color w:val="auto"/>
          <w:sz w:val="24"/>
          <w:szCs w:val="24"/>
        </w:rPr>
      </w:pPr>
      <w:r>
        <w:rPr>
          <w:rFonts w:hint="eastAsia" w:ascii="宋体" w:hAnsi="宋体" w:eastAsia="宋体" w:cs="宋体"/>
          <w:b/>
          <w:color w:val="auto"/>
          <w:sz w:val="24"/>
          <w:szCs w:val="24"/>
        </w:rPr>
        <w:t>注：因电子投标系统设定的投标函格式无法修改，又不能不填写，投标单位可依照系统要求，参照本投标函内容逐项填写；本投标函作为投标文件格式要求，投标单位依然要严格按照格式填写。</w:t>
      </w:r>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（二）投标函附录</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107"/>
        <w:gridCol w:w="1749"/>
        <w:gridCol w:w="710"/>
        <w:gridCol w:w="1219"/>
        <w:gridCol w:w="66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902"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5620" w:type="dxa"/>
            <w:gridSpan w:val="5"/>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902"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p>
        </w:tc>
        <w:tc>
          <w:tcPr>
            <w:tcW w:w="5620" w:type="dxa"/>
            <w:gridSpan w:val="5"/>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902"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投标人营业执照号</w:t>
            </w:r>
          </w:p>
        </w:tc>
        <w:tc>
          <w:tcPr>
            <w:tcW w:w="5620" w:type="dxa"/>
            <w:gridSpan w:val="5"/>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902"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投标人企业法人</w:t>
            </w:r>
          </w:p>
        </w:tc>
        <w:tc>
          <w:tcPr>
            <w:tcW w:w="5620" w:type="dxa"/>
            <w:gridSpan w:val="5"/>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902"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所投标段</w:t>
            </w:r>
          </w:p>
        </w:tc>
        <w:tc>
          <w:tcPr>
            <w:tcW w:w="5620" w:type="dxa"/>
            <w:gridSpan w:val="5"/>
            <w:noWrap w:val="0"/>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902"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投标范围</w:t>
            </w:r>
          </w:p>
        </w:tc>
        <w:tc>
          <w:tcPr>
            <w:tcW w:w="5620" w:type="dxa"/>
            <w:gridSpan w:val="5"/>
            <w:noWrap w:val="0"/>
            <w:vAlign w:val="center"/>
          </w:tcPr>
          <w:p>
            <w:pPr>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902" w:type="dxa"/>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监理服务期限</w:t>
            </w:r>
          </w:p>
        </w:tc>
        <w:tc>
          <w:tcPr>
            <w:tcW w:w="5620" w:type="dxa"/>
            <w:gridSpan w:val="5"/>
            <w:noWrap w:val="0"/>
            <w:vAlign w:val="center"/>
          </w:tcPr>
          <w:p>
            <w:pPr>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2902" w:type="dxa"/>
            <w:gridSpan w:val="2"/>
            <w:noWrap w:val="0"/>
            <w:vAlign w:val="center"/>
          </w:tcPr>
          <w:p>
            <w:pPr>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投标报价</w:t>
            </w:r>
          </w:p>
        </w:tc>
        <w:tc>
          <w:tcPr>
            <w:tcW w:w="5620" w:type="dxa"/>
            <w:gridSpan w:val="5"/>
            <w:noWrap w:val="0"/>
            <w:vAlign w:val="center"/>
          </w:tcPr>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小写：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2902" w:type="dxa"/>
            <w:gridSpan w:val="2"/>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总监理工程师</w:t>
            </w:r>
          </w:p>
        </w:tc>
        <w:tc>
          <w:tcPr>
            <w:tcW w:w="1749" w:type="dxa"/>
            <w:noWrap w:val="0"/>
            <w:vAlign w:val="center"/>
          </w:tcPr>
          <w:p>
            <w:pPr>
              <w:spacing w:line="360" w:lineRule="auto"/>
              <w:jc w:val="right"/>
              <w:rPr>
                <w:rFonts w:hint="eastAsia" w:ascii="宋体" w:hAnsi="宋体" w:eastAsia="宋体" w:cs="宋体"/>
                <w:color w:val="auto"/>
                <w:sz w:val="24"/>
                <w:szCs w:val="24"/>
              </w:rPr>
            </w:pPr>
          </w:p>
        </w:tc>
        <w:tc>
          <w:tcPr>
            <w:tcW w:w="710" w:type="dxa"/>
            <w:noWrap w:val="0"/>
            <w:vAlign w:val="center"/>
          </w:tcPr>
          <w:p>
            <w:pPr>
              <w:spacing w:line="360" w:lineRule="auto"/>
              <w:jc w:val="right"/>
              <w:rPr>
                <w:rFonts w:hint="eastAsia" w:ascii="宋体" w:hAnsi="宋体" w:eastAsia="宋体" w:cs="宋体"/>
                <w:color w:val="auto"/>
                <w:sz w:val="24"/>
                <w:szCs w:val="24"/>
              </w:rPr>
            </w:pPr>
            <w:r>
              <w:rPr>
                <w:rFonts w:hint="eastAsia" w:ascii="宋体" w:hAnsi="宋体" w:eastAsia="宋体" w:cs="宋体"/>
                <w:color w:val="auto"/>
                <w:sz w:val="24"/>
                <w:szCs w:val="24"/>
              </w:rPr>
              <w:t>注册证书</w:t>
            </w:r>
          </w:p>
        </w:tc>
        <w:tc>
          <w:tcPr>
            <w:tcW w:w="1219" w:type="dxa"/>
            <w:noWrap w:val="0"/>
            <w:vAlign w:val="center"/>
          </w:tcPr>
          <w:p>
            <w:pPr>
              <w:spacing w:line="360" w:lineRule="auto"/>
              <w:jc w:val="right"/>
              <w:rPr>
                <w:rFonts w:hint="eastAsia" w:ascii="宋体" w:hAnsi="宋体" w:eastAsia="宋体" w:cs="宋体"/>
                <w:color w:val="auto"/>
                <w:sz w:val="24"/>
                <w:szCs w:val="24"/>
              </w:rPr>
            </w:pPr>
          </w:p>
        </w:tc>
        <w:tc>
          <w:tcPr>
            <w:tcW w:w="666" w:type="dxa"/>
            <w:noWrap w:val="0"/>
            <w:vAlign w:val="center"/>
          </w:tcPr>
          <w:p>
            <w:pPr>
              <w:spacing w:line="360" w:lineRule="auto"/>
              <w:jc w:val="right"/>
              <w:rPr>
                <w:rFonts w:hint="eastAsia" w:ascii="宋体" w:hAnsi="宋体" w:eastAsia="宋体" w:cs="宋体"/>
                <w:color w:val="auto"/>
                <w:sz w:val="24"/>
                <w:szCs w:val="24"/>
              </w:rPr>
            </w:pPr>
            <w:r>
              <w:rPr>
                <w:rFonts w:hint="eastAsia" w:ascii="宋体" w:hAnsi="宋体" w:eastAsia="宋体" w:cs="宋体"/>
                <w:color w:val="auto"/>
                <w:sz w:val="24"/>
                <w:szCs w:val="24"/>
              </w:rPr>
              <w:t>编号</w:t>
            </w:r>
          </w:p>
        </w:tc>
        <w:tc>
          <w:tcPr>
            <w:tcW w:w="1276" w:type="dxa"/>
            <w:noWrap w:val="0"/>
            <w:vAlign w:val="center"/>
          </w:tcPr>
          <w:p>
            <w:pPr>
              <w:spacing w:line="360" w:lineRule="auto"/>
              <w:jc w:val="righ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2902" w:type="dxa"/>
            <w:gridSpan w:val="2"/>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计划进驻日期</w:t>
            </w:r>
          </w:p>
        </w:tc>
        <w:tc>
          <w:tcPr>
            <w:tcW w:w="5620" w:type="dxa"/>
            <w:gridSpan w:val="5"/>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接招标人进场通知后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795" w:type="dxa"/>
            <w:noWrap w:val="0"/>
            <w:vAlign w:val="center"/>
          </w:tcPr>
          <w:p>
            <w:pPr>
              <w:spacing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说明</w:t>
            </w:r>
          </w:p>
        </w:tc>
        <w:tc>
          <w:tcPr>
            <w:tcW w:w="7727" w:type="dxa"/>
            <w:gridSpan w:val="6"/>
            <w:noWrap w:val="0"/>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1、如果贵方接受我方的投标，我方保证按合同规定安排完成全部监理任务。</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2、贵单位招标文件、中标通知书和本投标文件将构成约束我们双方的合同。</w:t>
            </w:r>
          </w:p>
        </w:tc>
      </w:tr>
    </w:tbl>
    <w:p>
      <w:pPr>
        <w:spacing w:line="440" w:lineRule="exact"/>
        <w:rPr>
          <w:rFonts w:hint="eastAsia" w:ascii="宋体" w:hAnsi="宋体" w:eastAsia="宋体" w:cs="宋体"/>
          <w:color w:val="auto"/>
          <w:sz w:val="24"/>
          <w:szCs w:val="24"/>
        </w:rPr>
      </w:pPr>
      <w:bookmarkStart w:id="523" w:name="_Toc304463257"/>
      <w:r>
        <w:rPr>
          <w:rFonts w:hint="eastAsia" w:ascii="宋体" w:hAnsi="宋体" w:eastAsia="宋体" w:cs="宋体"/>
          <w:color w:val="auto"/>
          <w:sz w:val="24"/>
          <w:szCs w:val="24"/>
        </w:rPr>
        <w:t>投标人（电子签章）：</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法定代表人或其授权委托人（电子签</w:t>
      </w:r>
      <w:r>
        <w:rPr>
          <w:rFonts w:hint="eastAsia" w:ascii="宋体" w:hAnsi="宋体" w:eastAsia="宋体" w:cs="宋体"/>
          <w:color w:val="auto"/>
          <w:sz w:val="24"/>
          <w:szCs w:val="24"/>
          <w:lang w:val="en-US" w:eastAsia="zh-CN"/>
        </w:rPr>
        <w:t>名</w:t>
      </w:r>
      <w:r>
        <w:rPr>
          <w:rFonts w:hint="eastAsia" w:ascii="宋体" w:hAnsi="宋体" w:eastAsia="宋体" w:cs="宋体"/>
          <w:color w:val="auto"/>
          <w:sz w:val="24"/>
          <w:szCs w:val="24"/>
        </w:rPr>
        <w:t xml:space="preserve">或签字）：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日期：</w:t>
      </w:r>
      <w:bookmarkEnd w:id="523"/>
      <w:bookmarkStart w:id="524" w:name="_Toc20148"/>
      <w:bookmarkStart w:id="525" w:name="_Toc2610"/>
    </w:p>
    <w:p>
      <w:pPr>
        <w:pStyle w:val="6"/>
        <w:numPr>
          <w:ilvl w:val="3"/>
          <w:numId w:val="0"/>
        </w:numPr>
        <w:ind w:leftChars="0"/>
        <w:jc w:val="both"/>
        <w:rPr>
          <w:rFonts w:hint="eastAsia" w:ascii="宋体" w:hAnsi="宋体" w:eastAsia="宋体" w:cs="宋体"/>
          <w:color w:val="auto"/>
          <w:sz w:val="24"/>
          <w:szCs w:val="24"/>
        </w:rPr>
      </w:pPr>
    </w:p>
    <w:p>
      <w:pPr>
        <w:pStyle w:val="6"/>
        <w:numPr>
          <w:ilvl w:val="3"/>
          <w:numId w:val="0"/>
        </w:numPr>
        <w:ind w:leftChars="0"/>
        <w:jc w:val="center"/>
        <w:rPr>
          <w:rFonts w:hint="eastAsia" w:ascii="宋体" w:hAnsi="宋体" w:eastAsia="宋体" w:cs="宋体"/>
          <w:color w:val="auto"/>
          <w:sz w:val="24"/>
          <w:szCs w:val="24"/>
        </w:rPr>
      </w:pPr>
    </w:p>
    <w:p>
      <w:pPr>
        <w:pStyle w:val="6"/>
        <w:numPr>
          <w:ilvl w:val="3"/>
          <w:numId w:val="0"/>
        </w:numPr>
        <w:ind w:left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二、法定代表人身份证明</w:t>
      </w:r>
      <w:bookmarkEnd w:id="524"/>
      <w:bookmarkEnd w:id="525"/>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投标人名称：______________</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单位性质：________________</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地址：____________________</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成立时间：______年______月______日</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经营期限：________________</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姓名：_________性别：_____年龄：______职务：________</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系________________（投标人名称）的法定代表人。</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440" w:lineRule="exact"/>
        <w:ind w:firstLine="480" w:firstLineChars="20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（电子签章）</w:t>
      </w:r>
    </w:p>
    <w:p>
      <w:pPr>
        <w:spacing w:line="440" w:lineRule="exact"/>
        <w:ind w:firstLine="480" w:firstLineChars="200"/>
        <w:jc w:val="center"/>
        <w:rPr>
          <w:rFonts w:hint="eastAsia" w:ascii="宋体" w:hAnsi="宋体" w:eastAsia="宋体" w:cs="宋体"/>
          <w:color w:val="auto"/>
          <w:sz w:val="24"/>
          <w:szCs w:val="24"/>
          <w:u w:val="single"/>
        </w:rPr>
      </w:pPr>
      <w:r>
        <w:rPr>
          <w:rFonts w:hint="eastAsia" w:ascii="宋体" w:hAnsi="宋体" w:eastAsia="宋体" w:cs="宋体"/>
          <w:bCs/>
          <w:color w:val="auto"/>
          <w:sz w:val="24"/>
          <w:szCs w:val="24"/>
        </w:rPr>
        <w:t xml:space="preserve">              日  期：</w:t>
      </w:r>
      <w:r>
        <w:rPr>
          <w:rFonts w:hint="eastAsia" w:ascii="宋体" w:hAnsi="宋体" w:eastAsia="宋体" w:cs="宋体"/>
          <w:color w:val="auto"/>
          <w:sz w:val="24"/>
          <w:szCs w:val="24"/>
          <w:u w:val="single"/>
        </w:rPr>
        <w:t xml:space="preserve">               </w:t>
      </w:r>
    </w:p>
    <w:p>
      <w:pPr>
        <w:pStyle w:val="28"/>
        <w:ind w:firstLine="240"/>
        <w:rPr>
          <w:rFonts w:hint="eastAsia" w:ascii="宋体" w:hAnsi="宋体" w:eastAsia="宋体" w:cs="宋体"/>
          <w:color w:val="auto"/>
          <w:sz w:val="24"/>
          <w:szCs w:val="24"/>
        </w:rPr>
      </w:pPr>
      <w:r>
        <w:rPr>
          <w:rFonts w:hint="eastAsia" w:ascii="宋体" w:hAnsi="宋体" w:eastAsia="宋体" w:cs="宋体"/>
          <w:color w:val="auto"/>
          <w:sz w:val="24"/>
          <w:szCs w:val="24"/>
        </w:rPr>
        <w:t>附：法定代表人身份证扫描件</w:t>
      </w:r>
    </w:p>
    <w:p>
      <w:pPr>
        <w:pStyle w:val="28"/>
        <w:ind w:firstLine="210"/>
        <w:rPr>
          <w:rFonts w:hint="eastAsia" w:ascii="宋体" w:hAnsi="宋体" w:eastAsia="宋体" w:cs="宋体"/>
          <w:color w:val="auto"/>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pStyle w:val="8"/>
        <w:ind w:firstLine="480"/>
        <w:rPr>
          <w:rFonts w:hint="eastAsia" w:ascii="宋体" w:hAnsi="宋体" w:eastAsia="宋体" w:cs="宋体"/>
          <w:color w:val="auto"/>
          <w:sz w:val="24"/>
          <w:szCs w:val="24"/>
        </w:rPr>
      </w:pPr>
    </w:p>
    <w:p>
      <w:pPr>
        <w:rPr>
          <w:rFonts w:hint="eastAsia" w:ascii="宋体" w:hAnsi="宋体" w:eastAsia="宋体" w:cs="宋体"/>
        </w:rPr>
      </w:pPr>
      <w:bookmarkStart w:id="526" w:name="_Toc342615454"/>
      <w:bookmarkStart w:id="527" w:name="_Toc1209"/>
      <w:bookmarkStart w:id="528" w:name="_Toc22690"/>
    </w:p>
    <w:p>
      <w:pPr>
        <w:pStyle w:val="6"/>
        <w:jc w:val="center"/>
        <w:rPr>
          <w:rFonts w:hint="eastAsia" w:ascii="宋体" w:hAnsi="宋体" w:eastAsia="宋体" w:cs="宋体"/>
          <w:color w:val="auto"/>
          <w:sz w:val="24"/>
          <w:szCs w:val="24"/>
        </w:rPr>
      </w:pPr>
      <w:r>
        <w:rPr>
          <w:rFonts w:hint="eastAsia" w:ascii="宋体" w:hAnsi="宋体" w:eastAsia="宋体" w:cs="宋体"/>
          <w:color w:val="auto"/>
          <w:sz w:val="24"/>
          <w:szCs w:val="24"/>
        </w:rPr>
        <w:t>三、法定代表人授权委托书</w:t>
      </w:r>
      <w:bookmarkEnd w:id="526"/>
      <w:bookmarkEnd w:id="527"/>
      <w:bookmarkEnd w:id="528"/>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人________（姓名）系________________（投标人名称）的法定代表人，现委托________（姓名）为我方代理人。代理人根据授权，以我方名义签署、澄清、说明、补正、递交、撤回、修改___________（项目名称）的投标文件、签订合同和处理有关事宜，其法律后果由我方承担。</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委托期限：</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代理人无转委托权。</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附：法定代表人身份证复印件</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授权委托人身份证复印件</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投标人：________________（电子签章）</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法定代表人：________________（电子签</w:t>
      </w:r>
      <w:r>
        <w:rPr>
          <w:rFonts w:hint="eastAsia" w:ascii="宋体" w:hAnsi="宋体" w:eastAsia="宋体" w:cs="宋体"/>
          <w:color w:val="auto"/>
          <w:sz w:val="24"/>
          <w:szCs w:val="24"/>
          <w:lang w:val="en-US" w:eastAsia="zh-CN"/>
        </w:rPr>
        <w:t>名或签字</w:t>
      </w:r>
      <w:r>
        <w:rPr>
          <w:rFonts w:hint="eastAsia" w:ascii="宋体" w:hAnsi="宋体" w:eastAsia="宋体" w:cs="宋体"/>
          <w:color w:val="auto"/>
          <w:sz w:val="24"/>
          <w:szCs w:val="24"/>
        </w:rPr>
        <w:t>）</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身份证号码：________________________</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授权委托人：________________（签字或电子签</w:t>
      </w:r>
      <w:r>
        <w:rPr>
          <w:rFonts w:hint="eastAsia" w:ascii="宋体" w:hAnsi="宋体" w:eastAsia="宋体" w:cs="宋体"/>
          <w:color w:val="auto"/>
          <w:sz w:val="24"/>
          <w:szCs w:val="24"/>
          <w:lang w:val="en-US" w:eastAsia="zh-CN"/>
        </w:rPr>
        <w:t>名</w:t>
      </w:r>
      <w:r>
        <w:rPr>
          <w:rFonts w:hint="eastAsia" w:ascii="宋体" w:hAnsi="宋体" w:eastAsia="宋体" w:cs="宋体"/>
          <w:color w:val="auto"/>
          <w:sz w:val="24"/>
          <w:szCs w:val="24"/>
        </w:rPr>
        <w:t>或打印）</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身份证号码：________________________</w:t>
      </w:r>
    </w:p>
    <w:p>
      <w:pPr>
        <w:spacing w:line="360" w:lineRule="auto"/>
        <w:ind w:firstLine="5880" w:firstLineChars="245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6"/>
        <w:jc w:val="center"/>
        <w:rPr>
          <w:rFonts w:hint="eastAsia" w:ascii="宋体" w:hAnsi="宋体" w:eastAsia="宋体" w:cs="宋体"/>
          <w:color w:val="auto"/>
          <w:sz w:val="24"/>
          <w:szCs w:val="24"/>
        </w:rPr>
      </w:pPr>
      <w:bookmarkStart w:id="529" w:name="_Toc287627620"/>
      <w:bookmarkStart w:id="530" w:name="_Toc304463259"/>
      <w:bookmarkStart w:id="531" w:name="_Toc184635142"/>
      <w:bookmarkStart w:id="532" w:name="_Toc295376555"/>
      <w:r>
        <w:rPr>
          <w:rFonts w:hint="eastAsia" w:ascii="宋体" w:hAnsi="宋体" w:eastAsia="宋体" w:cs="宋体"/>
          <w:color w:val="auto"/>
          <w:sz w:val="24"/>
          <w:szCs w:val="24"/>
        </w:rPr>
        <w:br w:type="page"/>
      </w:r>
      <w:r>
        <w:rPr>
          <w:rFonts w:hint="eastAsia" w:ascii="宋体" w:hAnsi="宋体" w:eastAsia="宋体" w:cs="宋体"/>
          <w:color w:val="auto"/>
          <w:sz w:val="24"/>
          <w:szCs w:val="24"/>
        </w:rPr>
        <w:t>四、投标保证金</w:t>
      </w:r>
      <w:bookmarkEnd w:id="529"/>
      <w:bookmarkEnd w:id="530"/>
      <w:bookmarkEnd w:id="531"/>
      <w:bookmarkEnd w:id="532"/>
    </w:p>
    <w:p>
      <w:pPr>
        <w:spacing w:line="360" w:lineRule="auto"/>
        <w:jc w:val="center"/>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 xml:space="preserve"> （附缴纳证明复印件加盖公章）</w:t>
      </w:r>
    </w:p>
    <w:p>
      <w:pPr>
        <w:spacing w:line="440" w:lineRule="exact"/>
        <w:rPr>
          <w:rFonts w:hint="eastAsia" w:ascii="宋体" w:hAnsi="宋体" w:eastAsia="宋体" w:cs="宋体"/>
          <w:color w:val="auto"/>
          <w:sz w:val="24"/>
          <w:szCs w:val="24"/>
        </w:rPr>
      </w:pPr>
    </w:p>
    <w:p>
      <w:pPr>
        <w:spacing w:line="440" w:lineRule="exact"/>
        <w:rPr>
          <w:rFonts w:hint="eastAsia" w:ascii="宋体" w:hAnsi="宋体" w:eastAsia="宋体" w:cs="宋体"/>
          <w:color w:val="auto"/>
          <w:sz w:val="24"/>
          <w:szCs w:val="24"/>
        </w:rPr>
      </w:pPr>
    </w:p>
    <w:p>
      <w:pPr>
        <w:spacing w:line="440" w:lineRule="exact"/>
        <w:rPr>
          <w:rFonts w:hint="eastAsia" w:ascii="宋体" w:hAnsi="宋体" w:eastAsia="宋体" w:cs="宋体"/>
          <w:color w:val="auto"/>
          <w:sz w:val="24"/>
          <w:szCs w:val="24"/>
        </w:rPr>
      </w:pPr>
    </w:p>
    <w:p>
      <w:pPr>
        <w:spacing w:line="440" w:lineRule="exact"/>
        <w:rPr>
          <w:rFonts w:hint="eastAsia" w:ascii="宋体" w:hAnsi="宋体" w:eastAsia="宋体" w:cs="宋体"/>
          <w:color w:val="auto"/>
          <w:sz w:val="24"/>
          <w:szCs w:val="24"/>
        </w:rPr>
      </w:pPr>
    </w:p>
    <w:p>
      <w:pPr>
        <w:spacing w:line="440" w:lineRule="exact"/>
        <w:rPr>
          <w:rFonts w:hint="eastAsia" w:ascii="宋体" w:hAnsi="宋体" w:eastAsia="宋体" w:cs="宋体"/>
          <w:color w:val="auto"/>
          <w:sz w:val="24"/>
          <w:szCs w:val="24"/>
        </w:rPr>
      </w:pPr>
    </w:p>
    <w:p>
      <w:pPr>
        <w:spacing w:line="440" w:lineRule="exact"/>
        <w:rPr>
          <w:rFonts w:hint="eastAsia" w:ascii="宋体" w:hAnsi="宋体" w:eastAsia="宋体" w:cs="宋体"/>
          <w:color w:val="auto"/>
          <w:sz w:val="24"/>
          <w:szCs w:val="24"/>
        </w:rPr>
      </w:pPr>
    </w:p>
    <w:p>
      <w:pPr>
        <w:pStyle w:val="45"/>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45"/>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45"/>
        <w:rPr>
          <w:rFonts w:hint="eastAsia" w:ascii="宋体" w:hAnsi="宋体" w:eastAsia="宋体" w:cs="宋体"/>
        </w:rPr>
      </w:pPr>
    </w:p>
    <w:p>
      <w:pPr>
        <w:spacing w:line="440" w:lineRule="exact"/>
        <w:rPr>
          <w:rFonts w:hint="eastAsia" w:ascii="宋体" w:hAnsi="宋体" w:eastAsia="宋体" w:cs="宋体"/>
          <w:color w:val="auto"/>
          <w:sz w:val="24"/>
          <w:szCs w:val="24"/>
        </w:rPr>
      </w:pP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投标人（电子签章）：</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法定代表人或其授权委托人（电子签</w:t>
      </w:r>
      <w:r>
        <w:rPr>
          <w:rFonts w:hint="eastAsia" w:ascii="宋体" w:hAnsi="宋体" w:eastAsia="宋体" w:cs="宋体"/>
          <w:color w:val="auto"/>
          <w:sz w:val="24"/>
          <w:szCs w:val="24"/>
          <w:lang w:val="en-US" w:eastAsia="zh-CN"/>
        </w:rPr>
        <w:t>名或签字</w:t>
      </w: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日期：</w:t>
      </w:r>
    </w:p>
    <w:p>
      <w:pPr>
        <w:spacing w:line="360" w:lineRule="auto"/>
        <w:jc w:val="center"/>
        <w:rPr>
          <w:rFonts w:hint="eastAsia" w:ascii="宋体" w:hAnsi="宋体" w:eastAsia="宋体" w:cs="宋体"/>
          <w:color w:val="auto"/>
          <w:sz w:val="24"/>
          <w:szCs w:val="24"/>
          <w:u w:val="single"/>
        </w:rPr>
      </w:pPr>
    </w:p>
    <w:p>
      <w:pPr>
        <w:spacing w:line="360" w:lineRule="auto"/>
        <w:jc w:val="center"/>
        <w:rPr>
          <w:rFonts w:hint="eastAsia" w:ascii="宋体" w:hAnsi="宋体" w:eastAsia="宋体" w:cs="宋体"/>
          <w:color w:val="auto"/>
          <w:sz w:val="24"/>
          <w:szCs w:val="24"/>
          <w:u w:val="single"/>
        </w:rPr>
      </w:pPr>
    </w:p>
    <w:p>
      <w:pPr>
        <w:spacing w:line="360" w:lineRule="auto"/>
        <w:jc w:val="center"/>
        <w:rPr>
          <w:rFonts w:hint="eastAsia" w:ascii="宋体" w:hAnsi="宋体" w:eastAsia="宋体" w:cs="宋体"/>
          <w:color w:val="auto"/>
          <w:sz w:val="24"/>
          <w:szCs w:val="24"/>
          <w:u w:val="single"/>
        </w:rPr>
      </w:pPr>
    </w:p>
    <w:p>
      <w:pPr>
        <w:spacing w:line="360" w:lineRule="auto"/>
        <w:jc w:val="center"/>
        <w:rPr>
          <w:rFonts w:hint="eastAsia" w:ascii="宋体" w:hAnsi="宋体" w:eastAsia="宋体" w:cs="宋体"/>
          <w:color w:val="auto"/>
          <w:sz w:val="24"/>
          <w:szCs w:val="24"/>
          <w:u w:val="single"/>
        </w:rPr>
      </w:pPr>
    </w:p>
    <w:p>
      <w:pPr>
        <w:spacing w:line="360" w:lineRule="auto"/>
        <w:jc w:val="center"/>
        <w:rPr>
          <w:rFonts w:hint="eastAsia" w:ascii="宋体" w:hAnsi="宋体" w:eastAsia="宋体" w:cs="宋体"/>
          <w:color w:val="auto"/>
          <w:sz w:val="24"/>
          <w:szCs w:val="24"/>
          <w:u w:val="single"/>
        </w:rPr>
      </w:pPr>
    </w:p>
    <w:p>
      <w:pPr>
        <w:spacing w:line="360" w:lineRule="auto"/>
        <w:jc w:val="center"/>
        <w:rPr>
          <w:rFonts w:hint="eastAsia" w:ascii="宋体" w:hAnsi="宋体" w:eastAsia="宋体" w:cs="宋体"/>
          <w:color w:val="auto"/>
          <w:sz w:val="24"/>
          <w:szCs w:val="24"/>
          <w:u w:val="single"/>
        </w:rPr>
      </w:pPr>
    </w:p>
    <w:p>
      <w:pPr>
        <w:spacing w:line="360" w:lineRule="auto"/>
        <w:jc w:val="center"/>
        <w:rPr>
          <w:rFonts w:hint="eastAsia" w:ascii="宋体" w:hAnsi="宋体" w:eastAsia="宋体" w:cs="宋体"/>
          <w:color w:val="auto"/>
          <w:sz w:val="24"/>
          <w:szCs w:val="24"/>
          <w:u w:val="single"/>
        </w:rPr>
      </w:pPr>
    </w:p>
    <w:p>
      <w:pPr>
        <w:pStyle w:val="45"/>
        <w:rPr>
          <w:rFonts w:hint="eastAsia" w:ascii="宋体" w:hAnsi="宋体" w:eastAsia="宋体" w:cs="宋体"/>
          <w:color w:val="auto"/>
          <w:sz w:val="24"/>
          <w:szCs w:val="24"/>
          <w:u w:val="single"/>
        </w:rPr>
      </w:pPr>
    </w:p>
    <w:p>
      <w:pPr>
        <w:rPr>
          <w:rFonts w:hint="eastAsia" w:ascii="宋体" w:hAnsi="宋体" w:eastAsia="宋体" w:cs="宋体"/>
          <w:color w:val="auto"/>
          <w:sz w:val="24"/>
          <w:szCs w:val="24"/>
          <w:u w:val="single"/>
        </w:rPr>
      </w:pPr>
    </w:p>
    <w:p>
      <w:pPr>
        <w:rPr>
          <w:rFonts w:hint="eastAsia" w:ascii="宋体" w:hAnsi="宋体" w:eastAsia="宋体" w:cs="宋体"/>
          <w:color w:val="auto"/>
          <w:sz w:val="24"/>
          <w:szCs w:val="24"/>
          <w:u w:val="single"/>
        </w:rPr>
      </w:pPr>
    </w:p>
    <w:p>
      <w:pPr>
        <w:rPr>
          <w:rFonts w:hint="eastAsia" w:ascii="宋体" w:hAnsi="宋体" w:eastAsia="宋体" w:cs="宋体"/>
          <w:color w:val="auto"/>
          <w:sz w:val="24"/>
          <w:szCs w:val="24"/>
          <w:u w:val="single"/>
        </w:rPr>
      </w:pPr>
    </w:p>
    <w:p>
      <w:pPr>
        <w:rPr>
          <w:rFonts w:hint="eastAsia" w:ascii="宋体" w:hAnsi="宋体" w:eastAsia="宋体" w:cs="宋体"/>
          <w:color w:val="auto"/>
          <w:sz w:val="24"/>
          <w:szCs w:val="24"/>
          <w:u w:val="single"/>
        </w:rPr>
      </w:pPr>
    </w:p>
    <w:p>
      <w:pPr>
        <w:rPr>
          <w:rFonts w:hint="eastAsia" w:ascii="宋体" w:hAnsi="宋体" w:eastAsia="宋体" w:cs="宋体"/>
          <w:color w:val="auto"/>
          <w:sz w:val="24"/>
          <w:szCs w:val="24"/>
          <w:u w:val="single"/>
        </w:rPr>
      </w:pPr>
    </w:p>
    <w:p>
      <w:pPr>
        <w:rPr>
          <w:rFonts w:hint="eastAsia" w:ascii="宋体" w:hAnsi="宋体" w:eastAsia="宋体" w:cs="宋体"/>
          <w:color w:val="auto"/>
          <w:sz w:val="24"/>
          <w:szCs w:val="24"/>
          <w:u w:val="single"/>
        </w:rPr>
      </w:pPr>
    </w:p>
    <w:p>
      <w:pPr>
        <w:rPr>
          <w:rFonts w:hint="eastAsia" w:ascii="宋体" w:hAnsi="宋体" w:eastAsia="宋体" w:cs="宋体"/>
          <w:color w:val="auto"/>
          <w:sz w:val="24"/>
          <w:szCs w:val="24"/>
          <w:u w:val="single"/>
        </w:rPr>
      </w:pPr>
    </w:p>
    <w:p>
      <w:pPr>
        <w:rPr>
          <w:rFonts w:hint="eastAsia" w:ascii="宋体" w:hAnsi="宋体" w:eastAsia="宋体" w:cs="宋体"/>
          <w:color w:val="auto"/>
          <w:sz w:val="24"/>
          <w:szCs w:val="24"/>
          <w:u w:val="single"/>
        </w:rPr>
      </w:pPr>
    </w:p>
    <w:p>
      <w:pPr>
        <w:rPr>
          <w:rFonts w:hint="eastAsia" w:ascii="宋体" w:hAnsi="宋体" w:eastAsia="宋体" w:cs="宋体"/>
          <w:color w:val="auto"/>
          <w:sz w:val="24"/>
          <w:szCs w:val="24"/>
          <w:u w:val="single"/>
        </w:rPr>
      </w:pPr>
    </w:p>
    <w:p>
      <w:pPr>
        <w:rPr>
          <w:rFonts w:hint="eastAsia" w:ascii="宋体" w:hAnsi="宋体" w:eastAsia="宋体" w:cs="宋体"/>
          <w:color w:val="auto"/>
          <w:sz w:val="24"/>
          <w:szCs w:val="24"/>
          <w:u w:val="single"/>
        </w:rPr>
      </w:pPr>
    </w:p>
    <w:p>
      <w:pPr>
        <w:pStyle w:val="45"/>
        <w:rPr>
          <w:rFonts w:hint="eastAsia" w:ascii="宋体" w:hAnsi="宋体" w:eastAsia="宋体" w:cs="宋体"/>
        </w:rPr>
      </w:pPr>
    </w:p>
    <w:p>
      <w:pPr>
        <w:rPr>
          <w:rFonts w:hint="eastAsia" w:ascii="宋体" w:hAnsi="宋体" w:eastAsia="宋体" w:cs="宋体"/>
          <w:b/>
          <w:color w:val="auto"/>
          <w:sz w:val="24"/>
          <w:szCs w:val="24"/>
        </w:rPr>
      </w:pPr>
      <w:r>
        <w:rPr>
          <w:rFonts w:hint="eastAsia" w:ascii="宋体" w:hAnsi="宋体" w:eastAsia="宋体" w:cs="宋体"/>
          <w:b/>
          <w:color w:val="auto"/>
          <w:sz w:val="24"/>
          <w:szCs w:val="24"/>
        </w:rPr>
        <w:t>附表1                    项目监理机构组成表</w:t>
      </w:r>
    </w:p>
    <w:p>
      <w:pPr>
        <w:spacing w:line="360" w:lineRule="auto"/>
        <w:rPr>
          <w:rFonts w:hint="eastAsia" w:ascii="宋体" w:hAnsi="宋体" w:eastAsia="宋体" w:cs="宋体"/>
          <w:color w:val="auto"/>
          <w:sz w:val="24"/>
          <w:szCs w:val="24"/>
        </w:rPr>
      </w:pP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1391"/>
        <w:gridCol w:w="1150"/>
        <w:gridCol w:w="1339"/>
        <w:gridCol w:w="1275"/>
        <w:gridCol w:w="1277"/>
        <w:gridCol w:w="1279"/>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381"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职务</w:t>
            </w:r>
          </w:p>
        </w:tc>
        <w:tc>
          <w:tcPr>
            <w:tcW w:w="698"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577"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职称</w:t>
            </w:r>
          </w:p>
        </w:tc>
        <w:tc>
          <w:tcPr>
            <w:tcW w:w="2595" w:type="pct"/>
            <w:gridSpan w:val="4"/>
            <w:noWrap w:val="0"/>
            <w:vAlign w:val="center"/>
          </w:tcPr>
          <w:p>
            <w:pPr>
              <w:spacing w:line="360" w:lineRule="auto"/>
              <w:ind w:right="-269" w:rightChars="-128"/>
              <w:jc w:val="center"/>
              <w:rPr>
                <w:rFonts w:hint="eastAsia" w:ascii="宋体" w:hAnsi="宋体" w:eastAsia="宋体" w:cs="宋体"/>
                <w:color w:val="auto"/>
                <w:sz w:val="24"/>
                <w:szCs w:val="24"/>
              </w:rPr>
            </w:pPr>
            <w:r>
              <w:rPr>
                <w:rFonts w:hint="eastAsia" w:ascii="宋体" w:hAnsi="宋体" w:eastAsia="宋体" w:cs="宋体"/>
                <w:color w:val="auto"/>
                <w:sz w:val="24"/>
                <w:szCs w:val="24"/>
              </w:rPr>
              <w:t>执业或职业资格证明</w:t>
            </w:r>
          </w:p>
        </w:tc>
        <w:tc>
          <w:tcPr>
            <w:tcW w:w="747"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81" w:type="pct"/>
            <w:vMerge w:val="continue"/>
            <w:noWrap w:val="0"/>
            <w:vAlign w:val="center"/>
          </w:tcPr>
          <w:p>
            <w:pPr>
              <w:widowControl/>
              <w:jc w:val="left"/>
              <w:rPr>
                <w:rFonts w:hint="eastAsia" w:ascii="宋体" w:hAnsi="宋体" w:eastAsia="宋体" w:cs="宋体"/>
                <w:color w:val="auto"/>
                <w:sz w:val="24"/>
                <w:szCs w:val="24"/>
              </w:rPr>
            </w:pPr>
          </w:p>
        </w:tc>
        <w:tc>
          <w:tcPr>
            <w:tcW w:w="698" w:type="pct"/>
            <w:vMerge w:val="continue"/>
            <w:noWrap w:val="0"/>
            <w:vAlign w:val="center"/>
          </w:tcPr>
          <w:p>
            <w:pPr>
              <w:widowControl/>
              <w:jc w:val="left"/>
              <w:rPr>
                <w:rFonts w:hint="eastAsia" w:ascii="宋体" w:hAnsi="宋体" w:eastAsia="宋体" w:cs="宋体"/>
                <w:color w:val="auto"/>
                <w:sz w:val="24"/>
                <w:szCs w:val="24"/>
              </w:rPr>
            </w:pPr>
          </w:p>
        </w:tc>
        <w:tc>
          <w:tcPr>
            <w:tcW w:w="577" w:type="pct"/>
            <w:vMerge w:val="continue"/>
            <w:noWrap w:val="0"/>
            <w:vAlign w:val="center"/>
          </w:tcPr>
          <w:p>
            <w:pPr>
              <w:widowControl/>
              <w:jc w:val="left"/>
              <w:rPr>
                <w:rFonts w:hint="eastAsia" w:ascii="宋体" w:hAnsi="宋体" w:eastAsia="宋体" w:cs="宋体"/>
                <w:color w:val="auto"/>
                <w:sz w:val="24"/>
                <w:szCs w:val="24"/>
              </w:rPr>
            </w:pPr>
          </w:p>
        </w:tc>
        <w:tc>
          <w:tcPr>
            <w:tcW w:w="672"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证书名称</w:t>
            </w:r>
          </w:p>
        </w:tc>
        <w:tc>
          <w:tcPr>
            <w:tcW w:w="640"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级别</w:t>
            </w:r>
          </w:p>
        </w:tc>
        <w:tc>
          <w:tcPr>
            <w:tcW w:w="641"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证号</w:t>
            </w:r>
          </w:p>
        </w:tc>
        <w:tc>
          <w:tcPr>
            <w:tcW w:w="641"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w:t>
            </w:r>
          </w:p>
        </w:tc>
        <w:tc>
          <w:tcPr>
            <w:tcW w:w="747"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宋体" w:hAnsi="宋体" w:eastAsia="宋体" w:cs="宋体"/>
                <w:color w:val="auto"/>
                <w:sz w:val="24"/>
                <w:szCs w:val="24"/>
              </w:rPr>
            </w:pPr>
          </w:p>
        </w:tc>
        <w:tc>
          <w:tcPr>
            <w:tcW w:w="698" w:type="pct"/>
            <w:noWrap w:val="0"/>
            <w:vAlign w:val="top"/>
          </w:tcPr>
          <w:p>
            <w:pPr>
              <w:spacing w:line="360" w:lineRule="auto"/>
              <w:rPr>
                <w:rFonts w:hint="eastAsia" w:ascii="宋体" w:hAnsi="宋体" w:eastAsia="宋体" w:cs="宋体"/>
                <w:color w:val="auto"/>
                <w:sz w:val="24"/>
                <w:szCs w:val="24"/>
              </w:rPr>
            </w:pPr>
          </w:p>
        </w:tc>
        <w:tc>
          <w:tcPr>
            <w:tcW w:w="577" w:type="pct"/>
            <w:noWrap w:val="0"/>
            <w:vAlign w:val="top"/>
          </w:tcPr>
          <w:p>
            <w:pPr>
              <w:spacing w:line="360" w:lineRule="auto"/>
              <w:rPr>
                <w:rFonts w:hint="eastAsia" w:ascii="宋体" w:hAnsi="宋体" w:eastAsia="宋体" w:cs="宋体"/>
                <w:color w:val="auto"/>
                <w:sz w:val="24"/>
                <w:szCs w:val="24"/>
              </w:rPr>
            </w:pPr>
          </w:p>
        </w:tc>
        <w:tc>
          <w:tcPr>
            <w:tcW w:w="672" w:type="pct"/>
            <w:noWrap w:val="0"/>
            <w:vAlign w:val="top"/>
          </w:tcPr>
          <w:p>
            <w:pPr>
              <w:spacing w:line="360" w:lineRule="auto"/>
              <w:rPr>
                <w:rFonts w:hint="eastAsia" w:ascii="宋体" w:hAnsi="宋体" w:eastAsia="宋体" w:cs="宋体"/>
                <w:color w:val="auto"/>
                <w:sz w:val="24"/>
                <w:szCs w:val="24"/>
              </w:rPr>
            </w:pPr>
          </w:p>
        </w:tc>
        <w:tc>
          <w:tcPr>
            <w:tcW w:w="640"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747"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宋体" w:hAnsi="宋体" w:eastAsia="宋体" w:cs="宋体"/>
                <w:color w:val="auto"/>
                <w:sz w:val="24"/>
                <w:szCs w:val="24"/>
              </w:rPr>
            </w:pPr>
          </w:p>
        </w:tc>
        <w:tc>
          <w:tcPr>
            <w:tcW w:w="698" w:type="pct"/>
            <w:noWrap w:val="0"/>
            <w:vAlign w:val="top"/>
          </w:tcPr>
          <w:p>
            <w:pPr>
              <w:spacing w:line="360" w:lineRule="auto"/>
              <w:rPr>
                <w:rFonts w:hint="eastAsia" w:ascii="宋体" w:hAnsi="宋体" w:eastAsia="宋体" w:cs="宋体"/>
                <w:color w:val="auto"/>
                <w:sz w:val="24"/>
                <w:szCs w:val="24"/>
              </w:rPr>
            </w:pPr>
          </w:p>
        </w:tc>
        <w:tc>
          <w:tcPr>
            <w:tcW w:w="577" w:type="pct"/>
            <w:noWrap w:val="0"/>
            <w:vAlign w:val="top"/>
          </w:tcPr>
          <w:p>
            <w:pPr>
              <w:spacing w:line="360" w:lineRule="auto"/>
              <w:rPr>
                <w:rFonts w:hint="eastAsia" w:ascii="宋体" w:hAnsi="宋体" w:eastAsia="宋体" w:cs="宋体"/>
                <w:color w:val="auto"/>
                <w:sz w:val="24"/>
                <w:szCs w:val="24"/>
              </w:rPr>
            </w:pPr>
          </w:p>
        </w:tc>
        <w:tc>
          <w:tcPr>
            <w:tcW w:w="672" w:type="pct"/>
            <w:noWrap w:val="0"/>
            <w:vAlign w:val="top"/>
          </w:tcPr>
          <w:p>
            <w:pPr>
              <w:spacing w:line="360" w:lineRule="auto"/>
              <w:rPr>
                <w:rFonts w:hint="eastAsia" w:ascii="宋体" w:hAnsi="宋体" w:eastAsia="宋体" w:cs="宋体"/>
                <w:color w:val="auto"/>
                <w:sz w:val="24"/>
                <w:szCs w:val="24"/>
              </w:rPr>
            </w:pPr>
          </w:p>
        </w:tc>
        <w:tc>
          <w:tcPr>
            <w:tcW w:w="640"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747"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宋体" w:hAnsi="宋体" w:eastAsia="宋体" w:cs="宋体"/>
                <w:color w:val="auto"/>
                <w:sz w:val="24"/>
                <w:szCs w:val="24"/>
              </w:rPr>
            </w:pPr>
          </w:p>
        </w:tc>
        <w:tc>
          <w:tcPr>
            <w:tcW w:w="698" w:type="pct"/>
            <w:noWrap w:val="0"/>
            <w:vAlign w:val="top"/>
          </w:tcPr>
          <w:p>
            <w:pPr>
              <w:spacing w:line="360" w:lineRule="auto"/>
              <w:rPr>
                <w:rFonts w:hint="eastAsia" w:ascii="宋体" w:hAnsi="宋体" w:eastAsia="宋体" w:cs="宋体"/>
                <w:color w:val="auto"/>
                <w:sz w:val="24"/>
                <w:szCs w:val="24"/>
              </w:rPr>
            </w:pPr>
          </w:p>
        </w:tc>
        <w:tc>
          <w:tcPr>
            <w:tcW w:w="577" w:type="pct"/>
            <w:noWrap w:val="0"/>
            <w:vAlign w:val="top"/>
          </w:tcPr>
          <w:p>
            <w:pPr>
              <w:spacing w:line="360" w:lineRule="auto"/>
              <w:rPr>
                <w:rFonts w:hint="eastAsia" w:ascii="宋体" w:hAnsi="宋体" w:eastAsia="宋体" w:cs="宋体"/>
                <w:color w:val="auto"/>
                <w:sz w:val="24"/>
                <w:szCs w:val="24"/>
              </w:rPr>
            </w:pPr>
          </w:p>
        </w:tc>
        <w:tc>
          <w:tcPr>
            <w:tcW w:w="672" w:type="pct"/>
            <w:noWrap w:val="0"/>
            <w:vAlign w:val="top"/>
          </w:tcPr>
          <w:p>
            <w:pPr>
              <w:spacing w:line="360" w:lineRule="auto"/>
              <w:rPr>
                <w:rFonts w:hint="eastAsia" w:ascii="宋体" w:hAnsi="宋体" w:eastAsia="宋体" w:cs="宋体"/>
                <w:color w:val="auto"/>
                <w:sz w:val="24"/>
                <w:szCs w:val="24"/>
              </w:rPr>
            </w:pPr>
          </w:p>
        </w:tc>
        <w:tc>
          <w:tcPr>
            <w:tcW w:w="640"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747"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宋体" w:hAnsi="宋体" w:eastAsia="宋体" w:cs="宋体"/>
                <w:color w:val="auto"/>
                <w:sz w:val="24"/>
                <w:szCs w:val="24"/>
              </w:rPr>
            </w:pPr>
          </w:p>
        </w:tc>
        <w:tc>
          <w:tcPr>
            <w:tcW w:w="698" w:type="pct"/>
            <w:noWrap w:val="0"/>
            <w:vAlign w:val="top"/>
          </w:tcPr>
          <w:p>
            <w:pPr>
              <w:spacing w:line="360" w:lineRule="auto"/>
              <w:rPr>
                <w:rFonts w:hint="eastAsia" w:ascii="宋体" w:hAnsi="宋体" w:eastAsia="宋体" w:cs="宋体"/>
                <w:color w:val="auto"/>
                <w:sz w:val="24"/>
                <w:szCs w:val="24"/>
              </w:rPr>
            </w:pPr>
          </w:p>
        </w:tc>
        <w:tc>
          <w:tcPr>
            <w:tcW w:w="577" w:type="pct"/>
            <w:noWrap w:val="0"/>
            <w:vAlign w:val="top"/>
          </w:tcPr>
          <w:p>
            <w:pPr>
              <w:spacing w:line="360" w:lineRule="auto"/>
              <w:rPr>
                <w:rFonts w:hint="eastAsia" w:ascii="宋体" w:hAnsi="宋体" w:eastAsia="宋体" w:cs="宋体"/>
                <w:color w:val="auto"/>
                <w:sz w:val="24"/>
                <w:szCs w:val="24"/>
              </w:rPr>
            </w:pPr>
          </w:p>
        </w:tc>
        <w:tc>
          <w:tcPr>
            <w:tcW w:w="672" w:type="pct"/>
            <w:noWrap w:val="0"/>
            <w:vAlign w:val="top"/>
          </w:tcPr>
          <w:p>
            <w:pPr>
              <w:spacing w:line="360" w:lineRule="auto"/>
              <w:rPr>
                <w:rFonts w:hint="eastAsia" w:ascii="宋体" w:hAnsi="宋体" w:eastAsia="宋体" w:cs="宋体"/>
                <w:color w:val="auto"/>
                <w:sz w:val="24"/>
                <w:szCs w:val="24"/>
              </w:rPr>
            </w:pPr>
          </w:p>
        </w:tc>
        <w:tc>
          <w:tcPr>
            <w:tcW w:w="640"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747"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宋体" w:hAnsi="宋体" w:eastAsia="宋体" w:cs="宋体"/>
                <w:color w:val="auto"/>
                <w:sz w:val="24"/>
                <w:szCs w:val="24"/>
              </w:rPr>
            </w:pPr>
          </w:p>
        </w:tc>
        <w:tc>
          <w:tcPr>
            <w:tcW w:w="698" w:type="pct"/>
            <w:noWrap w:val="0"/>
            <w:vAlign w:val="top"/>
          </w:tcPr>
          <w:p>
            <w:pPr>
              <w:spacing w:line="360" w:lineRule="auto"/>
              <w:rPr>
                <w:rFonts w:hint="eastAsia" w:ascii="宋体" w:hAnsi="宋体" w:eastAsia="宋体" w:cs="宋体"/>
                <w:color w:val="auto"/>
                <w:sz w:val="24"/>
                <w:szCs w:val="24"/>
              </w:rPr>
            </w:pPr>
          </w:p>
        </w:tc>
        <w:tc>
          <w:tcPr>
            <w:tcW w:w="577" w:type="pct"/>
            <w:noWrap w:val="0"/>
            <w:vAlign w:val="top"/>
          </w:tcPr>
          <w:p>
            <w:pPr>
              <w:spacing w:line="360" w:lineRule="auto"/>
              <w:rPr>
                <w:rFonts w:hint="eastAsia" w:ascii="宋体" w:hAnsi="宋体" w:eastAsia="宋体" w:cs="宋体"/>
                <w:color w:val="auto"/>
                <w:sz w:val="24"/>
                <w:szCs w:val="24"/>
              </w:rPr>
            </w:pPr>
          </w:p>
        </w:tc>
        <w:tc>
          <w:tcPr>
            <w:tcW w:w="672" w:type="pct"/>
            <w:noWrap w:val="0"/>
            <w:vAlign w:val="top"/>
          </w:tcPr>
          <w:p>
            <w:pPr>
              <w:spacing w:line="360" w:lineRule="auto"/>
              <w:rPr>
                <w:rFonts w:hint="eastAsia" w:ascii="宋体" w:hAnsi="宋体" w:eastAsia="宋体" w:cs="宋体"/>
                <w:color w:val="auto"/>
                <w:sz w:val="24"/>
                <w:szCs w:val="24"/>
              </w:rPr>
            </w:pPr>
          </w:p>
        </w:tc>
        <w:tc>
          <w:tcPr>
            <w:tcW w:w="640"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747"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宋体" w:hAnsi="宋体" w:eastAsia="宋体" w:cs="宋体"/>
                <w:color w:val="auto"/>
                <w:sz w:val="24"/>
                <w:szCs w:val="24"/>
              </w:rPr>
            </w:pPr>
          </w:p>
        </w:tc>
        <w:tc>
          <w:tcPr>
            <w:tcW w:w="698" w:type="pct"/>
            <w:noWrap w:val="0"/>
            <w:vAlign w:val="top"/>
          </w:tcPr>
          <w:p>
            <w:pPr>
              <w:spacing w:line="360" w:lineRule="auto"/>
              <w:rPr>
                <w:rFonts w:hint="eastAsia" w:ascii="宋体" w:hAnsi="宋体" w:eastAsia="宋体" w:cs="宋体"/>
                <w:color w:val="auto"/>
                <w:sz w:val="24"/>
                <w:szCs w:val="24"/>
              </w:rPr>
            </w:pPr>
          </w:p>
        </w:tc>
        <w:tc>
          <w:tcPr>
            <w:tcW w:w="577" w:type="pct"/>
            <w:noWrap w:val="0"/>
            <w:vAlign w:val="top"/>
          </w:tcPr>
          <w:p>
            <w:pPr>
              <w:spacing w:line="360" w:lineRule="auto"/>
              <w:rPr>
                <w:rFonts w:hint="eastAsia" w:ascii="宋体" w:hAnsi="宋体" w:eastAsia="宋体" w:cs="宋体"/>
                <w:color w:val="auto"/>
                <w:sz w:val="24"/>
                <w:szCs w:val="24"/>
              </w:rPr>
            </w:pPr>
          </w:p>
        </w:tc>
        <w:tc>
          <w:tcPr>
            <w:tcW w:w="672" w:type="pct"/>
            <w:noWrap w:val="0"/>
            <w:vAlign w:val="top"/>
          </w:tcPr>
          <w:p>
            <w:pPr>
              <w:spacing w:line="360" w:lineRule="auto"/>
              <w:rPr>
                <w:rFonts w:hint="eastAsia" w:ascii="宋体" w:hAnsi="宋体" w:eastAsia="宋体" w:cs="宋体"/>
                <w:color w:val="auto"/>
                <w:sz w:val="24"/>
                <w:szCs w:val="24"/>
              </w:rPr>
            </w:pPr>
          </w:p>
        </w:tc>
        <w:tc>
          <w:tcPr>
            <w:tcW w:w="640"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747"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宋体" w:hAnsi="宋体" w:eastAsia="宋体" w:cs="宋体"/>
                <w:color w:val="auto"/>
                <w:sz w:val="24"/>
                <w:szCs w:val="24"/>
              </w:rPr>
            </w:pPr>
          </w:p>
        </w:tc>
        <w:tc>
          <w:tcPr>
            <w:tcW w:w="698" w:type="pct"/>
            <w:noWrap w:val="0"/>
            <w:vAlign w:val="top"/>
          </w:tcPr>
          <w:p>
            <w:pPr>
              <w:spacing w:line="360" w:lineRule="auto"/>
              <w:rPr>
                <w:rFonts w:hint="eastAsia" w:ascii="宋体" w:hAnsi="宋体" w:eastAsia="宋体" w:cs="宋体"/>
                <w:color w:val="auto"/>
                <w:sz w:val="24"/>
                <w:szCs w:val="24"/>
              </w:rPr>
            </w:pPr>
          </w:p>
        </w:tc>
        <w:tc>
          <w:tcPr>
            <w:tcW w:w="577" w:type="pct"/>
            <w:noWrap w:val="0"/>
            <w:vAlign w:val="top"/>
          </w:tcPr>
          <w:p>
            <w:pPr>
              <w:spacing w:line="360" w:lineRule="auto"/>
              <w:rPr>
                <w:rFonts w:hint="eastAsia" w:ascii="宋体" w:hAnsi="宋体" w:eastAsia="宋体" w:cs="宋体"/>
                <w:color w:val="auto"/>
                <w:sz w:val="24"/>
                <w:szCs w:val="24"/>
              </w:rPr>
            </w:pPr>
          </w:p>
        </w:tc>
        <w:tc>
          <w:tcPr>
            <w:tcW w:w="672" w:type="pct"/>
            <w:noWrap w:val="0"/>
            <w:vAlign w:val="top"/>
          </w:tcPr>
          <w:p>
            <w:pPr>
              <w:spacing w:line="360" w:lineRule="auto"/>
              <w:rPr>
                <w:rFonts w:hint="eastAsia" w:ascii="宋体" w:hAnsi="宋体" w:eastAsia="宋体" w:cs="宋体"/>
                <w:color w:val="auto"/>
                <w:sz w:val="24"/>
                <w:szCs w:val="24"/>
              </w:rPr>
            </w:pPr>
          </w:p>
        </w:tc>
        <w:tc>
          <w:tcPr>
            <w:tcW w:w="640"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747"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宋体" w:hAnsi="宋体" w:eastAsia="宋体" w:cs="宋体"/>
                <w:color w:val="auto"/>
                <w:sz w:val="24"/>
                <w:szCs w:val="24"/>
              </w:rPr>
            </w:pPr>
          </w:p>
        </w:tc>
        <w:tc>
          <w:tcPr>
            <w:tcW w:w="698" w:type="pct"/>
            <w:noWrap w:val="0"/>
            <w:vAlign w:val="top"/>
          </w:tcPr>
          <w:p>
            <w:pPr>
              <w:spacing w:line="360" w:lineRule="auto"/>
              <w:rPr>
                <w:rFonts w:hint="eastAsia" w:ascii="宋体" w:hAnsi="宋体" w:eastAsia="宋体" w:cs="宋体"/>
                <w:color w:val="auto"/>
                <w:sz w:val="24"/>
                <w:szCs w:val="24"/>
              </w:rPr>
            </w:pPr>
          </w:p>
        </w:tc>
        <w:tc>
          <w:tcPr>
            <w:tcW w:w="577" w:type="pct"/>
            <w:noWrap w:val="0"/>
            <w:vAlign w:val="top"/>
          </w:tcPr>
          <w:p>
            <w:pPr>
              <w:spacing w:line="360" w:lineRule="auto"/>
              <w:rPr>
                <w:rFonts w:hint="eastAsia" w:ascii="宋体" w:hAnsi="宋体" w:eastAsia="宋体" w:cs="宋体"/>
                <w:color w:val="auto"/>
                <w:sz w:val="24"/>
                <w:szCs w:val="24"/>
              </w:rPr>
            </w:pPr>
          </w:p>
        </w:tc>
        <w:tc>
          <w:tcPr>
            <w:tcW w:w="672" w:type="pct"/>
            <w:noWrap w:val="0"/>
            <w:vAlign w:val="top"/>
          </w:tcPr>
          <w:p>
            <w:pPr>
              <w:spacing w:line="360" w:lineRule="auto"/>
              <w:rPr>
                <w:rFonts w:hint="eastAsia" w:ascii="宋体" w:hAnsi="宋体" w:eastAsia="宋体" w:cs="宋体"/>
                <w:color w:val="auto"/>
                <w:sz w:val="24"/>
                <w:szCs w:val="24"/>
              </w:rPr>
            </w:pPr>
          </w:p>
        </w:tc>
        <w:tc>
          <w:tcPr>
            <w:tcW w:w="640"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747"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宋体" w:hAnsi="宋体" w:eastAsia="宋体" w:cs="宋体"/>
                <w:color w:val="auto"/>
                <w:sz w:val="24"/>
                <w:szCs w:val="24"/>
              </w:rPr>
            </w:pPr>
          </w:p>
        </w:tc>
        <w:tc>
          <w:tcPr>
            <w:tcW w:w="698" w:type="pct"/>
            <w:noWrap w:val="0"/>
            <w:vAlign w:val="top"/>
          </w:tcPr>
          <w:p>
            <w:pPr>
              <w:spacing w:line="360" w:lineRule="auto"/>
              <w:rPr>
                <w:rFonts w:hint="eastAsia" w:ascii="宋体" w:hAnsi="宋体" w:eastAsia="宋体" w:cs="宋体"/>
                <w:color w:val="auto"/>
                <w:sz w:val="24"/>
                <w:szCs w:val="24"/>
              </w:rPr>
            </w:pPr>
          </w:p>
        </w:tc>
        <w:tc>
          <w:tcPr>
            <w:tcW w:w="577" w:type="pct"/>
            <w:noWrap w:val="0"/>
            <w:vAlign w:val="top"/>
          </w:tcPr>
          <w:p>
            <w:pPr>
              <w:spacing w:line="360" w:lineRule="auto"/>
              <w:rPr>
                <w:rFonts w:hint="eastAsia" w:ascii="宋体" w:hAnsi="宋体" w:eastAsia="宋体" w:cs="宋体"/>
                <w:color w:val="auto"/>
                <w:sz w:val="24"/>
                <w:szCs w:val="24"/>
              </w:rPr>
            </w:pPr>
          </w:p>
        </w:tc>
        <w:tc>
          <w:tcPr>
            <w:tcW w:w="672" w:type="pct"/>
            <w:noWrap w:val="0"/>
            <w:vAlign w:val="top"/>
          </w:tcPr>
          <w:p>
            <w:pPr>
              <w:spacing w:line="360" w:lineRule="auto"/>
              <w:rPr>
                <w:rFonts w:hint="eastAsia" w:ascii="宋体" w:hAnsi="宋体" w:eastAsia="宋体" w:cs="宋体"/>
                <w:color w:val="auto"/>
                <w:sz w:val="24"/>
                <w:szCs w:val="24"/>
              </w:rPr>
            </w:pPr>
          </w:p>
        </w:tc>
        <w:tc>
          <w:tcPr>
            <w:tcW w:w="640"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747"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宋体" w:hAnsi="宋体" w:eastAsia="宋体" w:cs="宋体"/>
                <w:color w:val="auto"/>
                <w:sz w:val="24"/>
                <w:szCs w:val="24"/>
              </w:rPr>
            </w:pPr>
          </w:p>
        </w:tc>
        <w:tc>
          <w:tcPr>
            <w:tcW w:w="698" w:type="pct"/>
            <w:noWrap w:val="0"/>
            <w:vAlign w:val="top"/>
          </w:tcPr>
          <w:p>
            <w:pPr>
              <w:spacing w:line="360" w:lineRule="auto"/>
              <w:rPr>
                <w:rFonts w:hint="eastAsia" w:ascii="宋体" w:hAnsi="宋体" w:eastAsia="宋体" w:cs="宋体"/>
                <w:color w:val="auto"/>
                <w:sz w:val="24"/>
                <w:szCs w:val="24"/>
              </w:rPr>
            </w:pPr>
          </w:p>
        </w:tc>
        <w:tc>
          <w:tcPr>
            <w:tcW w:w="577" w:type="pct"/>
            <w:noWrap w:val="0"/>
            <w:vAlign w:val="top"/>
          </w:tcPr>
          <w:p>
            <w:pPr>
              <w:spacing w:line="360" w:lineRule="auto"/>
              <w:rPr>
                <w:rFonts w:hint="eastAsia" w:ascii="宋体" w:hAnsi="宋体" w:eastAsia="宋体" w:cs="宋体"/>
                <w:color w:val="auto"/>
                <w:sz w:val="24"/>
                <w:szCs w:val="24"/>
              </w:rPr>
            </w:pPr>
          </w:p>
        </w:tc>
        <w:tc>
          <w:tcPr>
            <w:tcW w:w="672" w:type="pct"/>
            <w:noWrap w:val="0"/>
            <w:vAlign w:val="top"/>
          </w:tcPr>
          <w:p>
            <w:pPr>
              <w:spacing w:line="360" w:lineRule="auto"/>
              <w:rPr>
                <w:rFonts w:hint="eastAsia" w:ascii="宋体" w:hAnsi="宋体" w:eastAsia="宋体" w:cs="宋体"/>
                <w:color w:val="auto"/>
                <w:sz w:val="24"/>
                <w:szCs w:val="24"/>
              </w:rPr>
            </w:pPr>
          </w:p>
        </w:tc>
        <w:tc>
          <w:tcPr>
            <w:tcW w:w="640"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747"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1" w:type="pct"/>
            <w:noWrap w:val="0"/>
            <w:vAlign w:val="top"/>
          </w:tcPr>
          <w:p>
            <w:pPr>
              <w:spacing w:line="360" w:lineRule="auto"/>
              <w:rPr>
                <w:rFonts w:hint="eastAsia" w:ascii="宋体" w:hAnsi="宋体" w:eastAsia="宋体" w:cs="宋体"/>
                <w:color w:val="auto"/>
                <w:sz w:val="24"/>
                <w:szCs w:val="24"/>
              </w:rPr>
            </w:pPr>
          </w:p>
        </w:tc>
        <w:tc>
          <w:tcPr>
            <w:tcW w:w="698" w:type="pct"/>
            <w:noWrap w:val="0"/>
            <w:vAlign w:val="top"/>
          </w:tcPr>
          <w:p>
            <w:pPr>
              <w:spacing w:line="360" w:lineRule="auto"/>
              <w:rPr>
                <w:rFonts w:hint="eastAsia" w:ascii="宋体" w:hAnsi="宋体" w:eastAsia="宋体" w:cs="宋体"/>
                <w:color w:val="auto"/>
                <w:sz w:val="24"/>
                <w:szCs w:val="24"/>
              </w:rPr>
            </w:pPr>
          </w:p>
        </w:tc>
        <w:tc>
          <w:tcPr>
            <w:tcW w:w="577" w:type="pct"/>
            <w:noWrap w:val="0"/>
            <w:vAlign w:val="top"/>
          </w:tcPr>
          <w:p>
            <w:pPr>
              <w:spacing w:line="360" w:lineRule="auto"/>
              <w:rPr>
                <w:rFonts w:hint="eastAsia" w:ascii="宋体" w:hAnsi="宋体" w:eastAsia="宋体" w:cs="宋体"/>
                <w:color w:val="auto"/>
                <w:sz w:val="24"/>
                <w:szCs w:val="24"/>
              </w:rPr>
            </w:pPr>
          </w:p>
        </w:tc>
        <w:tc>
          <w:tcPr>
            <w:tcW w:w="672" w:type="pct"/>
            <w:noWrap w:val="0"/>
            <w:vAlign w:val="top"/>
          </w:tcPr>
          <w:p>
            <w:pPr>
              <w:spacing w:line="360" w:lineRule="auto"/>
              <w:rPr>
                <w:rFonts w:hint="eastAsia" w:ascii="宋体" w:hAnsi="宋体" w:eastAsia="宋体" w:cs="宋体"/>
                <w:color w:val="auto"/>
                <w:sz w:val="24"/>
                <w:szCs w:val="24"/>
              </w:rPr>
            </w:pPr>
          </w:p>
        </w:tc>
        <w:tc>
          <w:tcPr>
            <w:tcW w:w="640"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641" w:type="pct"/>
            <w:noWrap w:val="0"/>
            <w:vAlign w:val="top"/>
          </w:tcPr>
          <w:p>
            <w:pPr>
              <w:spacing w:line="360" w:lineRule="auto"/>
              <w:rPr>
                <w:rFonts w:hint="eastAsia" w:ascii="宋体" w:hAnsi="宋体" w:eastAsia="宋体" w:cs="宋体"/>
                <w:color w:val="auto"/>
                <w:sz w:val="24"/>
                <w:szCs w:val="24"/>
              </w:rPr>
            </w:pPr>
          </w:p>
        </w:tc>
        <w:tc>
          <w:tcPr>
            <w:tcW w:w="747" w:type="pct"/>
            <w:noWrap w:val="0"/>
            <w:vAlign w:val="top"/>
          </w:tcPr>
          <w:p>
            <w:pPr>
              <w:spacing w:line="360" w:lineRule="auto"/>
              <w:rPr>
                <w:rFonts w:hint="eastAsia" w:ascii="宋体" w:hAnsi="宋体" w:eastAsia="宋体" w:cs="宋体"/>
                <w:color w:val="auto"/>
                <w:sz w:val="24"/>
                <w:szCs w:val="24"/>
              </w:rPr>
            </w:pPr>
          </w:p>
        </w:tc>
      </w:tr>
    </w:tbl>
    <w:p>
      <w:pPr>
        <w:widowControl/>
        <w:spacing w:line="360" w:lineRule="auto"/>
        <w:jc w:val="left"/>
        <w:rPr>
          <w:rFonts w:hint="eastAsia" w:ascii="宋体" w:hAnsi="宋体" w:eastAsia="宋体" w:cs="宋体"/>
          <w:color w:val="auto"/>
          <w:sz w:val="24"/>
          <w:szCs w:val="24"/>
        </w:rPr>
        <w:sectPr>
          <w:pgSz w:w="11906" w:h="16838"/>
          <w:pgMar w:top="1440" w:right="1080" w:bottom="1440" w:left="1080" w:header="851" w:footer="992" w:gutter="0"/>
          <w:pgNumType w:fmt="decimal"/>
          <w:cols w:space="720" w:num="1"/>
          <w:docGrid w:type="lines" w:linePitch="312" w:charSpace="0"/>
        </w:sectPr>
      </w:pPr>
    </w:p>
    <w:p>
      <w:pPr>
        <w:rPr>
          <w:rFonts w:hint="eastAsia" w:ascii="宋体" w:hAnsi="宋体" w:eastAsia="宋体" w:cs="宋体"/>
          <w:b/>
          <w:color w:val="auto"/>
          <w:sz w:val="24"/>
          <w:szCs w:val="24"/>
        </w:rPr>
      </w:pPr>
      <w:r>
        <w:rPr>
          <w:rFonts w:hint="eastAsia" w:ascii="宋体" w:hAnsi="宋体" w:eastAsia="宋体" w:cs="宋体"/>
          <w:b/>
          <w:color w:val="auto"/>
          <w:sz w:val="24"/>
          <w:szCs w:val="24"/>
        </w:rPr>
        <w:t>附表2                    拟派项目总监简历表</w:t>
      </w:r>
    </w:p>
    <w:p>
      <w:pPr>
        <w:spacing w:line="360" w:lineRule="auto"/>
        <w:ind w:firstLine="480" w:firstLineChars="200"/>
        <w:rPr>
          <w:rFonts w:hint="eastAsia" w:ascii="宋体" w:hAnsi="宋体" w:eastAsia="宋体" w:cs="宋体"/>
          <w:color w:val="auto"/>
          <w:sz w:val="24"/>
          <w:szCs w:val="24"/>
        </w:rPr>
      </w:pP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352"/>
        <w:gridCol w:w="903"/>
        <w:gridCol w:w="720"/>
        <w:gridCol w:w="540"/>
        <w:gridCol w:w="538"/>
        <w:gridCol w:w="899"/>
        <w:gridCol w:w="753"/>
        <w:gridCol w:w="1251"/>
        <w:gridCol w:w="725"/>
        <w:gridCol w:w="71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14"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820" w:type="pct"/>
            <w:gridSpan w:val="2"/>
            <w:noWrap w:val="0"/>
            <w:vAlign w:val="top"/>
          </w:tcPr>
          <w:p>
            <w:pPr>
              <w:spacing w:line="360" w:lineRule="auto"/>
              <w:rPr>
                <w:rFonts w:hint="eastAsia" w:ascii="宋体" w:hAnsi="宋体" w:eastAsia="宋体" w:cs="宋体"/>
                <w:color w:val="auto"/>
                <w:sz w:val="24"/>
                <w:szCs w:val="24"/>
              </w:rPr>
            </w:pPr>
          </w:p>
        </w:tc>
        <w:tc>
          <w:tcPr>
            <w:tcW w:w="545"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性别</w:t>
            </w:r>
          </w:p>
        </w:tc>
        <w:tc>
          <w:tcPr>
            <w:tcW w:w="836" w:type="pct"/>
            <w:gridSpan w:val="2"/>
            <w:noWrap w:val="0"/>
            <w:vAlign w:val="top"/>
          </w:tcPr>
          <w:p>
            <w:pPr>
              <w:spacing w:line="360" w:lineRule="auto"/>
              <w:rPr>
                <w:rFonts w:hint="eastAsia" w:ascii="宋体" w:hAnsi="宋体" w:eastAsia="宋体" w:cs="宋体"/>
                <w:color w:val="auto"/>
                <w:sz w:val="24"/>
                <w:szCs w:val="24"/>
              </w:rPr>
            </w:pPr>
          </w:p>
        </w:tc>
        <w:tc>
          <w:tcPr>
            <w:tcW w:w="1000"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年龄</w:t>
            </w:r>
          </w:p>
        </w:tc>
        <w:tc>
          <w:tcPr>
            <w:tcW w:w="981" w:type="pct"/>
            <w:gridSpan w:val="2"/>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14"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职称</w:t>
            </w:r>
          </w:p>
        </w:tc>
        <w:tc>
          <w:tcPr>
            <w:tcW w:w="820" w:type="pct"/>
            <w:gridSpan w:val="2"/>
            <w:noWrap w:val="0"/>
            <w:vAlign w:val="top"/>
          </w:tcPr>
          <w:p>
            <w:pPr>
              <w:spacing w:line="360" w:lineRule="auto"/>
              <w:rPr>
                <w:rFonts w:hint="eastAsia" w:ascii="宋体" w:hAnsi="宋体" w:eastAsia="宋体" w:cs="宋体"/>
                <w:color w:val="auto"/>
                <w:sz w:val="24"/>
                <w:szCs w:val="24"/>
              </w:rPr>
            </w:pPr>
          </w:p>
        </w:tc>
        <w:tc>
          <w:tcPr>
            <w:tcW w:w="545"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职务</w:t>
            </w:r>
          </w:p>
        </w:tc>
        <w:tc>
          <w:tcPr>
            <w:tcW w:w="836" w:type="pct"/>
            <w:gridSpan w:val="2"/>
            <w:noWrap w:val="0"/>
            <w:vAlign w:val="top"/>
          </w:tcPr>
          <w:p>
            <w:pPr>
              <w:spacing w:line="360" w:lineRule="auto"/>
              <w:rPr>
                <w:rFonts w:hint="eastAsia" w:ascii="宋体" w:hAnsi="宋体" w:eastAsia="宋体" w:cs="宋体"/>
                <w:color w:val="auto"/>
                <w:sz w:val="24"/>
                <w:szCs w:val="24"/>
              </w:rPr>
            </w:pPr>
          </w:p>
        </w:tc>
        <w:tc>
          <w:tcPr>
            <w:tcW w:w="1000"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学历</w:t>
            </w:r>
          </w:p>
        </w:tc>
        <w:tc>
          <w:tcPr>
            <w:tcW w:w="981" w:type="pct"/>
            <w:gridSpan w:val="2"/>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35" w:type="pct"/>
            <w:gridSpan w:val="4"/>
            <w:noWrap w:val="0"/>
            <w:vAlign w:val="center"/>
          </w:tcPr>
          <w:p>
            <w:pPr>
              <w:spacing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项目总监资格证书编号</w:t>
            </w:r>
          </w:p>
        </w:tc>
        <w:tc>
          <w:tcPr>
            <w:tcW w:w="3364" w:type="pct"/>
            <w:gridSpan w:val="8"/>
            <w:noWrap w:val="0"/>
            <w:vAlign w:val="center"/>
          </w:tcPr>
          <w:p>
            <w:pPr>
              <w:spacing w:line="320" w:lineRule="exact"/>
              <w:ind w:left="-464" w:leftChars="-222" w:right="-71" w:rightChars="-34" w:hanging="2"/>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000" w:type="pct"/>
            <w:gridSpan w:val="1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在建或已完工程监理项目情况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建设单位</w:t>
            </w:r>
          </w:p>
        </w:tc>
        <w:tc>
          <w:tcPr>
            <w:tcW w:w="635"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636"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担任职务</w:t>
            </w:r>
          </w:p>
        </w:tc>
        <w:tc>
          <w:tcPr>
            <w:tcW w:w="727"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建设规模</w:t>
            </w:r>
          </w:p>
        </w:tc>
        <w:tc>
          <w:tcPr>
            <w:tcW w:w="1014"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开、竣工日期</w:t>
            </w:r>
          </w:p>
        </w:tc>
        <w:tc>
          <w:tcPr>
            <w:tcW w:w="730"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在建或已完</w:t>
            </w:r>
          </w:p>
        </w:tc>
        <w:tc>
          <w:tcPr>
            <w:tcW w:w="618"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宋体" w:hAnsi="宋体" w:eastAsia="宋体" w:cs="宋体"/>
                <w:color w:val="auto"/>
                <w:sz w:val="24"/>
                <w:szCs w:val="24"/>
              </w:rPr>
            </w:pPr>
          </w:p>
        </w:tc>
        <w:tc>
          <w:tcPr>
            <w:tcW w:w="635" w:type="pct"/>
            <w:gridSpan w:val="2"/>
            <w:noWrap w:val="0"/>
            <w:vAlign w:val="top"/>
          </w:tcPr>
          <w:p>
            <w:pPr>
              <w:spacing w:line="360" w:lineRule="auto"/>
              <w:rPr>
                <w:rFonts w:hint="eastAsia" w:ascii="宋体" w:hAnsi="宋体" w:eastAsia="宋体" w:cs="宋体"/>
                <w:color w:val="auto"/>
                <w:sz w:val="24"/>
                <w:szCs w:val="24"/>
              </w:rPr>
            </w:pPr>
          </w:p>
        </w:tc>
        <w:tc>
          <w:tcPr>
            <w:tcW w:w="636" w:type="pct"/>
            <w:gridSpan w:val="2"/>
            <w:noWrap w:val="0"/>
            <w:vAlign w:val="top"/>
          </w:tcPr>
          <w:p>
            <w:pPr>
              <w:spacing w:line="360" w:lineRule="auto"/>
              <w:rPr>
                <w:rFonts w:hint="eastAsia" w:ascii="宋体" w:hAnsi="宋体" w:eastAsia="宋体" w:cs="宋体"/>
                <w:color w:val="auto"/>
                <w:sz w:val="24"/>
                <w:szCs w:val="24"/>
              </w:rPr>
            </w:pPr>
          </w:p>
        </w:tc>
        <w:tc>
          <w:tcPr>
            <w:tcW w:w="727" w:type="pct"/>
            <w:gridSpan w:val="2"/>
            <w:noWrap w:val="0"/>
            <w:vAlign w:val="top"/>
          </w:tcPr>
          <w:p>
            <w:pPr>
              <w:spacing w:line="360" w:lineRule="auto"/>
              <w:rPr>
                <w:rFonts w:hint="eastAsia" w:ascii="宋体" w:hAnsi="宋体" w:eastAsia="宋体" w:cs="宋体"/>
                <w:color w:val="auto"/>
                <w:sz w:val="24"/>
                <w:szCs w:val="24"/>
              </w:rPr>
            </w:pPr>
          </w:p>
        </w:tc>
        <w:tc>
          <w:tcPr>
            <w:tcW w:w="1014" w:type="pct"/>
            <w:gridSpan w:val="2"/>
            <w:noWrap w:val="0"/>
            <w:vAlign w:val="top"/>
          </w:tcPr>
          <w:p>
            <w:pPr>
              <w:spacing w:line="360" w:lineRule="auto"/>
              <w:rPr>
                <w:rFonts w:hint="eastAsia" w:ascii="宋体" w:hAnsi="宋体" w:eastAsia="宋体" w:cs="宋体"/>
                <w:color w:val="auto"/>
                <w:sz w:val="24"/>
                <w:szCs w:val="24"/>
              </w:rPr>
            </w:pPr>
          </w:p>
        </w:tc>
        <w:tc>
          <w:tcPr>
            <w:tcW w:w="730" w:type="pct"/>
            <w:gridSpan w:val="2"/>
            <w:noWrap w:val="0"/>
            <w:vAlign w:val="top"/>
          </w:tcPr>
          <w:p>
            <w:pPr>
              <w:spacing w:line="360" w:lineRule="auto"/>
              <w:rPr>
                <w:rFonts w:hint="eastAsia" w:ascii="宋体" w:hAnsi="宋体" w:eastAsia="宋体" w:cs="宋体"/>
                <w:color w:val="auto"/>
                <w:sz w:val="24"/>
                <w:szCs w:val="24"/>
              </w:rPr>
            </w:pPr>
          </w:p>
        </w:tc>
        <w:tc>
          <w:tcPr>
            <w:tcW w:w="618"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宋体" w:hAnsi="宋体" w:eastAsia="宋体" w:cs="宋体"/>
                <w:color w:val="auto"/>
                <w:sz w:val="24"/>
                <w:szCs w:val="24"/>
              </w:rPr>
            </w:pPr>
          </w:p>
        </w:tc>
        <w:tc>
          <w:tcPr>
            <w:tcW w:w="635" w:type="pct"/>
            <w:gridSpan w:val="2"/>
            <w:noWrap w:val="0"/>
            <w:vAlign w:val="top"/>
          </w:tcPr>
          <w:p>
            <w:pPr>
              <w:spacing w:line="360" w:lineRule="auto"/>
              <w:rPr>
                <w:rFonts w:hint="eastAsia" w:ascii="宋体" w:hAnsi="宋体" w:eastAsia="宋体" w:cs="宋体"/>
                <w:color w:val="auto"/>
                <w:sz w:val="24"/>
                <w:szCs w:val="24"/>
              </w:rPr>
            </w:pPr>
          </w:p>
        </w:tc>
        <w:tc>
          <w:tcPr>
            <w:tcW w:w="636" w:type="pct"/>
            <w:gridSpan w:val="2"/>
            <w:noWrap w:val="0"/>
            <w:vAlign w:val="top"/>
          </w:tcPr>
          <w:p>
            <w:pPr>
              <w:spacing w:line="360" w:lineRule="auto"/>
              <w:rPr>
                <w:rFonts w:hint="eastAsia" w:ascii="宋体" w:hAnsi="宋体" w:eastAsia="宋体" w:cs="宋体"/>
                <w:color w:val="auto"/>
                <w:sz w:val="24"/>
                <w:szCs w:val="24"/>
              </w:rPr>
            </w:pPr>
          </w:p>
        </w:tc>
        <w:tc>
          <w:tcPr>
            <w:tcW w:w="727" w:type="pct"/>
            <w:gridSpan w:val="2"/>
            <w:noWrap w:val="0"/>
            <w:vAlign w:val="top"/>
          </w:tcPr>
          <w:p>
            <w:pPr>
              <w:spacing w:line="360" w:lineRule="auto"/>
              <w:rPr>
                <w:rFonts w:hint="eastAsia" w:ascii="宋体" w:hAnsi="宋体" w:eastAsia="宋体" w:cs="宋体"/>
                <w:color w:val="auto"/>
                <w:sz w:val="24"/>
                <w:szCs w:val="24"/>
              </w:rPr>
            </w:pPr>
          </w:p>
        </w:tc>
        <w:tc>
          <w:tcPr>
            <w:tcW w:w="1014" w:type="pct"/>
            <w:gridSpan w:val="2"/>
            <w:noWrap w:val="0"/>
            <w:vAlign w:val="top"/>
          </w:tcPr>
          <w:p>
            <w:pPr>
              <w:spacing w:line="360" w:lineRule="auto"/>
              <w:rPr>
                <w:rFonts w:hint="eastAsia" w:ascii="宋体" w:hAnsi="宋体" w:eastAsia="宋体" w:cs="宋体"/>
                <w:color w:val="auto"/>
                <w:sz w:val="24"/>
                <w:szCs w:val="24"/>
              </w:rPr>
            </w:pPr>
          </w:p>
        </w:tc>
        <w:tc>
          <w:tcPr>
            <w:tcW w:w="730" w:type="pct"/>
            <w:gridSpan w:val="2"/>
            <w:noWrap w:val="0"/>
            <w:vAlign w:val="top"/>
          </w:tcPr>
          <w:p>
            <w:pPr>
              <w:spacing w:line="360" w:lineRule="auto"/>
              <w:rPr>
                <w:rFonts w:hint="eastAsia" w:ascii="宋体" w:hAnsi="宋体" w:eastAsia="宋体" w:cs="宋体"/>
                <w:color w:val="auto"/>
                <w:sz w:val="24"/>
                <w:szCs w:val="24"/>
              </w:rPr>
            </w:pPr>
          </w:p>
        </w:tc>
        <w:tc>
          <w:tcPr>
            <w:tcW w:w="618"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宋体" w:hAnsi="宋体" w:eastAsia="宋体" w:cs="宋体"/>
                <w:color w:val="auto"/>
                <w:sz w:val="24"/>
                <w:szCs w:val="24"/>
              </w:rPr>
            </w:pPr>
          </w:p>
        </w:tc>
        <w:tc>
          <w:tcPr>
            <w:tcW w:w="635" w:type="pct"/>
            <w:gridSpan w:val="2"/>
            <w:noWrap w:val="0"/>
            <w:vAlign w:val="top"/>
          </w:tcPr>
          <w:p>
            <w:pPr>
              <w:spacing w:line="360" w:lineRule="auto"/>
              <w:rPr>
                <w:rFonts w:hint="eastAsia" w:ascii="宋体" w:hAnsi="宋体" w:eastAsia="宋体" w:cs="宋体"/>
                <w:color w:val="auto"/>
                <w:sz w:val="24"/>
                <w:szCs w:val="24"/>
              </w:rPr>
            </w:pPr>
          </w:p>
        </w:tc>
        <w:tc>
          <w:tcPr>
            <w:tcW w:w="636" w:type="pct"/>
            <w:gridSpan w:val="2"/>
            <w:noWrap w:val="0"/>
            <w:vAlign w:val="top"/>
          </w:tcPr>
          <w:p>
            <w:pPr>
              <w:spacing w:line="360" w:lineRule="auto"/>
              <w:rPr>
                <w:rFonts w:hint="eastAsia" w:ascii="宋体" w:hAnsi="宋体" w:eastAsia="宋体" w:cs="宋体"/>
                <w:color w:val="auto"/>
                <w:sz w:val="24"/>
                <w:szCs w:val="24"/>
              </w:rPr>
            </w:pPr>
          </w:p>
        </w:tc>
        <w:tc>
          <w:tcPr>
            <w:tcW w:w="727" w:type="pct"/>
            <w:gridSpan w:val="2"/>
            <w:noWrap w:val="0"/>
            <w:vAlign w:val="top"/>
          </w:tcPr>
          <w:p>
            <w:pPr>
              <w:spacing w:line="360" w:lineRule="auto"/>
              <w:rPr>
                <w:rFonts w:hint="eastAsia" w:ascii="宋体" w:hAnsi="宋体" w:eastAsia="宋体" w:cs="宋体"/>
                <w:color w:val="auto"/>
                <w:sz w:val="24"/>
                <w:szCs w:val="24"/>
              </w:rPr>
            </w:pPr>
          </w:p>
        </w:tc>
        <w:tc>
          <w:tcPr>
            <w:tcW w:w="1014" w:type="pct"/>
            <w:gridSpan w:val="2"/>
            <w:noWrap w:val="0"/>
            <w:vAlign w:val="top"/>
          </w:tcPr>
          <w:p>
            <w:pPr>
              <w:spacing w:line="360" w:lineRule="auto"/>
              <w:rPr>
                <w:rFonts w:hint="eastAsia" w:ascii="宋体" w:hAnsi="宋体" w:eastAsia="宋体" w:cs="宋体"/>
                <w:color w:val="auto"/>
                <w:sz w:val="24"/>
                <w:szCs w:val="24"/>
              </w:rPr>
            </w:pPr>
          </w:p>
        </w:tc>
        <w:tc>
          <w:tcPr>
            <w:tcW w:w="730" w:type="pct"/>
            <w:gridSpan w:val="2"/>
            <w:noWrap w:val="0"/>
            <w:vAlign w:val="top"/>
          </w:tcPr>
          <w:p>
            <w:pPr>
              <w:spacing w:line="360" w:lineRule="auto"/>
              <w:rPr>
                <w:rFonts w:hint="eastAsia" w:ascii="宋体" w:hAnsi="宋体" w:eastAsia="宋体" w:cs="宋体"/>
                <w:color w:val="auto"/>
                <w:sz w:val="24"/>
                <w:szCs w:val="24"/>
              </w:rPr>
            </w:pPr>
          </w:p>
        </w:tc>
        <w:tc>
          <w:tcPr>
            <w:tcW w:w="618"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宋体" w:hAnsi="宋体" w:eastAsia="宋体" w:cs="宋体"/>
                <w:color w:val="auto"/>
                <w:sz w:val="24"/>
                <w:szCs w:val="24"/>
              </w:rPr>
            </w:pPr>
          </w:p>
        </w:tc>
        <w:tc>
          <w:tcPr>
            <w:tcW w:w="635" w:type="pct"/>
            <w:gridSpan w:val="2"/>
            <w:noWrap w:val="0"/>
            <w:vAlign w:val="top"/>
          </w:tcPr>
          <w:p>
            <w:pPr>
              <w:spacing w:line="360" w:lineRule="auto"/>
              <w:rPr>
                <w:rFonts w:hint="eastAsia" w:ascii="宋体" w:hAnsi="宋体" w:eastAsia="宋体" w:cs="宋体"/>
                <w:color w:val="auto"/>
                <w:sz w:val="24"/>
                <w:szCs w:val="24"/>
              </w:rPr>
            </w:pPr>
          </w:p>
        </w:tc>
        <w:tc>
          <w:tcPr>
            <w:tcW w:w="636" w:type="pct"/>
            <w:gridSpan w:val="2"/>
            <w:noWrap w:val="0"/>
            <w:vAlign w:val="top"/>
          </w:tcPr>
          <w:p>
            <w:pPr>
              <w:spacing w:line="360" w:lineRule="auto"/>
              <w:rPr>
                <w:rFonts w:hint="eastAsia" w:ascii="宋体" w:hAnsi="宋体" w:eastAsia="宋体" w:cs="宋体"/>
                <w:color w:val="auto"/>
                <w:sz w:val="24"/>
                <w:szCs w:val="24"/>
              </w:rPr>
            </w:pPr>
          </w:p>
        </w:tc>
        <w:tc>
          <w:tcPr>
            <w:tcW w:w="727" w:type="pct"/>
            <w:gridSpan w:val="2"/>
            <w:noWrap w:val="0"/>
            <w:vAlign w:val="top"/>
          </w:tcPr>
          <w:p>
            <w:pPr>
              <w:spacing w:line="360" w:lineRule="auto"/>
              <w:rPr>
                <w:rFonts w:hint="eastAsia" w:ascii="宋体" w:hAnsi="宋体" w:eastAsia="宋体" w:cs="宋体"/>
                <w:color w:val="auto"/>
                <w:sz w:val="24"/>
                <w:szCs w:val="24"/>
              </w:rPr>
            </w:pPr>
          </w:p>
        </w:tc>
        <w:tc>
          <w:tcPr>
            <w:tcW w:w="1014" w:type="pct"/>
            <w:gridSpan w:val="2"/>
            <w:noWrap w:val="0"/>
            <w:vAlign w:val="top"/>
          </w:tcPr>
          <w:p>
            <w:pPr>
              <w:spacing w:line="360" w:lineRule="auto"/>
              <w:rPr>
                <w:rFonts w:hint="eastAsia" w:ascii="宋体" w:hAnsi="宋体" w:eastAsia="宋体" w:cs="宋体"/>
                <w:color w:val="auto"/>
                <w:sz w:val="24"/>
                <w:szCs w:val="24"/>
              </w:rPr>
            </w:pPr>
          </w:p>
        </w:tc>
        <w:tc>
          <w:tcPr>
            <w:tcW w:w="730" w:type="pct"/>
            <w:gridSpan w:val="2"/>
            <w:noWrap w:val="0"/>
            <w:vAlign w:val="top"/>
          </w:tcPr>
          <w:p>
            <w:pPr>
              <w:spacing w:line="360" w:lineRule="auto"/>
              <w:rPr>
                <w:rFonts w:hint="eastAsia" w:ascii="宋体" w:hAnsi="宋体" w:eastAsia="宋体" w:cs="宋体"/>
                <w:color w:val="auto"/>
                <w:sz w:val="24"/>
                <w:szCs w:val="24"/>
              </w:rPr>
            </w:pPr>
          </w:p>
        </w:tc>
        <w:tc>
          <w:tcPr>
            <w:tcW w:w="618"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宋体" w:hAnsi="宋体" w:eastAsia="宋体" w:cs="宋体"/>
                <w:color w:val="auto"/>
                <w:sz w:val="24"/>
                <w:szCs w:val="24"/>
              </w:rPr>
            </w:pPr>
          </w:p>
        </w:tc>
        <w:tc>
          <w:tcPr>
            <w:tcW w:w="635" w:type="pct"/>
            <w:gridSpan w:val="2"/>
            <w:noWrap w:val="0"/>
            <w:vAlign w:val="top"/>
          </w:tcPr>
          <w:p>
            <w:pPr>
              <w:spacing w:line="360" w:lineRule="auto"/>
              <w:rPr>
                <w:rFonts w:hint="eastAsia" w:ascii="宋体" w:hAnsi="宋体" w:eastAsia="宋体" w:cs="宋体"/>
                <w:color w:val="auto"/>
                <w:sz w:val="24"/>
                <w:szCs w:val="24"/>
              </w:rPr>
            </w:pPr>
          </w:p>
        </w:tc>
        <w:tc>
          <w:tcPr>
            <w:tcW w:w="636" w:type="pct"/>
            <w:gridSpan w:val="2"/>
            <w:noWrap w:val="0"/>
            <w:vAlign w:val="top"/>
          </w:tcPr>
          <w:p>
            <w:pPr>
              <w:spacing w:line="360" w:lineRule="auto"/>
              <w:rPr>
                <w:rFonts w:hint="eastAsia" w:ascii="宋体" w:hAnsi="宋体" w:eastAsia="宋体" w:cs="宋体"/>
                <w:color w:val="auto"/>
                <w:sz w:val="24"/>
                <w:szCs w:val="24"/>
              </w:rPr>
            </w:pPr>
          </w:p>
        </w:tc>
        <w:tc>
          <w:tcPr>
            <w:tcW w:w="727" w:type="pct"/>
            <w:gridSpan w:val="2"/>
            <w:noWrap w:val="0"/>
            <w:vAlign w:val="top"/>
          </w:tcPr>
          <w:p>
            <w:pPr>
              <w:spacing w:line="360" w:lineRule="auto"/>
              <w:rPr>
                <w:rFonts w:hint="eastAsia" w:ascii="宋体" w:hAnsi="宋体" w:eastAsia="宋体" w:cs="宋体"/>
                <w:color w:val="auto"/>
                <w:sz w:val="24"/>
                <w:szCs w:val="24"/>
              </w:rPr>
            </w:pPr>
          </w:p>
        </w:tc>
        <w:tc>
          <w:tcPr>
            <w:tcW w:w="1014" w:type="pct"/>
            <w:gridSpan w:val="2"/>
            <w:noWrap w:val="0"/>
            <w:vAlign w:val="top"/>
          </w:tcPr>
          <w:p>
            <w:pPr>
              <w:spacing w:line="360" w:lineRule="auto"/>
              <w:rPr>
                <w:rFonts w:hint="eastAsia" w:ascii="宋体" w:hAnsi="宋体" w:eastAsia="宋体" w:cs="宋体"/>
                <w:color w:val="auto"/>
                <w:sz w:val="24"/>
                <w:szCs w:val="24"/>
              </w:rPr>
            </w:pPr>
          </w:p>
        </w:tc>
        <w:tc>
          <w:tcPr>
            <w:tcW w:w="730" w:type="pct"/>
            <w:gridSpan w:val="2"/>
            <w:noWrap w:val="0"/>
            <w:vAlign w:val="top"/>
          </w:tcPr>
          <w:p>
            <w:pPr>
              <w:spacing w:line="360" w:lineRule="auto"/>
              <w:rPr>
                <w:rFonts w:hint="eastAsia" w:ascii="宋体" w:hAnsi="宋体" w:eastAsia="宋体" w:cs="宋体"/>
                <w:color w:val="auto"/>
                <w:sz w:val="24"/>
                <w:szCs w:val="24"/>
              </w:rPr>
            </w:pPr>
          </w:p>
        </w:tc>
        <w:tc>
          <w:tcPr>
            <w:tcW w:w="618"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宋体" w:hAnsi="宋体" w:eastAsia="宋体" w:cs="宋体"/>
                <w:color w:val="auto"/>
                <w:sz w:val="24"/>
                <w:szCs w:val="24"/>
              </w:rPr>
            </w:pPr>
          </w:p>
        </w:tc>
        <w:tc>
          <w:tcPr>
            <w:tcW w:w="635" w:type="pct"/>
            <w:gridSpan w:val="2"/>
            <w:noWrap w:val="0"/>
            <w:vAlign w:val="top"/>
          </w:tcPr>
          <w:p>
            <w:pPr>
              <w:spacing w:line="360" w:lineRule="auto"/>
              <w:rPr>
                <w:rFonts w:hint="eastAsia" w:ascii="宋体" w:hAnsi="宋体" w:eastAsia="宋体" w:cs="宋体"/>
                <w:color w:val="auto"/>
                <w:sz w:val="24"/>
                <w:szCs w:val="24"/>
              </w:rPr>
            </w:pPr>
          </w:p>
        </w:tc>
        <w:tc>
          <w:tcPr>
            <w:tcW w:w="636" w:type="pct"/>
            <w:gridSpan w:val="2"/>
            <w:noWrap w:val="0"/>
            <w:vAlign w:val="top"/>
          </w:tcPr>
          <w:p>
            <w:pPr>
              <w:spacing w:line="360" w:lineRule="auto"/>
              <w:rPr>
                <w:rFonts w:hint="eastAsia" w:ascii="宋体" w:hAnsi="宋体" w:eastAsia="宋体" w:cs="宋体"/>
                <w:color w:val="auto"/>
                <w:sz w:val="24"/>
                <w:szCs w:val="24"/>
              </w:rPr>
            </w:pPr>
          </w:p>
        </w:tc>
        <w:tc>
          <w:tcPr>
            <w:tcW w:w="727" w:type="pct"/>
            <w:gridSpan w:val="2"/>
            <w:noWrap w:val="0"/>
            <w:vAlign w:val="top"/>
          </w:tcPr>
          <w:p>
            <w:pPr>
              <w:spacing w:line="360" w:lineRule="auto"/>
              <w:rPr>
                <w:rFonts w:hint="eastAsia" w:ascii="宋体" w:hAnsi="宋体" w:eastAsia="宋体" w:cs="宋体"/>
                <w:color w:val="auto"/>
                <w:sz w:val="24"/>
                <w:szCs w:val="24"/>
              </w:rPr>
            </w:pPr>
          </w:p>
        </w:tc>
        <w:tc>
          <w:tcPr>
            <w:tcW w:w="1014" w:type="pct"/>
            <w:gridSpan w:val="2"/>
            <w:noWrap w:val="0"/>
            <w:vAlign w:val="top"/>
          </w:tcPr>
          <w:p>
            <w:pPr>
              <w:spacing w:line="360" w:lineRule="auto"/>
              <w:rPr>
                <w:rFonts w:hint="eastAsia" w:ascii="宋体" w:hAnsi="宋体" w:eastAsia="宋体" w:cs="宋体"/>
                <w:color w:val="auto"/>
                <w:sz w:val="24"/>
                <w:szCs w:val="24"/>
              </w:rPr>
            </w:pPr>
          </w:p>
        </w:tc>
        <w:tc>
          <w:tcPr>
            <w:tcW w:w="730" w:type="pct"/>
            <w:gridSpan w:val="2"/>
            <w:noWrap w:val="0"/>
            <w:vAlign w:val="top"/>
          </w:tcPr>
          <w:p>
            <w:pPr>
              <w:spacing w:line="360" w:lineRule="auto"/>
              <w:rPr>
                <w:rFonts w:hint="eastAsia" w:ascii="宋体" w:hAnsi="宋体" w:eastAsia="宋体" w:cs="宋体"/>
                <w:color w:val="auto"/>
                <w:sz w:val="24"/>
                <w:szCs w:val="24"/>
              </w:rPr>
            </w:pPr>
          </w:p>
        </w:tc>
        <w:tc>
          <w:tcPr>
            <w:tcW w:w="618"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宋体" w:hAnsi="宋体" w:eastAsia="宋体" w:cs="宋体"/>
                <w:color w:val="auto"/>
                <w:sz w:val="24"/>
                <w:szCs w:val="24"/>
              </w:rPr>
            </w:pPr>
          </w:p>
        </w:tc>
        <w:tc>
          <w:tcPr>
            <w:tcW w:w="635" w:type="pct"/>
            <w:gridSpan w:val="2"/>
            <w:noWrap w:val="0"/>
            <w:vAlign w:val="top"/>
          </w:tcPr>
          <w:p>
            <w:pPr>
              <w:spacing w:line="360" w:lineRule="auto"/>
              <w:rPr>
                <w:rFonts w:hint="eastAsia" w:ascii="宋体" w:hAnsi="宋体" w:eastAsia="宋体" w:cs="宋体"/>
                <w:color w:val="auto"/>
                <w:sz w:val="24"/>
                <w:szCs w:val="24"/>
              </w:rPr>
            </w:pPr>
          </w:p>
        </w:tc>
        <w:tc>
          <w:tcPr>
            <w:tcW w:w="636" w:type="pct"/>
            <w:gridSpan w:val="2"/>
            <w:noWrap w:val="0"/>
            <w:vAlign w:val="top"/>
          </w:tcPr>
          <w:p>
            <w:pPr>
              <w:spacing w:line="360" w:lineRule="auto"/>
              <w:rPr>
                <w:rFonts w:hint="eastAsia" w:ascii="宋体" w:hAnsi="宋体" w:eastAsia="宋体" w:cs="宋体"/>
                <w:color w:val="auto"/>
                <w:sz w:val="24"/>
                <w:szCs w:val="24"/>
              </w:rPr>
            </w:pPr>
          </w:p>
        </w:tc>
        <w:tc>
          <w:tcPr>
            <w:tcW w:w="727" w:type="pct"/>
            <w:gridSpan w:val="2"/>
            <w:noWrap w:val="0"/>
            <w:vAlign w:val="top"/>
          </w:tcPr>
          <w:p>
            <w:pPr>
              <w:spacing w:line="360" w:lineRule="auto"/>
              <w:rPr>
                <w:rFonts w:hint="eastAsia" w:ascii="宋体" w:hAnsi="宋体" w:eastAsia="宋体" w:cs="宋体"/>
                <w:color w:val="auto"/>
                <w:sz w:val="24"/>
                <w:szCs w:val="24"/>
              </w:rPr>
            </w:pPr>
          </w:p>
        </w:tc>
        <w:tc>
          <w:tcPr>
            <w:tcW w:w="1014" w:type="pct"/>
            <w:gridSpan w:val="2"/>
            <w:noWrap w:val="0"/>
            <w:vAlign w:val="top"/>
          </w:tcPr>
          <w:p>
            <w:pPr>
              <w:spacing w:line="360" w:lineRule="auto"/>
              <w:rPr>
                <w:rFonts w:hint="eastAsia" w:ascii="宋体" w:hAnsi="宋体" w:eastAsia="宋体" w:cs="宋体"/>
                <w:color w:val="auto"/>
                <w:sz w:val="24"/>
                <w:szCs w:val="24"/>
              </w:rPr>
            </w:pPr>
          </w:p>
        </w:tc>
        <w:tc>
          <w:tcPr>
            <w:tcW w:w="730" w:type="pct"/>
            <w:gridSpan w:val="2"/>
            <w:noWrap w:val="0"/>
            <w:vAlign w:val="top"/>
          </w:tcPr>
          <w:p>
            <w:pPr>
              <w:spacing w:line="360" w:lineRule="auto"/>
              <w:rPr>
                <w:rFonts w:hint="eastAsia" w:ascii="宋体" w:hAnsi="宋体" w:eastAsia="宋体" w:cs="宋体"/>
                <w:color w:val="auto"/>
                <w:sz w:val="24"/>
                <w:szCs w:val="24"/>
              </w:rPr>
            </w:pPr>
          </w:p>
        </w:tc>
        <w:tc>
          <w:tcPr>
            <w:tcW w:w="618"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宋体" w:hAnsi="宋体" w:eastAsia="宋体" w:cs="宋体"/>
                <w:color w:val="auto"/>
                <w:sz w:val="24"/>
                <w:szCs w:val="24"/>
              </w:rPr>
            </w:pPr>
          </w:p>
        </w:tc>
        <w:tc>
          <w:tcPr>
            <w:tcW w:w="635" w:type="pct"/>
            <w:gridSpan w:val="2"/>
            <w:noWrap w:val="0"/>
            <w:vAlign w:val="top"/>
          </w:tcPr>
          <w:p>
            <w:pPr>
              <w:spacing w:line="360" w:lineRule="auto"/>
              <w:rPr>
                <w:rFonts w:hint="eastAsia" w:ascii="宋体" w:hAnsi="宋体" w:eastAsia="宋体" w:cs="宋体"/>
                <w:color w:val="auto"/>
                <w:sz w:val="24"/>
                <w:szCs w:val="24"/>
              </w:rPr>
            </w:pPr>
          </w:p>
        </w:tc>
        <w:tc>
          <w:tcPr>
            <w:tcW w:w="636" w:type="pct"/>
            <w:gridSpan w:val="2"/>
            <w:noWrap w:val="0"/>
            <w:vAlign w:val="top"/>
          </w:tcPr>
          <w:p>
            <w:pPr>
              <w:spacing w:line="360" w:lineRule="auto"/>
              <w:rPr>
                <w:rFonts w:hint="eastAsia" w:ascii="宋体" w:hAnsi="宋体" w:eastAsia="宋体" w:cs="宋体"/>
                <w:color w:val="auto"/>
                <w:sz w:val="24"/>
                <w:szCs w:val="24"/>
              </w:rPr>
            </w:pPr>
          </w:p>
        </w:tc>
        <w:tc>
          <w:tcPr>
            <w:tcW w:w="727" w:type="pct"/>
            <w:gridSpan w:val="2"/>
            <w:noWrap w:val="0"/>
            <w:vAlign w:val="top"/>
          </w:tcPr>
          <w:p>
            <w:pPr>
              <w:spacing w:line="360" w:lineRule="auto"/>
              <w:rPr>
                <w:rFonts w:hint="eastAsia" w:ascii="宋体" w:hAnsi="宋体" w:eastAsia="宋体" w:cs="宋体"/>
                <w:color w:val="auto"/>
                <w:sz w:val="24"/>
                <w:szCs w:val="24"/>
              </w:rPr>
            </w:pPr>
          </w:p>
        </w:tc>
        <w:tc>
          <w:tcPr>
            <w:tcW w:w="1014" w:type="pct"/>
            <w:gridSpan w:val="2"/>
            <w:noWrap w:val="0"/>
            <w:vAlign w:val="top"/>
          </w:tcPr>
          <w:p>
            <w:pPr>
              <w:spacing w:line="360" w:lineRule="auto"/>
              <w:jc w:val="center"/>
              <w:rPr>
                <w:rFonts w:hint="eastAsia" w:ascii="宋体" w:hAnsi="宋体" w:eastAsia="宋体" w:cs="宋体"/>
                <w:color w:val="auto"/>
                <w:sz w:val="24"/>
                <w:szCs w:val="24"/>
              </w:rPr>
            </w:pPr>
          </w:p>
        </w:tc>
        <w:tc>
          <w:tcPr>
            <w:tcW w:w="730" w:type="pct"/>
            <w:gridSpan w:val="2"/>
            <w:noWrap w:val="0"/>
            <w:vAlign w:val="top"/>
          </w:tcPr>
          <w:p>
            <w:pPr>
              <w:spacing w:line="360" w:lineRule="auto"/>
              <w:rPr>
                <w:rFonts w:hint="eastAsia" w:ascii="宋体" w:hAnsi="宋体" w:eastAsia="宋体" w:cs="宋体"/>
                <w:color w:val="auto"/>
                <w:sz w:val="24"/>
                <w:szCs w:val="24"/>
              </w:rPr>
            </w:pPr>
          </w:p>
        </w:tc>
        <w:tc>
          <w:tcPr>
            <w:tcW w:w="618"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宋体" w:hAnsi="宋体" w:eastAsia="宋体" w:cs="宋体"/>
                <w:color w:val="auto"/>
                <w:sz w:val="24"/>
                <w:szCs w:val="24"/>
              </w:rPr>
            </w:pPr>
          </w:p>
        </w:tc>
        <w:tc>
          <w:tcPr>
            <w:tcW w:w="635" w:type="pct"/>
            <w:gridSpan w:val="2"/>
            <w:noWrap w:val="0"/>
            <w:vAlign w:val="top"/>
          </w:tcPr>
          <w:p>
            <w:pPr>
              <w:spacing w:line="360" w:lineRule="auto"/>
              <w:rPr>
                <w:rFonts w:hint="eastAsia" w:ascii="宋体" w:hAnsi="宋体" w:eastAsia="宋体" w:cs="宋体"/>
                <w:color w:val="auto"/>
                <w:sz w:val="24"/>
                <w:szCs w:val="24"/>
              </w:rPr>
            </w:pPr>
          </w:p>
        </w:tc>
        <w:tc>
          <w:tcPr>
            <w:tcW w:w="636" w:type="pct"/>
            <w:gridSpan w:val="2"/>
            <w:noWrap w:val="0"/>
            <w:vAlign w:val="top"/>
          </w:tcPr>
          <w:p>
            <w:pPr>
              <w:spacing w:line="360" w:lineRule="auto"/>
              <w:rPr>
                <w:rFonts w:hint="eastAsia" w:ascii="宋体" w:hAnsi="宋体" w:eastAsia="宋体" w:cs="宋体"/>
                <w:color w:val="auto"/>
                <w:sz w:val="24"/>
                <w:szCs w:val="24"/>
              </w:rPr>
            </w:pPr>
          </w:p>
        </w:tc>
        <w:tc>
          <w:tcPr>
            <w:tcW w:w="727" w:type="pct"/>
            <w:gridSpan w:val="2"/>
            <w:noWrap w:val="0"/>
            <w:vAlign w:val="top"/>
          </w:tcPr>
          <w:p>
            <w:pPr>
              <w:spacing w:line="360" w:lineRule="auto"/>
              <w:rPr>
                <w:rFonts w:hint="eastAsia" w:ascii="宋体" w:hAnsi="宋体" w:eastAsia="宋体" w:cs="宋体"/>
                <w:color w:val="auto"/>
                <w:sz w:val="24"/>
                <w:szCs w:val="24"/>
              </w:rPr>
            </w:pPr>
          </w:p>
        </w:tc>
        <w:tc>
          <w:tcPr>
            <w:tcW w:w="1014" w:type="pct"/>
            <w:gridSpan w:val="2"/>
            <w:noWrap w:val="0"/>
            <w:vAlign w:val="top"/>
          </w:tcPr>
          <w:p>
            <w:pPr>
              <w:spacing w:line="360" w:lineRule="auto"/>
              <w:rPr>
                <w:rFonts w:hint="eastAsia" w:ascii="宋体" w:hAnsi="宋体" w:eastAsia="宋体" w:cs="宋体"/>
                <w:color w:val="auto"/>
                <w:sz w:val="24"/>
                <w:szCs w:val="24"/>
              </w:rPr>
            </w:pPr>
          </w:p>
        </w:tc>
        <w:tc>
          <w:tcPr>
            <w:tcW w:w="730" w:type="pct"/>
            <w:gridSpan w:val="2"/>
            <w:noWrap w:val="0"/>
            <w:vAlign w:val="top"/>
          </w:tcPr>
          <w:p>
            <w:pPr>
              <w:spacing w:line="360" w:lineRule="auto"/>
              <w:rPr>
                <w:rFonts w:hint="eastAsia" w:ascii="宋体" w:hAnsi="宋体" w:eastAsia="宋体" w:cs="宋体"/>
                <w:color w:val="auto"/>
                <w:sz w:val="24"/>
                <w:szCs w:val="24"/>
              </w:rPr>
            </w:pPr>
          </w:p>
        </w:tc>
        <w:tc>
          <w:tcPr>
            <w:tcW w:w="618"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6" w:type="pct"/>
            <w:noWrap w:val="0"/>
            <w:vAlign w:val="top"/>
          </w:tcPr>
          <w:p>
            <w:pPr>
              <w:spacing w:line="360" w:lineRule="auto"/>
              <w:rPr>
                <w:rFonts w:hint="eastAsia" w:ascii="宋体" w:hAnsi="宋体" w:eastAsia="宋体" w:cs="宋体"/>
                <w:color w:val="auto"/>
                <w:sz w:val="24"/>
                <w:szCs w:val="24"/>
              </w:rPr>
            </w:pPr>
          </w:p>
        </w:tc>
        <w:tc>
          <w:tcPr>
            <w:tcW w:w="635" w:type="pct"/>
            <w:gridSpan w:val="2"/>
            <w:noWrap w:val="0"/>
            <w:vAlign w:val="top"/>
          </w:tcPr>
          <w:p>
            <w:pPr>
              <w:spacing w:line="360" w:lineRule="auto"/>
              <w:rPr>
                <w:rFonts w:hint="eastAsia" w:ascii="宋体" w:hAnsi="宋体" w:eastAsia="宋体" w:cs="宋体"/>
                <w:color w:val="auto"/>
                <w:sz w:val="24"/>
                <w:szCs w:val="24"/>
              </w:rPr>
            </w:pPr>
          </w:p>
        </w:tc>
        <w:tc>
          <w:tcPr>
            <w:tcW w:w="636" w:type="pct"/>
            <w:gridSpan w:val="2"/>
            <w:noWrap w:val="0"/>
            <w:vAlign w:val="top"/>
          </w:tcPr>
          <w:p>
            <w:pPr>
              <w:spacing w:line="360" w:lineRule="auto"/>
              <w:rPr>
                <w:rFonts w:hint="eastAsia" w:ascii="宋体" w:hAnsi="宋体" w:eastAsia="宋体" w:cs="宋体"/>
                <w:color w:val="auto"/>
                <w:sz w:val="24"/>
                <w:szCs w:val="24"/>
              </w:rPr>
            </w:pPr>
          </w:p>
        </w:tc>
        <w:tc>
          <w:tcPr>
            <w:tcW w:w="727" w:type="pct"/>
            <w:gridSpan w:val="2"/>
            <w:noWrap w:val="0"/>
            <w:vAlign w:val="top"/>
          </w:tcPr>
          <w:p>
            <w:pPr>
              <w:spacing w:line="360" w:lineRule="auto"/>
              <w:rPr>
                <w:rFonts w:hint="eastAsia" w:ascii="宋体" w:hAnsi="宋体" w:eastAsia="宋体" w:cs="宋体"/>
                <w:color w:val="auto"/>
                <w:sz w:val="24"/>
                <w:szCs w:val="24"/>
              </w:rPr>
            </w:pPr>
          </w:p>
        </w:tc>
        <w:tc>
          <w:tcPr>
            <w:tcW w:w="1014" w:type="pct"/>
            <w:gridSpan w:val="2"/>
            <w:noWrap w:val="0"/>
            <w:vAlign w:val="top"/>
          </w:tcPr>
          <w:p>
            <w:pPr>
              <w:spacing w:line="360" w:lineRule="auto"/>
              <w:rPr>
                <w:rFonts w:hint="eastAsia" w:ascii="宋体" w:hAnsi="宋体" w:eastAsia="宋体" w:cs="宋体"/>
                <w:color w:val="auto"/>
                <w:sz w:val="24"/>
                <w:szCs w:val="24"/>
              </w:rPr>
            </w:pPr>
          </w:p>
        </w:tc>
        <w:tc>
          <w:tcPr>
            <w:tcW w:w="730" w:type="pct"/>
            <w:gridSpan w:val="2"/>
            <w:noWrap w:val="0"/>
            <w:vAlign w:val="top"/>
          </w:tcPr>
          <w:p>
            <w:pPr>
              <w:spacing w:line="360" w:lineRule="auto"/>
              <w:rPr>
                <w:rFonts w:hint="eastAsia" w:ascii="宋体" w:hAnsi="宋体" w:eastAsia="宋体" w:cs="宋体"/>
                <w:color w:val="auto"/>
                <w:sz w:val="24"/>
                <w:szCs w:val="24"/>
              </w:rPr>
            </w:pPr>
          </w:p>
        </w:tc>
        <w:tc>
          <w:tcPr>
            <w:tcW w:w="618" w:type="pct"/>
            <w:noWrap w:val="0"/>
            <w:vAlign w:val="top"/>
          </w:tcPr>
          <w:p>
            <w:pPr>
              <w:spacing w:line="360" w:lineRule="auto"/>
              <w:rPr>
                <w:rFonts w:hint="eastAsia" w:ascii="宋体" w:hAnsi="宋体" w:eastAsia="宋体" w:cs="宋体"/>
                <w:color w:val="auto"/>
                <w:sz w:val="24"/>
                <w:szCs w:val="24"/>
              </w:rPr>
            </w:pPr>
          </w:p>
        </w:tc>
      </w:tr>
    </w:tbl>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注：附注册证书及身份证复印件。监理过的项目业绩附中标通知书或合同协议书。</w:t>
      </w:r>
    </w:p>
    <w:p>
      <w:pPr>
        <w:pStyle w:val="45"/>
        <w:rPr>
          <w:rFonts w:hint="eastAsia" w:ascii="宋体" w:hAnsi="宋体" w:eastAsia="宋体" w:cs="宋体"/>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r>
        <w:rPr>
          <w:rFonts w:hint="eastAsia" w:ascii="宋体" w:hAnsi="宋体" w:eastAsia="宋体" w:cs="宋体"/>
          <w:b/>
          <w:color w:val="auto"/>
          <w:sz w:val="24"/>
          <w:szCs w:val="24"/>
        </w:rPr>
        <w:t>附表3                   拟派总监代表简历表</w:t>
      </w:r>
    </w:p>
    <w:p>
      <w:pPr>
        <w:spacing w:line="360" w:lineRule="auto"/>
        <w:rPr>
          <w:rFonts w:hint="eastAsia" w:ascii="宋体" w:hAnsi="宋体" w:eastAsia="宋体" w:cs="宋体"/>
          <w:b/>
          <w:color w:val="auto"/>
          <w:sz w:val="24"/>
          <w:szCs w:val="24"/>
        </w:rPr>
      </w:pP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360"/>
        <w:gridCol w:w="919"/>
        <w:gridCol w:w="731"/>
        <w:gridCol w:w="550"/>
        <w:gridCol w:w="548"/>
        <w:gridCol w:w="917"/>
        <w:gridCol w:w="548"/>
        <w:gridCol w:w="1273"/>
        <w:gridCol w:w="739"/>
        <w:gridCol w:w="731"/>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30"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835" w:type="pct"/>
            <w:gridSpan w:val="2"/>
            <w:noWrap w:val="0"/>
            <w:vAlign w:val="top"/>
          </w:tcPr>
          <w:p>
            <w:pPr>
              <w:spacing w:line="360" w:lineRule="auto"/>
              <w:rPr>
                <w:rFonts w:hint="eastAsia" w:ascii="宋体" w:hAnsi="宋体" w:eastAsia="宋体" w:cs="宋体"/>
                <w:color w:val="auto"/>
                <w:sz w:val="24"/>
                <w:szCs w:val="24"/>
              </w:rPr>
            </w:pPr>
          </w:p>
        </w:tc>
        <w:tc>
          <w:tcPr>
            <w:tcW w:w="555"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性别</w:t>
            </w:r>
          </w:p>
        </w:tc>
        <w:tc>
          <w:tcPr>
            <w:tcW w:w="741" w:type="pct"/>
            <w:gridSpan w:val="2"/>
            <w:noWrap w:val="0"/>
            <w:vAlign w:val="top"/>
          </w:tcPr>
          <w:p>
            <w:pPr>
              <w:spacing w:line="360" w:lineRule="auto"/>
              <w:rPr>
                <w:rFonts w:hint="eastAsia" w:ascii="宋体" w:hAnsi="宋体" w:eastAsia="宋体" w:cs="宋体"/>
                <w:color w:val="auto"/>
                <w:sz w:val="24"/>
                <w:szCs w:val="24"/>
              </w:rPr>
            </w:pPr>
          </w:p>
        </w:tc>
        <w:tc>
          <w:tcPr>
            <w:tcW w:w="1018"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年龄</w:t>
            </w:r>
          </w:p>
        </w:tc>
        <w:tc>
          <w:tcPr>
            <w:tcW w:w="1019" w:type="pct"/>
            <w:gridSpan w:val="2"/>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30"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职称</w:t>
            </w:r>
          </w:p>
        </w:tc>
        <w:tc>
          <w:tcPr>
            <w:tcW w:w="835" w:type="pct"/>
            <w:gridSpan w:val="2"/>
            <w:noWrap w:val="0"/>
            <w:vAlign w:val="top"/>
          </w:tcPr>
          <w:p>
            <w:pPr>
              <w:spacing w:line="360" w:lineRule="auto"/>
              <w:rPr>
                <w:rFonts w:hint="eastAsia" w:ascii="宋体" w:hAnsi="宋体" w:eastAsia="宋体" w:cs="宋体"/>
                <w:color w:val="auto"/>
                <w:sz w:val="24"/>
                <w:szCs w:val="24"/>
              </w:rPr>
            </w:pPr>
          </w:p>
        </w:tc>
        <w:tc>
          <w:tcPr>
            <w:tcW w:w="555"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职务</w:t>
            </w:r>
          </w:p>
        </w:tc>
        <w:tc>
          <w:tcPr>
            <w:tcW w:w="741" w:type="pct"/>
            <w:gridSpan w:val="2"/>
            <w:noWrap w:val="0"/>
            <w:vAlign w:val="top"/>
          </w:tcPr>
          <w:p>
            <w:pPr>
              <w:spacing w:line="360" w:lineRule="auto"/>
              <w:rPr>
                <w:rFonts w:hint="eastAsia" w:ascii="宋体" w:hAnsi="宋体" w:eastAsia="宋体" w:cs="宋体"/>
                <w:color w:val="auto"/>
                <w:sz w:val="24"/>
                <w:szCs w:val="24"/>
              </w:rPr>
            </w:pPr>
          </w:p>
        </w:tc>
        <w:tc>
          <w:tcPr>
            <w:tcW w:w="1018"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学历</w:t>
            </w:r>
          </w:p>
        </w:tc>
        <w:tc>
          <w:tcPr>
            <w:tcW w:w="1019" w:type="pct"/>
            <w:gridSpan w:val="2"/>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30" w:type="pct"/>
            <w:gridSpan w:val="2"/>
            <w:noWrap w:val="0"/>
            <w:vAlign w:val="center"/>
          </w:tcPr>
          <w:p>
            <w:pPr>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参加工作时间</w:t>
            </w:r>
          </w:p>
        </w:tc>
        <w:tc>
          <w:tcPr>
            <w:tcW w:w="1390" w:type="pct"/>
            <w:gridSpan w:val="4"/>
            <w:noWrap w:val="0"/>
            <w:vAlign w:val="top"/>
          </w:tcPr>
          <w:p>
            <w:pPr>
              <w:spacing w:line="320" w:lineRule="exact"/>
              <w:ind w:firstLine="600" w:firstLineChars="250"/>
              <w:rPr>
                <w:rFonts w:hint="eastAsia" w:ascii="宋体" w:hAnsi="宋体" w:eastAsia="宋体" w:cs="宋体"/>
                <w:color w:val="auto"/>
                <w:sz w:val="24"/>
                <w:szCs w:val="24"/>
              </w:rPr>
            </w:pPr>
          </w:p>
        </w:tc>
        <w:tc>
          <w:tcPr>
            <w:tcW w:w="741" w:type="pct"/>
            <w:gridSpan w:val="2"/>
            <w:noWrap w:val="0"/>
            <w:vAlign w:val="top"/>
          </w:tcPr>
          <w:p>
            <w:pPr>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从事本工作年限</w:t>
            </w:r>
          </w:p>
        </w:tc>
        <w:tc>
          <w:tcPr>
            <w:tcW w:w="2037" w:type="pct"/>
            <w:gridSpan w:val="4"/>
            <w:noWrap w:val="0"/>
            <w:vAlign w:val="top"/>
          </w:tcPr>
          <w:p>
            <w:pPr>
              <w:spacing w:line="320" w:lineRule="exact"/>
              <w:ind w:firstLine="600" w:firstLineChars="25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5000" w:type="pct"/>
            <w:gridSpan w:val="1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在建或已完工程监理项目情况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建设单位</w:t>
            </w:r>
          </w:p>
        </w:tc>
        <w:tc>
          <w:tcPr>
            <w:tcW w:w="647"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648"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担任职务</w:t>
            </w:r>
          </w:p>
        </w:tc>
        <w:tc>
          <w:tcPr>
            <w:tcW w:w="741"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建设规模</w:t>
            </w:r>
          </w:p>
        </w:tc>
        <w:tc>
          <w:tcPr>
            <w:tcW w:w="921"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开、竣工日期</w:t>
            </w:r>
          </w:p>
        </w:tc>
        <w:tc>
          <w:tcPr>
            <w:tcW w:w="744" w:type="pct"/>
            <w:gridSpan w:val="2"/>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在建或已完</w:t>
            </w:r>
          </w:p>
        </w:tc>
        <w:tc>
          <w:tcPr>
            <w:tcW w:w="649"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宋体" w:hAnsi="宋体" w:eastAsia="宋体" w:cs="宋体"/>
                <w:color w:val="auto"/>
                <w:sz w:val="24"/>
                <w:szCs w:val="24"/>
              </w:rPr>
            </w:pPr>
          </w:p>
        </w:tc>
        <w:tc>
          <w:tcPr>
            <w:tcW w:w="647" w:type="pct"/>
            <w:gridSpan w:val="2"/>
            <w:noWrap w:val="0"/>
            <w:vAlign w:val="top"/>
          </w:tcPr>
          <w:p>
            <w:pPr>
              <w:spacing w:line="360" w:lineRule="auto"/>
              <w:rPr>
                <w:rFonts w:hint="eastAsia" w:ascii="宋体" w:hAnsi="宋体" w:eastAsia="宋体" w:cs="宋体"/>
                <w:color w:val="auto"/>
                <w:sz w:val="24"/>
                <w:szCs w:val="24"/>
              </w:rPr>
            </w:pPr>
          </w:p>
        </w:tc>
        <w:tc>
          <w:tcPr>
            <w:tcW w:w="648" w:type="pct"/>
            <w:gridSpan w:val="2"/>
            <w:noWrap w:val="0"/>
            <w:vAlign w:val="top"/>
          </w:tcPr>
          <w:p>
            <w:pPr>
              <w:spacing w:line="360" w:lineRule="auto"/>
              <w:rPr>
                <w:rFonts w:hint="eastAsia" w:ascii="宋体" w:hAnsi="宋体" w:eastAsia="宋体" w:cs="宋体"/>
                <w:color w:val="auto"/>
                <w:sz w:val="24"/>
                <w:szCs w:val="24"/>
              </w:rPr>
            </w:pPr>
          </w:p>
        </w:tc>
        <w:tc>
          <w:tcPr>
            <w:tcW w:w="741" w:type="pct"/>
            <w:gridSpan w:val="2"/>
            <w:noWrap w:val="0"/>
            <w:vAlign w:val="top"/>
          </w:tcPr>
          <w:p>
            <w:pPr>
              <w:spacing w:line="360" w:lineRule="auto"/>
              <w:rPr>
                <w:rFonts w:hint="eastAsia" w:ascii="宋体" w:hAnsi="宋体" w:eastAsia="宋体" w:cs="宋体"/>
                <w:color w:val="auto"/>
                <w:sz w:val="24"/>
                <w:szCs w:val="24"/>
              </w:rPr>
            </w:pPr>
          </w:p>
        </w:tc>
        <w:tc>
          <w:tcPr>
            <w:tcW w:w="921" w:type="pct"/>
            <w:gridSpan w:val="2"/>
            <w:noWrap w:val="0"/>
            <w:vAlign w:val="top"/>
          </w:tcPr>
          <w:p>
            <w:pPr>
              <w:spacing w:line="360" w:lineRule="auto"/>
              <w:rPr>
                <w:rFonts w:hint="eastAsia" w:ascii="宋体" w:hAnsi="宋体" w:eastAsia="宋体" w:cs="宋体"/>
                <w:color w:val="auto"/>
                <w:sz w:val="24"/>
                <w:szCs w:val="24"/>
              </w:rPr>
            </w:pPr>
          </w:p>
        </w:tc>
        <w:tc>
          <w:tcPr>
            <w:tcW w:w="744" w:type="pct"/>
            <w:gridSpan w:val="2"/>
            <w:noWrap w:val="0"/>
            <w:vAlign w:val="top"/>
          </w:tcPr>
          <w:p>
            <w:pPr>
              <w:spacing w:line="360" w:lineRule="auto"/>
              <w:rPr>
                <w:rFonts w:hint="eastAsia" w:ascii="宋体" w:hAnsi="宋体" w:eastAsia="宋体" w:cs="宋体"/>
                <w:color w:val="auto"/>
                <w:sz w:val="24"/>
                <w:szCs w:val="24"/>
              </w:rPr>
            </w:pPr>
          </w:p>
        </w:tc>
        <w:tc>
          <w:tcPr>
            <w:tcW w:w="649"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宋体" w:hAnsi="宋体" w:eastAsia="宋体" w:cs="宋体"/>
                <w:color w:val="auto"/>
                <w:sz w:val="24"/>
                <w:szCs w:val="24"/>
              </w:rPr>
            </w:pPr>
          </w:p>
        </w:tc>
        <w:tc>
          <w:tcPr>
            <w:tcW w:w="647" w:type="pct"/>
            <w:gridSpan w:val="2"/>
            <w:noWrap w:val="0"/>
            <w:vAlign w:val="top"/>
          </w:tcPr>
          <w:p>
            <w:pPr>
              <w:spacing w:line="360" w:lineRule="auto"/>
              <w:rPr>
                <w:rFonts w:hint="eastAsia" w:ascii="宋体" w:hAnsi="宋体" w:eastAsia="宋体" w:cs="宋体"/>
                <w:color w:val="auto"/>
                <w:sz w:val="24"/>
                <w:szCs w:val="24"/>
              </w:rPr>
            </w:pPr>
          </w:p>
        </w:tc>
        <w:tc>
          <w:tcPr>
            <w:tcW w:w="648" w:type="pct"/>
            <w:gridSpan w:val="2"/>
            <w:noWrap w:val="0"/>
            <w:vAlign w:val="top"/>
          </w:tcPr>
          <w:p>
            <w:pPr>
              <w:spacing w:line="360" w:lineRule="auto"/>
              <w:rPr>
                <w:rFonts w:hint="eastAsia" w:ascii="宋体" w:hAnsi="宋体" w:eastAsia="宋体" w:cs="宋体"/>
                <w:color w:val="auto"/>
                <w:sz w:val="24"/>
                <w:szCs w:val="24"/>
              </w:rPr>
            </w:pPr>
          </w:p>
        </w:tc>
        <w:tc>
          <w:tcPr>
            <w:tcW w:w="741" w:type="pct"/>
            <w:gridSpan w:val="2"/>
            <w:noWrap w:val="0"/>
            <w:vAlign w:val="top"/>
          </w:tcPr>
          <w:p>
            <w:pPr>
              <w:spacing w:line="360" w:lineRule="auto"/>
              <w:rPr>
                <w:rFonts w:hint="eastAsia" w:ascii="宋体" w:hAnsi="宋体" w:eastAsia="宋体" w:cs="宋体"/>
                <w:color w:val="auto"/>
                <w:sz w:val="24"/>
                <w:szCs w:val="24"/>
              </w:rPr>
            </w:pPr>
          </w:p>
        </w:tc>
        <w:tc>
          <w:tcPr>
            <w:tcW w:w="921" w:type="pct"/>
            <w:gridSpan w:val="2"/>
            <w:noWrap w:val="0"/>
            <w:vAlign w:val="top"/>
          </w:tcPr>
          <w:p>
            <w:pPr>
              <w:spacing w:line="360" w:lineRule="auto"/>
              <w:rPr>
                <w:rFonts w:hint="eastAsia" w:ascii="宋体" w:hAnsi="宋体" w:eastAsia="宋体" w:cs="宋体"/>
                <w:color w:val="auto"/>
                <w:sz w:val="24"/>
                <w:szCs w:val="24"/>
              </w:rPr>
            </w:pPr>
          </w:p>
        </w:tc>
        <w:tc>
          <w:tcPr>
            <w:tcW w:w="744" w:type="pct"/>
            <w:gridSpan w:val="2"/>
            <w:noWrap w:val="0"/>
            <w:vAlign w:val="top"/>
          </w:tcPr>
          <w:p>
            <w:pPr>
              <w:spacing w:line="360" w:lineRule="auto"/>
              <w:rPr>
                <w:rFonts w:hint="eastAsia" w:ascii="宋体" w:hAnsi="宋体" w:eastAsia="宋体" w:cs="宋体"/>
                <w:color w:val="auto"/>
                <w:sz w:val="24"/>
                <w:szCs w:val="24"/>
              </w:rPr>
            </w:pPr>
          </w:p>
        </w:tc>
        <w:tc>
          <w:tcPr>
            <w:tcW w:w="649"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宋体" w:hAnsi="宋体" w:eastAsia="宋体" w:cs="宋体"/>
                <w:color w:val="auto"/>
                <w:sz w:val="24"/>
                <w:szCs w:val="24"/>
              </w:rPr>
            </w:pPr>
          </w:p>
        </w:tc>
        <w:tc>
          <w:tcPr>
            <w:tcW w:w="647" w:type="pct"/>
            <w:gridSpan w:val="2"/>
            <w:noWrap w:val="0"/>
            <w:vAlign w:val="top"/>
          </w:tcPr>
          <w:p>
            <w:pPr>
              <w:spacing w:line="360" w:lineRule="auto"/>
              <w:rPr>
                <w:rFonts w:hint="eastAsia" w:ascii="宋体" w:hAnsi="宋体" w:eastAsia="宋体" w:cs="宋体"/>
                <w:color w:val="auto"/>
                <w:sz w:val="24"/>
                <w:szCs w:val="24"/>
              </w:rPr>
            </w:pPr>
          </w:p>
        </w:tc>
        <w:tc>
          <w:tcPr>
            <w:tcW w:w="648" w:type="pct"/>
            <w:gridSpan w:val="2"/>
            <w:noWrap w:val="0"/>
            <w:vAlign w:val="top"/>
          </w:tcPr>
          <w:p>
            <w:pPr>
              <w:spacing w:line="360" w:lineRule="auto"/>
              <w:rPr>
                <w:rFonts w:hint="eastAsia" w:ascii="宋体" w:hAnsi="宋体" w:eastAsia="宋体" w:cs="宋体"/>
                <w:color w:val="auto"/>
                <w:sz w:val="24"/>
                <w:szCs w:val="24"/>
              </w:rPr>
            </w:pPr>
          </w:p>
        </w:tc>
        <w:tc>
          <w:tcPr>
            <w:tcW w:w="741" w:type="pct"/>
            <w:gridSpan w:val="2"/>
            <w:noWrap w:val="0"/>
            <w:vAlign w:val="top"/>
          </w:tcPr>
          <w:p>
            <w:pPr>
              <w:spacing w:line="360" w:lineRule="auto"/>
              <w:rPr>
                <w:rFonts w:hint="eastAsia" w:ascii="宋体" w:hAnsi="宋体" w:eastAsia="宋体" w:cs="宋体"/>
                <w:color w:val="auto"/>
                <w:sz w:val="24"/>
                <w:szCs w:val="24"/>
              </w:rPr>
            </w:pPr>
          </w:p>
        </w:tc>
        <w:tc>
          <w:tcPr>
            <w:tcW w:w="921" w:type="pct"/>
            <w:gridSpan w:val="2"/>
            <w:noWrap w:val="0"/>
            <w:vAlign w:val="top"/>
          </w:tcPr>
          <w:p>
            <w:pPr>
              <w:spacing w:line="360" w:lineRule="auto"/>
              <w:rPr>
                <w:rFonts w:hint="eastAsia" w:ascii="宋体" w:hAnsi="宋体" w:eastAsia="宋体" w:cs="宋体"/>
                <w:color w:val="auto"/>
                <w:sz w:val="24"/>
                <w:szCs w:val="24"/>
              </w:rPr>
            </w:pPr>
          </w:p>
        </w:tc>
        <w:tc>
          <w:tcPr>
            <w:tcW w:w="744" w:type="pct"/>
            <w:gridSpan w:val="2"/>
            <w:noWrap w:val="0"/>
            <w:vAlign w:val="top"/>
          </w:tcPr>
          <w:p>
            <w:pPr>
              <w:spacing w:line="360" w:lineRule="auto"/>
              <w:rPr>
                <w:rFonts w:hint="eastAsia" w:ascii="宋体" w:hAnsi="宋体" w:eastAsia="宋体" w:cs="宋体"/>
                <w:color w:val="auto"/>
                <w:sz w:val="24"/>
                <w:szCs w:val="24"/>
              </w:rPr>
            </w:pPr>
          </w:p>
        </w:tc>
        <w:tc>
          <w:tcPr>
            <w:tcW w:w="649"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宋体" w:hAnsi="宋体" w:eastAsia="宋体" w:cs="宋体"/>
                <w:color w:val="auto"/>
                <w:sz w:val="24"/>
                <w:szCs w:val="24"/>
              </w:rPr>
            </w:pPr>
          </w:p>
        </w:tc>
        <w:tc>
          <w:tcPr>
            <w:tcW w:w="647" w:type="pct"/>
            <w:gridSpan w:val="2"/>
            <w:noWrap w:val="0"/>
            <w:vAlign w:val="top"/>
          </w:tcPr>
          <w:p>
            <w:pPr>
              <w:spacing w:line="360" w:lineRule="auto"/>
              <w:rPr>
                <w:rFonts w:hint="eastAsia" w:ascii="宋体" w:hAnsi="宋体" w:eastAsia="宋体" w:cs="宋体"/>
                <w:color w:val="auto"/>
                <w:sz w:val="24"/>
                <w:szCs w:val="24"/>
              </w:rPr>
            </w:pPr>
          </w:p>
        </w:tc>
        <w:tc>
          <w:tcPr>
            <w:tcW w:w="648" w:type="pct"/>
            <w:gridSpan w:val="2"/>
            <w:noWrap w:val="0"/>
            <w:vAlign w:val="top"/>
          </w:tcPr>
          <w:p>
            <w:pPr>
              <w:spacing w:line="360" w:lineRule="auto"/>
              <w:rPr>
                <w:rFonts w:hint="eastAsia" w:ascii="宋体" w:hAnsi="宋体" w:eastAsia="宋体" w:cs="宋体"/>
                <w:color w:val="auto"/>
                <w:sz w:val="24"/>
                <w:szCs w:val="24"/>
              </w:rPr>
            </w:pPr>
          </w:p>
        </w:tc>
        <w:tc>
          <w:tcPr>
            <w:tcW w:w="741" w:type="pct"/>
            <w:gridSpan w:val="2"/>
            <w:noWrap w:val="0"/>
            <w:vAlign w:val="top"/>
          </w:tcPr>
          <w:p>
            <w:pPr>
              <w:spacing w:line="360" w:lineRule="auto"/>
              <w:rPr>
                <w:rFonts w:hint="eastAsia" w:ascii="宋体" w:hAnsi="宋体" w:eastAsia="宋体" w:cs="宋体"/>
                <w:color w:val="auto"/>
                <w:sz w:val="24"/>
                <w:szCs w:val="24"/>
              </w:rPr>
            </w:pPr>
          </w:p>
        </w:tc>
        <w:tc>
          <w:tcPr>
            <w:tcW w:w="921" w:type="pct"/>
            <w:gridSpan w:val="2"/>
            <w:noWrap w:val="0"/>
            <w:vAlign w:val="top"/>
          </w:tcPr>
          <w:p>
            <w:pPr>
              <w:spacing w:line="360" w:lineRule="auto"/>
              <w:rPr>
                <w:rFonts w:hint="eastAsia" w:ascii="宋体" w:hAnsi="宋体" w:eastAsia="宋体" w:cs="宋体"/>
                <w:color w:val="auto"/>
                <w:sz w:val="24"/>
                <w:szCs w:val="24"/>
              </w:rPr>
            </w:pPr>
          </w:p>
        </w:tc>
        <w:tc>
          <w:tcPr>
            <w:tcW w:w="744" w:type="pct"/>
            <w:gridSpan w:val="2"/>
            <w:noWrap w:val="0"/>
            <w:vAlign w:val="top"/>
          </w:tcPr>
          <w:p>
            <w:pPr>
              <w:spacing w:line="360" w:lineRule="auto"/>
              <w:rPr>
                <w:rFonts w:hint="eastAsia" w:ascii="宋体" w:hAnsi="宋体" w:eastAsia="宋体" w:cs="宋体"/>
                <w:color w:val="auto"/>
                <w:sz w:val="24"/>
                <w:szCs w:val="24"/>
              </w:rPr>
            </w:pPr>
          </w:p>
        </w:tc>
        <w:tc>
          <w:tcPr>
            <w:tcW w:w="649"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宋体" w:hAnsi="宋体" w:eastAsia="宋体" w:cs="宋体"/>
                <w:color w:val="auto"/>
                <w:sz w:val="24"/>
                <w:szCs w:val="24"/>
              </w:rPr>
            </w:pPr>
          </w:p>
        </w:tc>
        <w:tc>
          <w:tcPr>
            <w:tcW w:w="647" w:type="pct"/>
            <w:gridSpan w:val="2"/>
            <w:noWrap w:val="0"/>
            <w:vAlign w:val="top"/>
          </w:tcPr>
          <w:p>
            <w:pPr>
              <w:spacing w:line="360" w:lineRule="auto"/>
              <w:rPr>
                <w:rFonts w:hint="eastAsia" w:ascii="宋体" w:hAnsi="宋体" w:eastAsia="宋体" w:cs="宋体"/>
                <w:color w:val="auto"/>
                <w:sz w:val="24"/>
                <w:szCs w:val="24"/>
              </w:rPr>
            </w:pPr>
          </w:p>
        </w:tc>
        <w:tc>
          <w:tcPr>
            <w:tcW w:w="648" w:type="pct"/>
            <w:gridSpan w:val="2"/>
            <w:noWrap w:val="0"/>
            <w:vAlign w:val="top"/>
          </w:tcPr>
          <w:p>
            <w:pPr>
              <w:spacing w:line="360" w:lineRule="auto"/>
              <w:rPr>
                <w:rFonts w:hint="eastAsia" w:ascii="宋体" w:hAnsi="宋体" w:eastAsia="宋体" w:cs="宋体"/>
                <w:color w:val="auto"/>
                <w:sz w:val="24"/>
                <w:szCs w:val="24"/>
              </w:rPr>
            </w:pPr>
          </w:p>
        </w:tc>
        <w:tc>
          <w:tcPr>
            <w:tcW w:w="741" w:type="pct"/>
            <w:gridSpan w:val="2"/>
            <w:noWrap w:val="0"/>
            <w:vAlign w:val="top"/>
          </w:tcPr>
          <w:p>
            <w:pPr>
              <w:spacing w:line="360" w:lineRule="auto"/>
              <w:rPr>
                <w:rFonts w:hint="eastAsia" w:ascii="宋体" w:hAnsi="宋体" w:eastAsia="宋体" w:cs="宋体"/>
                <w:color w:val="auto"/>
                <w:sz w:val="24"/>
                <w:szCs w:val="24"/>
              </w:rPr>
            </w:pPr>
          </w:p>
        </w:tc>
        <w:tc>
          <w:tcPr>
            <w:tcW w:w="921" w:type="pct"/>
            <w:gridSpan w:val="2"/>
            <w:noWrap w:val="0"/>
            <w:vAlign w:val="top"/>
          </w:tcPr>
          <w:p>
            <w:pPr>
              <w:spacing w:line="360" w:lineRule="auto"/>
              <w:rPr>
                <w:rFonts w:hint="eastAsia" w:ascii="宋体" w:hAnsi="宋体" w:eastAsia="宋体" w:cs="宋体"/>
                <w:color w:val="auto"/>
                <w:sz w:val="24"/>
                <w:szCs w:val="24"/>
              </w:rPr>
            </w:pPr>
          </w:p>
        </w:tc>
        <w:tc>
          <w:tcPr>
            <w:tcW w:w="744" w:type="pct"/>
            <w:gridSpan w:val="2"/>
            <w:noWrap w:val="0"/>
            <w:vAlign w:val="top"/>
          </w:tcPr>
          <w:p>
            <w:pPr>
              <w:spacing w:line="360" w:lineRule="auto"/>
              <w:rPr>
                <w:rFonts w:hint="eastAsia" w:ascii="宋体" w:hAnsi="宋体" w:eastAsia="宋体" w:cs="宋体"/>
                <w:color w:val="auto"/>
                <w:sz w:val="24"/>
                <w:szCs w:val="24"/>
              </w:rPr>
            </w:pPr>
          </w:p>
        </w:tc>
        <w:tc>
          <w:tcPr>
            <w:tcW w:w="649"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宋体" w:hAnsi="宋体" w:eastAsia="宋体" w:cs="宋体"/>
                <w:color w:val="auto"/>
                <w:sz w:val="24"/>
                <w:szCs w:val="24"/>
              </w:rPr>
            </w:pPr>
          </w:p>
        </w:tc>
        <w:tc>
          <w:tcPr>
            <w:tcW w:w="647" w:type="pct"/>
            <w:gridSpan w:val="2"/>
            <w:noWrap w:val="0"/>
            <w:vAlign w:val="top"/>
          </w:tcPr>
          <w:p>
            <w:pPr>
              <w:spacing w:line="360" w:lineRule="auto"/>
              <w:rPr>
                <w:rFonts w:hint="eastAsia" w:ascii="宋体" w:hAnsi="宋体" w:eastAsia="宋体" w:cs="宋体"/>
                <w:color w:val="auto"/>
                <w:sz w:val="24"/>
                <w:szCs w:val="24"/>
              </w:rPr>
            </w:pPr>
          </w:p>
        </w:tc>
        <w:tc>
          <w:tcPr>
            <w:tcW w:w="648" w:type="pct"/>
            <w:gridSpan w:val="2"/>
            <w:noWrap w:val="0"/>
            <w:vAlign w:val="top"/>
          </w:tcPr>
          <w:p>
            <w:pPr>
              <w:spacing w:line="360" w:lineRule="auto"/>
              <w:rPr>
                <w:rFonts w:hint="eastAsia" w:ascii="宋体" w:hAnsi="宋体" w:eastAsia="宋体" w:cs="宋体"/>
                <w:color w:val="auto"/>
                <w:sz w:val="24"/>
                <w:szCs w:val="24"/>
              </w:rPr>
            </w:pPr>
          </w:p>
        </w:tc>
        <w:tc>
          <w:tcPr>
            <w:tcW w:w="741" w:type="pct"/>
            <w:gridSpan w:val="2"/>
            <w:noWrap w:val="0"/>
            <w:vAlign w:val="top"/>
          </w:tcPr>
          <w:p>
            <w:pPr>
              <w:spacing w:line="360" w:lineRule="auto"/>
              <w:rPr>
                <w:rFonts w:hint="eastAsia" w:ascii="宋体" w:hAnsi="宋体" w:eastAsia="宋体" w:cs="宋体"/>
                <w:color w:val="auto"/>
                <w:sz w:val="24"/>
                <w:szCs w:val="24"/>
              </w:rPr>
            </w:pPr>
          </w:p>
        </w:tc>
        <w:tc>
          <w:tcPr>
            <w:tcW w:w="921" w:type="pct"/>
            <w:gridSpan w:val="2"/>
            <w:noWrap w:val="0"/>
            <w:vAlign w:val="top"/>
          </w:tcPr>
          <w:p>
            <w:pPr>
              <w:spacing w:line="360" w:lineRule="auto"/>
              <w:rPr>
                <w:rFonts w:hint="eastAsia" w:ascii="宋体" w:hAnsi="宋体" w:eastAsia="宋体" w:cs="宋体"/>
                <w:color w:val="auto"/>
                <w:sz w:val="24"/>
                <w:szCs w:val="24"/>
              </w:rPr>
            </w:pPr>
          </w:p>
        </w:tc>
        <w:tc>
          <w:tcPr>
            <w:tcW w:w="744" w:type="pct"/>
            <w:gridSpan w:val="2"/>
            <w:noWrap w:val="0"/>
            <w:vAlign w:val="top"/>
          </w:tcPr>
          <w:p>
            <w:pPr>
              <w:spacing w:line="360" w:lineRule="auto"/>
              <w:rPr>
                <w:rFonts w:hint="eastAsia" w:ascii="宋体" w:hAnsi="宋体" w:eastAsia="宋体" w:cs="宋体"/>
                <w:color w:val="auto"/>
                <w:sz w:val="24"/>
                <w:szCs w:val="24"/>
              </w:rPr>
            </w:pPr>
          </w:p>
        </w:tc>
        <w:tc>
          <w:tcPr>
            <w:tcW w:w="649"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宋体" w:hAnsi="宋体" w:eastAsia="宋体" w:cs="宋体"/>
                <w:color w:val="auto"/>
                <w:sz w:val="24"/>
                <w:szCs w:val="24"/>
              </w:rPr>
            </w:pPr>
          </w:p>
        </w:tc>
        <w:tc>
          <w:tcPr>
            <w:tcW w:w="647" w:type="pct"/>
            <w:gridSpan w:val="2"/>
            <w:noWrap w:val="0"/>
            <w:vAlign w:val="top"/>
          </w:tcPr>
          <w:p>
            <w:pPr>
              <w:spacing w:line="360" w:lineRule="auto"/>
              <w:rPr>
                <w:rFonts w:hint="eastAsia" w:ascii="宋体" w:hAnsi="宋体" w:eastAsia="宋体" w:cs="宋体"/>
                <w:color w:val="auto"/>
                <w:sz w:val="24"/>
                <w:szCs w:val="24"/>
              </w:rPr>
            </w:pPr>
          </w:p>
        </w:tc>
        <w:tc>
          <w:tcPr>
            <w:tcW w:w="648" w:type="pct"/>
            <w:gridSpan w:val="2"/>
            <w:noWrap w:val="0"/>
            <w:vAlign w:val="top"/>
          </w:tcPr>
          <w:p>
            <w:pPr>
              <w:spacing w:line="360" w:lineRule="auto"/>
              <w:rPr>
                <w:rFonts w:hint="eastAsia" w:ascii="宋体" w:hAnsi="宋体" w:eastAsia="宋体" w:cs="宋体"/>
                <w:color w:val="auto"/>
                <w:sz w:val="24"/>
                <w:szCs w:val="24"/>
              </w:rPr>
            </w:pPr>
          </w:p>
        </w:tc>
        <w:tc>
          <w:tcPr>
            <w:tcW w:w="741" w:type="pct"/>
            <w:gridSpan w:val="2"/>
            <w:noWrap w:val="0"/>
            <w:vAlign w:val="top"/>
          </w:tcPr>
          <w:p>
            <w:pPr>
              <w:spacing w:line="360" w:lineRule="auto"/>
              <w:rPr>
                <w:rFonts w:hint="eastAsia" w:ascii="宋体" w:hAnsi="宋体" w:eastAsia="宋体" w:cs="宋体"/>
                <w:color w:val="auto"/>
                <w:sz w:val="24"/>
                <w:szCs w:val="24"/>
              </w:rPr>
            </w:pPr>
          </w:p>
        </w:tc>
        <w:tc>
          <w:tcPr>
            <w:tcW w:w="921" w:type="pct"/>
            <w:gridSpan w:val="2"/>
            <w:noWrap w:val="0"/>
            <w:vAlign w:val="top"/>
          </w:tcPr>
          <w:p>
            <w:pPr>
              <w:spacing w:line="360" w:lineRule="auto"/>
              <w:rPr>
                <w:rFonts w:hint="eastAsia" w:ascii="宋体" w:hAnsi="宋体" w:eastAsia="宋体" w:cs="宋体"/>
                <w:color w:val="auto"/>
                <w:sz w:val="24"/>
                <w:szCs w:val="24"/>
              </w:rPr>
            </w:pPr>
          </w:p>
        </w:tc>
        <w:tc>
          <w:tcPr>
            <w:tcW w:w="744" w:type="pct"/>
            <w:gridSpan w:val="2"/>
            <w:noWrap w:val="0"/>
            <w:vAlign w:val="top"/>
          </w:tcPr>
          <w:p>
            <w:pPr>
              <w:spacing w:line="360" w:lineRule="auto"/>
              <w:rPr>
                <w:rFonts w:hint="eastAsia" w:ascii="宋体" w:hAnsi="宋体" w:eastAsia="宋体" w:cs="宋体"/>
                <w:color w:val="auto"/>
                <w:sz w:val="24"/>
                <w:szCs w:val="24"/>
              </w:rPr>
            </w:pPr>
          </w:p>
        </w:tc>
        <w:tc>
          <w:tcPr>
            <w:tcW w:w="649"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宋体" w:hAnsi="宋体" w:eastAsia="宋体" w:cs="宋体"/>
                <w:color w:val="auto"/>
                <w:sz w:val="24"/>
                <w:szCs w:val="24"/>
              </w:rPr>
            </w:pPr>
          </w:p>
        </w:tc>
        <w:tc>
          <w:tcPr>
            <w:tcW w:w="647" w:type="pct"/>
            <w:gridSpan w:val="2"/>
            <w:noWrap w:val="0"/>
            <w:vAlign w:val="top"/>
          </w:tcPr>
          <w:p>
            <w:pPr>
              <w:spacing w:line="360" w:lineRule="auto"/>
              <w:rPr>
                <w:rFonts w:hint="eastAsia" w:ascii="宋体" w:hAnsi="宋体" w:eastAsia="宋体" w:cs="宋体"/>
                <w:color w:val="auto"/>
                <w:sz w:val="24"/>
                <w:szCs w:val="24"/>
              </w:rPr>
            </w:pPr>
          </w:p>
        </w:tc>
        <w:tc>
          <w:tcPr>
            <w:tcW w:w="648" w:type="pct"/>
            <w:gridSpan w:val="2"/>
            <w:noWrap w:val="0"/>
            <w:vAlign w:val="top"/>
          </w:tcPr>
          <w:p>
            <w:pPr>
              <w:spacing w:line="360" w:lineRule="auto"/>
              <w:rPr>
                <w:rFonts w:hint="eastAsia" w:ascii="宋体" w:hAnsi="宋体" w:eastAsia="宋体" w:cs="宋体"/>
                <w:color w:val="auto"/>
                <w:sz w:val="24"/>
                <w:szCs w:val="24"/>
              </w:rPr>
            </w:pPr>
          </w:p>
        </w:tc>
        <w:tc>
          <w:tcPr>
            <w:tcW w:w="741" w:type="pct"/>
            <w:gridSpan w:val="2"/>
            <w:noWrap w:val="0"/>
            <w:vAlign w:val="top"/>
          </w:tcPr>
          <w:p>
            <w:pPr>
              <w:spacing w:line="360" w:lineRule="auto"/>
              <w:rPr>
                <w:rFonts w:hint="eastAsia" w:ascii="宋体" w:hAnsi="宋体" w:eastAsia="宋体" w:cs="宋体"/>
                <w:color w:val="auto"/>
                <w:sz w:val="24"/>
                <w:szCs w:val="24"/>
              </w:rPr>
            </w:pPr>
          </w:p>
        </w:tc>
        <w:tc>
          <w:tcPr>
            <w:tcW w:w="921" w:type="pct"/>
            <w:gridSpan w:val="2"/>
            <w:noWrap w:val="0"/>
            <w:vAlign w:val="top"/>
          </w:tcPr>
          <w:p>
            <w:pPr>
              <w:spacing w:line="360" w:lineRule="auto"/>
              <w:rPr>
                <w:rFonts w:hint="eastAsia" w:ascii="宋体" w:hAnsi="宋体" w:eastAsia="宋体" w:cs="宋体"/>
                <w:color w:val="auto"/>
                <w:sz w:val="24"/>
                <w:szCs w:val="24"/>
              </w:rPr>
            </w:pPr>
          </w:p>
        </w:tc>
        <w:tc>
          <w:tcPr>
            <w:tcW w:w="744" w:type="pct"/>
            <w:gridSpan w:val="2"/>
            <w:noWrap w:val="0"/>
            <w:vAlign w:val="top"/>
          </w:tcPr>
          <w:p>
            <w:pPr>
              <w:spacing w:line="360" w:lineRule="auto"/>
              <w:rPr>
                <w:rFonts w:hint="eastAsia" w:ascii="宋体" w:hAnsi="宋体" w:eastAsia="宋体" w:cs="宋体"/>
                <w:color w:val="auto"/>
                <w:sz w:val="24"/>
                <w:szCs w:val="24"/>
              </w:rPr>
            </w:pPr>
          </w:p>
        </w:tc>
        <w:tc>
          <w:tcPr>
            <w:tcW w:w="649"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宋体" w:hAnsi="宋体" w:eastAsia="宋体" w:cs="宋体"/>
                <w:color w:val="auto"/>
                <w:sz w:val="24"/>
                <w:szCs w:val="24"/>
              </w:rPr>
            </w:pPr>
          </w:p>
        </w:tc>
        <w:tc>
          <w:tcPr>
            <w:tcW w:w="647" w:type="pct"/>
            <w:gridSpan w:val="2"/>
            <w:noWrap w:val="0"/>
            <w:vAlign w:val="top"/>
          </w:tcPr>
          <w:p>
            <w:pPr>
              <w:spacing w:line="360" w:lineRule="auto"/>
              <w:rPr>
                <w:rFonts w:hint="eastAsia" w:ascii="宋体" w:hAnsi="宋体" w:eastAsia="宋体" w:cs="宋体"/>
                <w:color w:val="auto"/>
                <w:sz w:val="24"/>
                <w:szCs w:val="24"/>
              </w:rPr>
            </w:pPr>
          </w:p>
        </w:tc>
        <w:tc>
          <w:tcPr>
            <w:tcW w:w="648" w:type="pct"/>
            <w:gridSpan w:val="2"/>
            <w:noWrap w:val="0"/>
            <w:vAlign w:val="top"/>
          </w:tcPr>
          <w:p>
            <w:pPr>
              <w:spacing w:line="360" w:lineRule="auto"/>
              <w:rPr>
                <w:rFonts w:hint="eastAsia" w:ascii="宋体" w:hAnsi="宋体" w:eastAsia="宋体" w:cs="宋体"/>
                <w:color w:val="auto"/>
                <w:sz w:val="24"/>
                <w:szCs w:val="24"/>
              </w:rPr>
            </w:pPr>
          </w:p>
        </w:tc>
        <w:tc>
          <w:tcPr>
            <w:tcW w:w="741" w:type="pct"/>
            <w:gridSpan w:val="2"/>
            <w:noWrap w:val="0"/>
            <w:vAlign w:val="top"/>
          </w:tcPr>
          <w:p>
            <w:pPr>
              <w:spacing w:line="360" w:lineRule="auto"/>
              <w:rPr>
                <w:rFonts w:hint="eastAsia" w:ascii="宋体" w:hAnsi="宋体" w:eastAsia="宋体" w:cs="宋体"/>
                <w:color w:val="auto"/>
                <w:sz w:val="24"/>
                <w:szCs w:val="24"/>
              </w:rPr>
            </w:pPr>
          </w:p>
        </w:tc>
        <w:tc>
          <w:tcPr>
            <w:tcW w:w="921" w:type="pct"/>
            <w:gridSpan w:val="2"/>
            <w:noWrap w:val="0"/>
            <w:vAlign w:val="top"/>
          </w:tcPr>
          <w:p>
            <w:pPr>
              <w:spacing w:line="360" w:lineRule="auto"/>
              <w:rPr>
                <w:rFonts w:hint="eastAsia" w:ascii="宋体" w:hAnsi="宋体" w:eastAsia="宋体" w:cs="宋体"/>
                <w:color w:val="auto"/>
                <w:sz w:val="24"/>
                <w:szCs w:val="24"/>
              </w:rPr>
            </w:pPr>
          </w:p>
        </w:tc>
        <w:tc>
          <w:tcPr>
            <w:tcW w:w="744" w:type="pct"/>
            <w:gridSpan w:val="2"/>
            <w:noWrap w:val="0"/>
            <w:vAlign w:val="top"/>
          </w:tcPr>
          <w:p>
            <w:pPr>
              <w:spacing w:line="360" w:lineRule="auto"/>
              <w:rPr>
                <w:rFonts w:hint="eastAsia" w:ascii="宋体" w:hAnsi="宋体" w:eastAsia="宋体" w:cs="宋体"/>
                <w:color w:val="auto"/>
                <w:sz w:val="24"/>
                <w:szCs w:val="24"/>
              </w:rPr>
            </w:pPr>
          </w:p>
        </w:tc>
        <w:tc>
          <w:tcPr>
            <w:tcW w:w="649"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宋体" w:hAnsi="宋体" w:eastAsia="宋体" w:cs="宋体"/>
                <w:color w:val="auto"/>
                <w:sz w:val="24"/>
                <w:szCs w:val="24"/>
              </w:rPr>
            </w:pPr>
          </w:p>
        </w:tc>
        <w:tc>
          <w:tcPr>
            <w:tcW w:w="647" w:type="pct"/>
            <w:gridSpan w:val="2"/>
            <w:noWrap w:val="0"/>
            <w:vAlign w:val="top"/>
          </w:tcPr>
          <w:p>
            <w:pPr>
              <w:spacing w:line="360" w:lineRule="auto"/>
              <w:rPr>
                <w:rFonts w:hint="eastAsia" w:ascii="宋体" w:hAnsi="宋体" w:eastAsia="宋体" w:cs="宋体"/>
                <w:color w:val="auto"/>
                <w:sz w:val="24"/>
                <w:szCs w:val="24"/>
              </w:rPr>
            </w:pPr>
          </w:p>
        </w:tc>
        <w:tc>
          <w:tcPr>
            <w:tcW w:w="648" w:type="pct"/>
            <w:gridSpan w:val="2"/>
            <w:noWrap w:val="0"/>
            <w:vAlign w:val="top"/>
          </w:tcPr>
          <w:p>
            <w:pPr>
              <w:spacing w:line="360" w:lineRule="auto"/>
              <w:rPr>
                <w:rFonts w:hint="eastAsia" w:ascii="宋体" w:hAnsi="宋体" w:eastAsia="宋体" w:cs="宋体"/>
                <w:color w:val="auto"/>
                <w:sz w:val="24"/>
                <w:szCs w:val="24"/>
              </w:rPr>
            </w:pPr>
          </w:p>
        </w:tc>
        <w:tc>
          <w:tcPr>
            <w:tcW w:w="741" w:type="pct"/>
            <w:gridSpan w:val="2"/>
            <w:noWrap w:val="0"/>
            <w:vAlign w:val="top"/>
          </w:tcPr>
          <w:p>
            <w:pPr>
              <w:spacing w:line="360" w:lineRule="auto"/>
              <w:rPr>
                <w:rFonts w:hint="eastAsia" w:ascii="宋体" w:hAnsi="宋体" w:eastAsia="宋体" w:cs="宋体"/>
                <w:color w:val="auto"/>
                <w:sz w:val="24"/>
                <w:szCs w:val="24"/>
              </w:rPr>
            </w:pPr>
          </w:p>
        </w:tc>
        <w:tc>
          <w:tcPr>
            <w:tcW w:w="921" w:type="pct"/>
            <w:gridSpan w:val="2"/>
            <w:noWrap w:val="0"/>
            <w:vAlign w:val="top"/>
          </w:tcPr>
          <w:p>
            <w:pPr>
              <w:spacing w:line="360" w:lineRule="auto"/>
              <w:rPr>
                <w:rFonts w:hint="eastAsia" w:ascii="宋体" w:hAnsi="宋体" w:eastAsia="宋体" w:cs="宋体"/>
                <w:color w:val="auto"/>
                <w:sz w:val="24"/>
                <w:szCs w:val="24"/>
              </w:rPr>
            </w:pPr>
          </w:p>
        </w:tc>
        <w:tc>
          <w:tcPr>
            <w:tcW w:w="744" w:type="pct"/>
            <w:gridSpan w:val="2"/>
            <w:noWrap w:val="0"/>
            <w:vAlign w:val="top"/>
          </w:tcPr>
          <w:p>
            <w:pPr>
              <w:spacing w:line="360" w:lineRule="auto"/>
              <w:rPr>
                <w:rFonts w:hint="eastAsia" w:ascii="宋体" w:hAnsi="宋体" w:eastAsia="宋体" w:cs="宋体"/>
                <w:color w:val="auto"/>
                <w:sz w:val="24"/>
                <w:szCs w:val="24"/>
              </w:rPr>
            </w:pPr>
          </w:p>
        </w:tc>
        <w:tc>
          <w:tcPr>
            <w:tcW w:w="649"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pct"/>
            <w:noWrap w:val="0"/>
            <w:vAlign w:val="top"/>
          </w:tcPr>
          <w:p>
            <w:pPr>
              <w:spacing w:line="360" w:lineRule="auto"/>
              <w:rPr>
                <w:rFonts w:hint="eastAsia" w:ascii="宋体" w:hAnsi="宋体" w:eastAsia="宋体" w:cs="宋体"/>
                <w:color w:val="auto"/>
                <w:sz w:val="24"/>
                <w:szCs w:val="24"/>
              </w:rPr>
            </w:pPr>
          </w:p>
        </w:tc>
        <w:tc>
          <w:tcPr>
            <w:tcW w:w="647" w:type="pct"/>
            <w:gridSpan w:val="2"/>
            <w:noWrap w:val="0"/>
            <w:vAlign w:val="top"/>
          </w:tcPr>
          <w:p>
            <w:pPr>
              <w:spacing w:line="360" w:lineRule="auto"/>
              <w:rPr>
                <w:rFonts w:hint="eastAsia" w:ascii="宋体" w:hAnsi="宋体" w:eastAsia="宋体" w:cs="宋体"/>
                <w:color w:val="auto"/>
                <w:sz w:val="24"/>
                <w:szCs w:val="24"/>
              </w:rPr>
            </w:pPr>
          </w:p>
        </w:tc>
        <w:tc>
          <w:tcPr>
            <w:tcW w:w="648" w:type="pct"/>
            <w:gridSpan w:val="2"/>
            <w:noWrap w:val="0"/>
            <w:vAlign w:val="top"/>
          </w:tcPr>
          <w:p>
            <w:pPr>
              <w:spacing w:line="360" w:lineRule="auto"/>
              <w:rPr>
                <w:rFonts w:hint="eastAsia" w:ascii="宋体" w:hAnsi="宋体" w:eastAsia="宋体" w:cs="宋体"/>
                <w:color w:val="auto"/>
                <w:sz w:val="24"/>
                <w:szCs w:val="24"/>
              </w:rPr>
            </w:pPr>
          </w:p>
        </w:tc>
        <w:tc>
          <w:tcPr>
            <w:tcW w:w="741" w:type="pct"/>
            <w:gridSpan w:val="2"/>
            <w:noWrap w:val="0"/>
            <w:vAlign w:val="top"/>
          </w:tcPr>
          <w:p>
            <w:pPr>
              <w:spacing w:line="360" w:lineRule="auto"/>
              <w:rPr>
                <w:rFonts w:hint="eastAsia" w:ascii="宋体" w:hAnsi="宋体" w:eastAsia="宋体" w:cs="宋体"/>
                <w:color w:val="auto"/>
                <w:sz w:val="24"/>
                <w:szCs w:val="24"/>
              </w:rPr>
            </w:pPr>
          </w:p>
        </w:tc>
        <w:tc>
          <w:tcPr>
            <w:tcW w:w="921" w:type="pct"/>
            <w:gridSpan w:val="2"/>
            <w:noWrap w:val="0"/>
            <w:vAlign w:val="top"/>
          </w:tcPr>
          <w:p>
            <w:pPr>
              <w:spacing w:line="360" w:lineRule="auto"/>
              <w:rPr>
                <w:rFonts w:hint="eastAsia" w:ascii="宋体" w:hAnsi="宋体" w:eastAsia="宋体" w:cs="宋体"/>
                <w:color w:val="auto"/>
                <w:sz w:val="24"/>
                <w:szCs w:val="24"/>
              </w:rPr>
            </w:pPr>
          </w:p>
        </w:tc>
        <w:tc>
          <w:tcPr>
            <w:tcW w:w="744" w:type="pct"/>
            <w:gridSpan w:val="2"/>
            <w:noWrap w:val="0"/>
            <w:vAlign w:val="top"/>
          </w:tcPr>
          <w:p>
            <w:pPr>
              <w:spacing w:line="360" w:lineRule="auto"/>
              <w:rPr>
                <w:rFonts w:hint="eastAsia" w:ascii="宋体" w:hAnsi="宋体" w:eastAsia="宋体" w:cs="宋体"/>
                <w:color w:val="auto"/>
                <w:sz w:val="24"/>
                <w:szCs w:val="24"/>
              </w:rPr>
            </w:pPr>
          </w:p>
        </w:tc>
        <w:tc>
          <w:tcPr>
            <w:tcW w:w="649" w:type="pct"/>
            <w:noWrap w:val="0"/>
            <w:vAlign w:val="top"/>
          </w:tcPr>
          <w:p>
            <w:pPr>
              <w:spacing w:line="360" w:lineRule="auto"/>
              <w:rPr>
                <w:rFonts w:hint="eastAsia" w:ascii="宋体" w:hAnsi="宋体" w:eastAsia="宋体" w:cs="宋体"/>
                <w:color w:val="auto"/>
                <w:sz w:val="24"/>
                <w:szCs w:val="24"/>
              </w:rPr>
            </w:pPr>
          </w:p>
        </w:tc>
      </w:tr>
    </w:tbl>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注：附岗位证书及身份证复印件。</w:t>
      </w:r>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附表4                   拟派项目监理人员情况表</w:t>
      </w:r>
    </w:p>
    <w:p>
      <w:pPr>
        <w:spacing w:line="360" w:lineRule="auto"/>
        <w:rPr>
          <w:rFonts w:hint="eastAsia" w:ascii="宋体" w:hAnsi="宋体" w:eastAsia="宋体" w:cs="宋体"/>
          <w:b/>
          <w:color w:val="auto"/>
          <w:sz w:val="24"/>
          <w:szCs w:val="24"/>
        </w:rPr>
      </w:pPr>
    </w:p>
    <w:tbl>
      <w:tblPr>
        <w:tblStyle w:val="3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943"/>
        <w:gridCol w:w="1280"/>
        <w:gridCol w:w="1463"/>
        <w:gridCol w:w="1096"/>
        <w:gridCol w:w="927"/>
        <w:gridCol w:w="1673"/>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32"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477"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性别</w:t>
            </w:r>
          </w:p>
        </w:tc>
        <w:tc>
          <w:tcPr>
            <w:tcW w:w="647"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职称证书</w:t>
            </w:r>
          </w:p>
        </w:tc>
        <w:tc>
          <w:tcPr>
            <w:tcW w:w="1763" w:type="pct"/>
            <w:gridSpan w:val="3"/>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上岗资格证书</w:t>
            </w:r>
          </w:p>
        </w:tc>
        <w:tc>
          <w:tcPr>
            <w:tcW w:w="846"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在本工程中拟担任的工作</w:t>
            </w:r>
          </w:p>
        </w:tc>
        <w:tc>
          <w:tcPr>
            <w:tcW w:w="632"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以往工作年限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32" w:type="pct"/>
            <w:vMerge w:val="continue"/>
            <w:noWrap w:val="0"/>
            <w:vAlign w:val="center"/>
          </w:tcPr>
          <w:p>
            <w:pPr>
              <w:widowControl/>
              <w:jc w:val="left"/>
              <w:rPr>
                <w:rFonts w:hint="eastAsia" w:ascii="宋体" w:hAnsi="宋体" w:eastAsia="宋体" w:cs="宋体"/>
                <w:color w:val="auto"/>
                <w:sz w:val="24"/>
                <w:szCs w:val="24"/>
              </w:rPr>
            </w:pPr>
          </w:p>
        </w:tc>
        <w:tc>
          <w:tcPr>
            <w:tcW w:w="477" w:type="pct"/>
            <w:vMerge w:val="continue"/>
            <w:noWrap w:val="0"/>
            <w:vAlign w:val="center"/>
          </w:tcPr>
          <w:p>
            <w:pPr>
              <w:widowControl/>
              <w:jc w:val="left"/>
              <w:rPr>
                <w:rFonts w:hint="eastAsia" w:ascii="宋体" w:hAnsi="宋体" w:eastAsia="宋体" w:cs="宋体"/>
                <w:color w:val="auto"/>
                <w:sz w:val="24"/>
                <w:szCs w:val="24"/>
              </w:rPr>
            </w:pPr>
          </w:p>
        </w:tc>
        <w:tc>
          <w:tcPr>
            <w:tcW w:w="647" w:type="pct"/>
            <w:vMerge w:val="continue"/>
            <w:noWrap w:val="0"/>
            <w:vAlign w:val="center"/>
          </w:tcPr>
          <w:p>
            <w:pPr>
              <w:widowControl/>
              <w:jc w:val="left"/>
              <w:rPr>
                <w:rFonts w:hint="eastAsia" w:ascii="宋体" w:hAnsi="宋体" w:eastAsia="宋体" w:cs="宋体"/>
                <w:color w:val="auto"/>
                <w:sz w:val="24"/>
                <w:szCs w:val="24"/>
              </w:rPr>
            </w:pPr>
          </w:p>
        </w:tc>
        <w:tc>
          <w:tcPr>
            <w:tcW w:w="740"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证书名称</w:t>
            </w:r>
          </w:p>
        </w:tc>
        <w:tc>
          <w:tcPr>
            <w:tcW w:w="554"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证号</w:t>
            </w:r>
          </w:p>
        </w:tc>
        <w:tc>
          <w:tcPr>
            <w:tcW w:w="467"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w:t>
            </w:r>
          </w:p>
        </w:tc>
        <w:tc>
          <w:tcPr>
            <w:tcW w:w="846" w:type="pct"/>
            <w:vMerge w:val="continue"/>
            <w:noWrap w:val="0"/>
            <w:vAlign w:val="center"/>
          </w:tcPr>
          <w:p>
            <w:pPr>
              <w:widowControl/>
              <w:jc w:val="left"/>
              <w:rPr>
                <w:rFonts w:hint="eastAsia" w:ascii="宋体" w:hAnsi="宋体" w:eastAsia="宋体" w:cs="宋体"/>
                <w:color w:val="auto"/>
                <w:sz w:val="24"/>
                <w:szCs w:val="24"/>
              </w:rPr>
            </w:pPr>
          </w:p>
        </w:tc>
        <w:tc>
          <w:tcPr>
            <w:tcW w:w="632" w:type="pct"/>
            <w:vMerge w:val="continue"/>
            <w:noWrap w:val="0"/>
            <w:vAlign w:val="center"/>
          </w:tcPr>
          <w:p>
            <w:pPr>
              <w:widowControl/>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宋体" w:hAnsi="宋体" w:eastAsia="宋体" w:cs="宋体"/>
                <w:color w:val="auto"/>
                <w:sz w:val="24"/>
                <w:szCs w:val="24"/>
              </w:rPr>
            </w:pPr>
          </w:p>
        </w:tc>
        <w:tc>
          <w:tcPr>
            <w:tcW w:w="477" w:type="pct"/>
            <w:noWrap w:val="0"/>
            <w:vAlign w:val="top"/>
          </w:tcPr>
          <w:p>
            <w:pPr>
              <w:spacing w:line="360" w:lineRule="auto"/>
              <w:rPr>
                <w:rFonts w:hint="eastAsia" w:ascii="宋体" w:hAnsi="宋体" w:eastAsia="宋体" w:cs="宋体"/>
                <w:color w:val="auto"/>
                <w:sz w:val="24"/>
                <w:szCs w:val="24"/>
              </w:rPr>
            </w:pPr>
          </w:p>
        </w:tc>
        <w:tc>
          <w:tcPr>
            <w:tcW w:w="647" w:type="pct"/>
            <w:noWrap w:val="0"/>
            <w:vAlign w:val="top"/>
          </w:tcPr>
          <w:p>
            <w:pPr>
              <w:spacing w:line="360" w:lineRule="auto"/>
              <w:rPr>
                <w:rFonts w:hint="eastAsia" w:ascii="宋体" w:hAnsi="宋体" w:eastAsia="宋体" w:cs="宋体"/>
                <w:color w:val="auto"/>
                <w:sz w:val="24"/>
                <w:szCs w:val="24"/>
              </w:rPr>
            </w:pPr>
          </w:p>
        </w:tc>
        <w:tc>
          <w:tcPr>
            <w:tcW w:w="740" w:type="pct"/>
            <w:noWrap w:val="0"/>
            <w:vAlign w:val="top"/>
          </w:tcPr>
          <w:p>
            <w:pPr>
              <w:spacing w:line="360" w:lineRule="auto"/>
              <w:rPr>
                <w:rFonts w:hint="eastAsia" w:ascii="宋体" w:hAnsi="宋体" w:eastAsia="宋体" w:cs="宋体"/>
                <w:color w:val="auto"/>
                <w:sz w:val="24"/>
                <w:szCs w:val="24"/>
              </w:rPr>
            </w:pPr>
          </w:p>
        </w:tc>
        <w:tc>
          <w:tcPr>
            <w:tcW w:w="554" w:type="pct"/>
            <w:noWrap w:val="0"/>
            <w:vAlign w:val="top"/>
          </w:tcPr>
          <w:p>
            <w:pPr>
              <w:spacing w:line="360" w:lineRule="auto"/>
              <w:rPr>
                <w:rFonts w:hint="eastAsia" w:ascii="宋体" w:hAnsi="宋体" w:eastAsia="宋体" w:cs="宋体"/>
                <w:color w:val="auto"/>
                <w:sz w:val="24"/>
                <w:szCs w:val="24"/>
              </w:rPr>
            </w:pPr>
          </w:p>
        </w:tc>
        <w:tc>
          <w:tcPr>
            <w:tcW w:w="467" w:type="pct"/>
            <w:noWrap w:val="0"/>
            <w:vAlign w:val="top"/>
          </w:tcPr>
          <w:p>
            <w:pPr>
              <w:spacing w:line="360" w:lineRule="auto"/>
              <w:rPr>
                <w:rFonts w:hint="eastAsia" w:ascii="宋体" w:hAnsi="宋体" w:eastAsia="宋体" w:cs="宋体"/>
                <w:color w:val="auto"/>
                <w:sz w:val="24"/>
                <w:szCs w:val="24"/>
              </w:rPr>
            </w:pPr>
          </w:p>
        </w:tc>
        <w:tc>
          <w:tcPr>
            <w:tcW w:w="846" w:type="pct"/>
            <w:noWrap w:val="0"/>
            <w:vAlign w:val="top"/>
          </w:tcPr>
          <w:p>
            <w:pPr>
              <w:spacing w:line="360" w:lineRule="auto"/>
              <w:rPr>
                <w:rFonts w:hint="eastAsia" w:ascii="宋体" w:hAnsi="宋体" w:eastAsia="宋体" w:cs="宋体"/>
                <w:color w:val="auto"/>
                <w:sz w:val="24"/>
                <w:szCs w:val="24"/>
              </w:rPr>
            </w:pPr>
          </w:p>
        </w:tc>
        <w:tc>
          <w:tcPr>
            <w:tcW w:w="632"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宋体" w:hAnsi="宋体" w:eastAsia="宋体" w:cs="宋体"/>
                <w:color w:val="auto"/>
                <w:sz w:val="24"/>
                <w:szCs w:val="24"/>
              </w:rPr>
            </w:pPr>
          </w:p>
        </w:tc>
        <w:tc>
          <w:tcPr>
            <w:tcW w:w="477" w:type="pct"/>
            <w:noWrap w:val="0"/>
            <w:vAlign w:val="top"/>
          </w:tcPr>
          <w:p>
            <w:pPr>
              <w:spacing w:line="360" w:lineRule="auto"/>
              <w:rPr>
                <w:rFonts w:hint="eastAsia" w:ascii="宋体" w:hAnsi="宋体" w:eastAsia="宋体" w:cs="宋体"/>
                <w:color w:val="auto"/>
                <w:sz w:val="24"/>
                <w:szCs w:val="24"/>
              </w:rPr>
            </w:pPr>
          </w:p>
        </w:tc>
        <w:tc>
          <w:tcPr>
            <w:tcW w:w="647" w:type="pct"/>
            <w:noWrap w:val="0"/>
            <w:vAlign w:val="top"/>
          </w:tcPr>
          <w:p>
            <w:pPr>
              <w:spacing w:line="360" w:lineRule="auto"/>
              <w:rPr>
                <w:rFonts w:hint="eastAsia" w:ascii="宋体" w:hAnsi="宋体" w:eastAsia="宋体" w:cs="宋体"/>
                <w:color w:val="auto"/>
                <w:sz w:val="24"/>
                <w:szCs w:val="24"/>
              </w:rPr>
            </w:pPr>
          </w:p>
        </w:tc>
        <w:tc>
          <w:tcPr>
            <w:tcW w:w="740" w:type="pct"/>
            <w:noWrap w:val="0"/>
            <w:vAlign w:val="top"/>
          </w:tcPr>
          <w:p>
            <w:pPr>
              <w:spacing w:line="360" w:lineRule="auto"/>
              <w:rPr>
                <w:rFonts w:hint="eastAsia" w:ascii="宋体" w:hAnsi="宋体" w:eastAsia="宋体" w:cs="宋体"/>
                <w:color w:val="auto"/>
                <w:sz w:val="24"/>
                <w:szCs w:val="24"/>
              </w:rPr>
            </w:pPr>
          </w:p>
        </w:tc>
        <w:tc>
          <w:tcPr>
            <w:tcW w:w="554" w:type="pct"/>
            <w:noWrap w:val="0"/>
            <w:vAlign w:val="top"/>
          </w:tcPr>
          <w:p>
            <w:pPr>
              <w:spacing w:line="360" w:lineRule="auto"/>
              <w:rPr>
                <w:rFonts w:hint="eastAsia" w:ascii="宋体" w:hAnsi="宋体" w:eastAsia="宋体" w:cs="宋体"/>
                <w:color w:val="auto"/>
                <w:sz w:val="24"/>
                <w:szCs w:val="24"/>
              </w:rPr>
            </w:pPr>
          </w:p>
        </w:tc>
        <w:tc>
          <w:tcPr>
            <w:tcW w:w="467" w:type="pct"/>
            <w:noWrap w:val="0"/>
            <w:vAlign w:val="top"/>
          </w:tcPr>
          <w:p>
            <w:pPr>
              <w:spacing w:line="360" w:lineRule="auto"/>
              <w:rPr>
                <w:rFonts w:hint="eastAsia" w:ascii="宋体" w:hAnsi="宋体" w:eastAsia="宋体" w:cs="宋体"/>
                <w:color w:val="auto"/>
                <w:sz w:val="24"/>
                <w:szCs w:val="24"/>
              </w:rPr>
            </w:pPr>
          </w:p>
        </w:tc>
        <w:tc>
          <w:tcPr>
            <w:tcW w:w="846" w:type="pct"/>
            <w:noWrap w:val="0"/>
            <w:vAlign w:val="top"/>
          </w:tcPr>
          <w:p>
            <w:pPr>
              <w:spacing w:line="360" w:lineRule="auto"/>
              <w:rPr>
                <w:rFonts w:hint="eastAsia" w:ascii="宋体" w:hAnsi="宋体" w:eastAsia="宋体" w:cs="宋体"/>
                <w:color w:val="auto"/>
                <w:sz w:val="24"/>
                <w:szCs w:val="24"/>
              </w:rPr>
            </w:pPr>
          </w:p>
        </w:tc>
        <w:tc>
          <w:tcPr>
            <w:tcW w:w="632"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宋体" w:hAnsi="宋体" w:eastAsia="宋体" w:cs="宋体"/>
                <w:color w:val="auto"/>
                <w:sz w:val="24"/>
                <w:szCs w:val="24"/>
              </w:rPr>
            </w:pPr>
          </w:p>
        </w:tc>
        <w:tc>
          <w:tcPr>
            <w:tcW w:w="477" w:type="pct"/>
            <w:noWrap w:val="0"/>
            <w:vAlign w:val="top"/>
          </w:tcPr>
          <w:p>
            <w:pPr>
              <w:spacing w:line="360" w:lineRule="auto"/>
              <w:rPr>
                <w:rFonts w:hint="eastAsia" w:ascii="宋体" w:hAnsi="宋体" w:eastAsia="宋体" w:cs="宋体"/>
                <w:color w:val="auto"/>
                <w:sz w:val="24"/>
                <w:szCs w:val="24"/>
              </w:rPr>
            </w:pPr>
          </w:p>
        </w:tc>
        <w:tc>
          <w:tcPr>
            <w:tcW w:w="647" w:type="pct"/>
            <w:noWrap w:val="0"/>
            <w:vAlign w:val="top"/>
          </w:tcPr>
          <w:p>
            <w:pPr>
              <w:spacing w:line="360" w:lineRule="auto"/>
              <w:rPr>
                <w:rFonts w:hint="eastAsia" w:ascii="宋体" w:hAnsi="宋体" w:eastAsia="宋体" w:cs="宋体"/>
                <w:color w:val="auto"/>
                <w:sz w:val="24"/>
                <w:szCs w:val="24"/>
              </w:rPr>
            </w:pPr>
          </w:p>
        </w:tc>
        <w:tc>
          <w:tcPr>
            <w:tcW w:w="740" w:type="pct"/>
            <w:noWrap w:val="0"/>
            <w:vAlign w:val="top"/>
          </w:tcPr>
          <w:p>
            <w:pPr>
              <w:spacing w:line="360" w:lineRule="auto"/>
              <w:rPr>
                <w:rFonts w:hint="eastAsia" w:ascii="宋体" w:hAnsi="宋体" w:eastAsia="宋体" w:cs="宋体"/>
                <w:color w:val="auto"/>
                <w:sz w:val="24"/>
                <w:szCs w:val="24"/>
              </w:rPr>
            </w:pPr>
          </w:p>
        </w:tc>
        <w:tc>
          <w:tcPr>
            <w:tcW w:w="554" w:type="pct"/>
            <w:noWrap w:val="0"/>
            <w:vAlign w:val="top"/>
          </w:tcPr>
          <w:p>
            <w:pPr>
              <w:spacing w:line="360" w:lineRule="auto"/>
              <w:rPr>
                <w:rFonts w:hint="eastAsia" w:ascii="宋体" w:hAnsi="宋体" w:eastAsia="宋体" w:cs="宋体"/>
                <w:color w:val="auto"/>
                <w:sz w:val="24"/>
                <w:szCs w:val="24"/>
              </w:rPr>
            </w:pPr>
          </w:p>
        </w:tc>
        <w:tc>
          <w:tcPr>
            <w:tcW w:w="467" w:type="pct"/>
            <w:noWrap w:val="0"/>
            <w:vAlign w:val="top"/>
          </w:tcPr>
          <w:p>
            <w:pPr>
              <w:spacing w:line="360" w:lineRule="auto"/>
              <w:rPr>
                <w:rFonts w:hint="eastAsia" w:ascii="宋体" w:hAnsi="宋体" w:eastAsia="宋体" w:cs="宋体"/>
                <w:color w:val="auto"/>
                <w:sz w:val="24"/>
                <w:szCs w:val="24"/>
              </w:rPr>
            </w:pPr>
          </w:p>
        </w:tc>
        <w:tc>
          <w:tcPr>
            <w:tcW w:w="846" w:type="pct"/>
            <w:noWrap w:val="0"/>
            <w:vAlign w:val="top"/>
          </w:tcPr>
          <w:p>
            <w:pPr>
              <w:spacing w:line="360" w:lineRule="auto"/>
              <w:rPr>
                <w:rFonts w:hint="eastAsia" w:ascii="宋体" w:hAnsi="宋体" w:eastAsia="宋体" w:cs="宋体"/>
                <w:color w:val="auto"/>
                <w:sz w:val="24"/>
                <w:szCs w:val="24"/>
              </w:rPr>
            </w:pPr>
          </w:p>
        </w:tc>
        <w:tc>
          <w:tcPr>
            <w:tcW w:w="632"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宋体" w:hAnsi="宋体" w:eastAsia="宋体" w:cs="宋体"/>
                <w:color w:val="auto"/>
                <w:sz w:val="24"/>
                <w:szCs w:val="24"/>
              </w:rPr>
            </w:pPr>
          </w:p>
        </w:tc>
        <w:tc>
          <w:tcPr>
            <w:tcW w:w="477" w:type="pct"/>
            <w:noWrap w:val="0"/>
            <w:vAlign w:val="top"/>
          </w:tcPr>
          <w:p>
            <w:pPr>
              <w:spacing w:line="360" w:lineRule="auto"/>
              <w:rPr>
                <w:rFonts w:hint="eastAsia" w:ascii="宋体" w:hAnsi="宋体" w:eastAsia="宋体" w:cs="宋体"/>
                <w:color w:val="auto"/>
                <w:sz w:val="24"/>
                <w:szCs w:val="24"/>
              </w:rPr>
            </w:pPr>
          </w:p>
        </w:tc>
        <w:tc>
          <w:tcPr>
            <w:tcW w:w="647" w:type="pct"/>
            <w:noWrap w:val="0"/>
            <w:vAlign w:val="top"/>
          </w:tcPr>
          <w:p>
            <w:pPr>
              <w:spacing w:line="360" w:lineRule="auto"/>
              <w:rPr>
                <w:rFonts w:hint="eastAsia" w:ascii="宋体" w:hAnsi="宋体" w:eastAsia="宋体" w:cs="宋体"/>
                <w:color w:val="auto"/>
                <w:sz w:val="24"/>
                <w:szCs w:val="24"/>
              </w:rPr>
            </w:pPr>
          </w:p>
        </w:tc>
        <w:tc>
          <w:tcPr>
            <w:tcW w:w="740" w:type="pct"/>
            <w:noWrap w:val="0"/>
            <w:vAlign w:val="top"/>
          </w:tcPr>
          <w:p>
            <w:pPr>
              <w:spacing w:line="360" w:lineRule="auto"/>
              <w:rPr>
                <w:rFonts w:hint="eastAsia" w:ascii="宋体" w:hAnsi="宋体" w:eastAsia="宋体" w:cs="宋体"/>
                <w:color w:val="auto"/>
                <w:sz w:val="24"/>
                <w:szCs w:val="24"/>
              </w:rPr>
            </w:pPr>
          </w:p>
        </w:tc>
        <w:tc>
          <w:tcPr>
            <w:tcW w:w="554" w:type="pct"/>
            <w:noWrap w:val="0"/>
            <w:vAlign w:val="top"/>
          </w:tcPr>
          <w:p>
            <w:pPr>
              <w:spacing w:line="360" w:lineRule="auto"/>
              <w:rPr>
                <w:rFonts w:hint="eastAsia" w:ascii="宋体" w:hAnsi="宋体" w:eastAsia="宋体" w:cs="宋体"/>
                <w:color w:val="auto"/>
                <w:sz w:val="24"/>
                <w:szCs w:val="24"/>
              </w:rPr>
            </w:pPr>
          </w:p>
        </w:tc>
        <w:tc>
          <w:tcPr>
            <w:tcW w:w="467" w:type="pct"/>
            <w:noWrap w:val="0"/>
            <w:vAlign w:val="top"/>
          </w:tcPr>
          <w:p>
            <w:pPr>
              <w:spacing w:line="360" w:lineRule="auto"/>
              <w:rPr>
                <w:rFonts w:hint="eastAsia" w:ascii="宋体" w:hAnsi="宋体" w:eastAsia="宋体" w:cs="宋体"/>
                <w:color w:val="auto"/>
                <w:sz w:val="24"/>
                <w:szCs w:val="24"/>
              </w:rPr>
            </w:pPr>
          </w:p>
        </w:tc>
        <w:tc>
          <w:tcPr>
            <w:tcW w:w="846" w:type="pct"/>
            <w:noWrap w:val="0"/>
            <w:vAlign w:val="top"/>
          </w:tcPr>
          <w:p>
            <w:pPr>
              <w:spacing w:line="360" w:lineRule="auto"/>
              <w:rPr>
                <w:rFonts w:hint="eastAsia" w:ascii="宋体" w:hAnsi="宋体" w:eastAsia="宋体" w:cs="宋体"/>
                <w:color w:val="auto"/>
                <w:sz w:val="24"/>
                <w:szCs w:val="24"/>
              </w:rPr>
            </w:pPr>
          </w:p>
        </w:tc>
        <w:tc>
          <w:tcPr>
            <w:tcW w:w="632"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宋体" w:hAnsi="宋体" w:eastAsia="宋体" w:cs="宋体"/>
                <w:color w:val="auto"/>
                <w:sz w:val="24"/>
                <w:szCs w:val="24"/>
              </w:rPr>
            </w:pPr>
          </w:p>
        </w:tc>
        <w:tc>
          <w:tcPr>
            <w:tcW w:w="477" w:type="pct"/>
            <w:noWrap w:val="0"/>
            <w:vAlign w:val="top"/>
          </w:tcPr>
          <w:p>
            <w:pPr>
              <w:spacing w:line="360" w:lineRule="auto"/>
              <w:rPr>
                <w:rFonts w:hint="eastAsia" w:ascii="宋体" w:hAnsi="宋体" w:eastAsia="宋体" w:cs="宋体"/>
                <w:color w:val="auto"/>
                <w:sz w:val="24"/>
                <w:szCs w:val="24"/>
              </w:rPr>
            </w:pPr>
          </w:p>
        </w:tc>
        <w:tc>
          <w:tcPr>
            <w:tcW w:w="647" w:type="pct"/>
            <w:noWrap w:val="0"/>
            <w:vAlign w:val="top"/>
          </w:tcPr>
          <w:p>
            <w:pPr>
              <w:spacing w:line="360" w:lineRule="auto"/>
              <w:rPr>
                <w:rFonts w:hint="eastAsia" w:ascii="宋体" w:hAnsi="宋体" w:eastAsia="宋体" w:cs="宋体"/>
                <w:color w:val="auto"/>
                <w:sz w:val="24"/>
                <w:szCs w:val="24"/>
              </w:rPr>
            </w:pPr>
          </w:p>
        </w:tc>
        <w:tc>
          <w:tcPr>
            <w:tcW w:w="740" w:type="pct"/>
            <w:noWrap w:val="0"/>
            <w:vAlign w:val="top"/>
          </w:tcPr>
          <w:p>
            <w:pPr>
              <w:spacing w:line="360" w:lineRule="auto"/>
              <w:rPr>
                <w:rFonts w:hint="eastAsia" w:ascii="宋体" w:hAnsi="宋体" w:eastAsia="宋体" w:cs="宋体"/>
                <w:color w:val="auto"/>
                <w:sz w:val="24"/>
                <w:szCs w:val="24"/>
              </w:rPr>
            </w:pPr>
          </w:p>
        </w:tc>
        <w:tc>
          <w:tcPr>
            <w:tcW w:w="554" w:type="pct"/>
            <w:noWrap w:val="0"/>
            <w:vAlign w:val="top"/>
          </w:tcPr>
          <w:p>
            <w:pPr>
              <w:spacing w:line="360" w:lineRule="auto"/>
              <w:rPr>
                <w:rFonts w:hint="eastAsia" w:ascii="宋体" w:hAnsi="宋体" w:eastAsia="宋体" w:cs="宋体"/>
                <w:color w:val="auto"/>
                <w:sz w:val="24"/>
                <w:szCs w:val="24"/>
              </w:rPr>
            </w:pPr>
          </w:p>
        </w:tc>
        <w:tc>
          <w:tcPr>
            <w:tcW w:w="467" w:type="pct"/>
            <w:noWrap w:val="0"/>
            <w:vAlign w:val="top"/>
          </w:tcPr>
          <w:p>
            <w:pPr>
              <w:spacing w:line="360" w:lineRule="auto"/>
              <w:rPr>
                <w:rFonts w:hint="eastAsia" w:ascii="宋体" w:hAnsi="宋体" w:eastAsia="宋体" w:cs="宋体"/>
                <w:color w:val="auto"/>
                <w:sz w:val="24"/>
                <w:szCs w:val="24"/>
              </w:rPr>
            </w:pPr>
          </w:p>
        </w:tc>
        <w:tc>
          <w:tcPr>
            <w:tcW w:w="846" w:type="pct"/>
            <w:noWrap w:val="0"/>
            <w:vAlign w:val="top"/>
          </w:tcPr>
          <w:p>
            <w:pPr>
              <w:spacing w:line="360" w:lineRule="auto"/>
              <w:rPr>
                <w:rFonts w:hint="eastAsia" w:ascii="宋体" w:hAnsi="宋体" w:eastAsia="宋体" w:cs="宋体"/>
                <w:color w:val="auto"/>
                <w:sz w:val="24"/>
                <w:szCs w:val="24"/>
              </w:rPr>
            </w:pPr>
          </w:p>
        </w:tc>
        <w:tc>
          <w:tcPr>
            <w:tcW w:w="632"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宋体" w:hAnsi="宋体" w:eastAsia="宋体" w:cs="宋体"/>
                <w:color w:val="auto"/>
                <w:sz w:val="24"/>
                <w:szCs w:val="24"/>
              </w:rPr>
            </w:pPr>
          </w:p>
        </w:tc>
        <w:tc>
          <w:tcPr>
            <w:tcW w:w="477" w:type="pct"/>
            <w:noWrap w:val="0"/>
            <w:vAlign w:val="top"/>
          </w:tcPr>
          <w:p>
            <w:pPr>
              <w:spacing w:line="360" w:lineRule="auto"/>
              <w:rPr>
                <w:rFonts w:hint="eastAsia" w:ascii="宋体" w:hAnsi="宋体" w:eastAsia="宋体" w:cs="宋体"/>
                <w:color w:val="auto"/>
                <w:sz w:val="24"/>
                <w:szCs w:val="24"/>
              </w:rPr>
            </w:pPr>
          </w:p>
        </w:tc>
        <w:tc>
          <w:tcPr>
            <w:tcW w:w="647" w:type="pct"/>
            <w:noWrap w:val="0"/>
            <w:vAlign w:val="top"/>
          </w:tcPr>
          <w:p>
            <w:pPr>
              <w:spacing w:line="360" w:lineRule="auto"/>
              <w:rPr>
                <w:rFonts w:hint="eastAsia" w:ascii="宋体" w:hAnsi="宋体" w:eastAsia="宋体" w:cs="宋体"/>
                <w:color w:val="auto"/>
                <w:sz w:val="24"/>
                <w:szCs w:val="24"/>
              </w:rPr>
            </w:pPr>
          </w:p>
        </w:tc>
        <w:tc>
          <w:tcPr>
            <w:tcW w:w="740" w:type="pct"/>
            <w:noWrap w:val="0"/>
            <w:vAlign w:val="top"/>
          </w:tcPr>
          <w:p>
            <w:pPr>
              <w:spacing w:line="360" w:lineRule="auto"/>
              <w:rPr>
                <w:rFonts w:hint="eastAsia" w:ascii="宋体" w:hAnsi="宋体" w:eastAsia="宋体" w:cs="宋体"/>
                <w:color w:val="auto"/>
                <w:sz w:val="24"/>
                <w:szCs w:val="24"/>
              </w:rPr>
            </w:pPr>
          </w:p>
        </w:tc>
        <w:tc>
          <w:tcPr>
            <w:tcW w:w="554" w:type="pct"/>
            <w:noWrap w:val="0"/>
            <w:vAlign w:val="top"/>
          </w:tcPr>
          <w:p>
            <w:pPr>
              <w:spacing w:line="360" w:lineRule="auto"/>
              <w:rPr>
                <w:rFonts w:hint="eastAsia" w:ascii="宋体" w:hAnsi="宋体" w:eastAsia="宋体" w:cs="宋体"/>
                <w:color w:val="auto"/>
                <w:sz w:val="24"/>
                <w:szCs w:val="24"/>
              </w:rPr>
            </w:pPr>
          </w:p>
        </w:tc>
        <w:tc>
          <w:tcPr>
            <w:tcW w:w="467" w:type="pct"/>
            <w:noWrap w:val="0"/>
            <w:vAlign w:val="top"/>
          </w:tcPr>
          <w:p>
            <w:pPr>
              <w:spacing w:line="360" w:lineRule="auto"/>
              <w:rPr>
                <w:rFonts w:hint="eastAsia" w:ascii="宋体" w:hAnsi="宋体" w:eastAsia="宋体" w:cs="宋体"/>
                <w:color w:val="auto"/>
                <w:sz w:val="24"/>
                <w:szCs w:val="24"/>
              </w:rPr>
            </w:pPr>
          </w:p>
        </w:tc>
        <w:tc>
          <w:tcPr>
            <w:tcW w:w="846" w:type="pct"/>
            <w:noWrap w:val="0"/>
            <w:vAlign w:val="top"/>
          </w:tcPr>
          <w:p>
            <w:pPr>
              <w:spacing w:line="360" w:lineRule="auto"/>
              <w:rPr>
                <w:rFonts w:hint="eastAsia" w:ascii="宋体" w:hAnsi="宋体" w:eastAsia="宋体" w:cs="宋体"/>
                <w:color w:val="auto"/>
                <w:sz w:val="24"/>
                <w:szCs w:val="24"/>
              </w:rPr>
            </w:pPr>
          </w:p>
        </w:tc>
        <w:tc>
          <w:tcPr>
            <w:tcW w:w="632"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宋体" w:hAnsi="宋体" w:eastAsia="宋体" w:cs="宋体"/>
                <w:color w:val="auto"/>
                <w:sz w:val="24"/>
                <w:szCs w:val="24"/>
              </w:rPr>
            </w:pPr>
          </w:p>
        </w:tc>
        <w:tc>
          <w:tcPr>
            <w:tcW w:w="477" w:type="pct"/>
            <w:noWrap w:val="0"/>
            <w:vAlign w:val="top"/>
          </w:tcPr>
          <w:p>
            <w:pPr>
              <w:spacing w:line="360" w:lineRule="auto"/>
              <w:rPr>
                <w:rFonts w:hint="eastAsia" w:ascii="宋体" w:hAnsi="宋体" w:eastAsia="宋体" w:cs="宋体"/>
                <w:color w:val="auto"/>
                <w:sz w:val="24"/>
                <w:szCs w:val="24"/>
              </w:rPr>
            </w:pPr>
          </w:p>
        </w:tc>
        <w:tc>
          <w:tcPr>
            <w:tcW w:w="647" w:type="pct"/>
            <w:noWrap w:val="0"/>
            <w:vAlign w:val="top"/>
          </w:tcPr>
          <w:p>
            <w:pPr>
              <w:spacing w:line="360" w:lineRule="auto"/>
              <w:rPr>
                <w:rFonts w:hint="eastAsia" w:ascii="宋体" w:hAnsi="宋体" w:eastAsia="宋体" w:cs="宋体"/>
                <w:color w:val="auto"/>
                <w:sz w:val="24"/>
                <w:szCs w:val="24"/>
              </w:rPr>
            </w:pPr>
          </w:p>
        </w:tc>
        <w:tc>
          <w:tcPr>
            <w:tcW w:w="740" w:type="pct"/>
            <w:noWrap w:val="0"/>
            <w:vAlign w:val="top"/>
          </w:tcPr>
          <w:p>
            <w:pPr>
              <w:spacing w:line="360" w:lineRule="auto"/>
              <w:rPr>
                <w:rFonts w:hint="eastAsia" w:ascii="宋体" w:hAnsi="宋体" w:eastAsia="宋体" w:cs="宋体"/>
                <w:color w:val="auto"/>
                <w:sz w:val="24"/>
                <w:szCs w:val="24"/>
              </w:rPr>
            </w:pPr>
          </w:p>
        </w:tc>
        <w:tc>
          <w:tcPr>
            <w:tcW w:w="554" w:type="pct"/>
            <w:noWrap w:val="0"/>
            <w:vAlign w:val="top"/>
          </w:tcPr>
          <w:p>
            <w:pPr>
              <w:spacing w:line="360" w:lineRule="auto"/>
              <w:rPr>
                <w:rFonts w:hint="eastAsia" w:ascii="宋体" w:hAnsi="宋体" w:eastAsia="宋体" w:cs="宋体"/>
                <w:color w:val="auto"/>
                <w:sz w:val="24"/>
                <w:szCs w:val="24"/>
              </w:rPr>
            </w:pPr>
          </w:p>
        </w:tc>
        <w:tc>
          <w:tcPr>
            <w:tcW w:w="467" w:type="pct"/>
            <w:noWrap w:val="0"/>
            <w:vAlign w:val="top"/>
          </w:tcPr>
          <w:p>
            <w:pPr>
              <w:spacing w:line="360" w:lineRule="auto"/>
              <w:rPr>
                <w:rFonts w:hint="eastAsia" w:ascii="宋体" w:hAnsi="宋体" w:eastAsia="宋体" w:cs="宋体"/>
                <w:color w:val="auto"/>
                <w:sz w:val="24"/>
                <w:szCs w:val="24"/>
              </w:rPr>
            </w:pPr>
          </w:p>
        </w:tc>
        <w:tc>
          <w:tcPr>
            <w:tcW w:w="846" w:type="pct"/>
            <w:noWrap w:val="0"/>
            <w:vAlign w:val="top"/>
          </w:tcPr>
          <w:p>
            <w:pPr>
              <w:spacing w:line="360" w:lineRule="auto"/>
              <w:rPr>
                <w:rFonts w:hint="eastAsia" w:ascii="宋体" w:hAnsi="宋体" w:eastAsia="宋体" w:cs="宋体"/>
                <w:color w:val="auto"/>
                <w:sz w:val="24"/>
                <w:szCs w:val="24"/>
              </w:rPr>
            </w:pPr>
          </w:p>
        </w:tc>
        <w:tc>
          <w:tcPr>
            <w:tcW w:w="632"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宋体" w:hAnsi="宋体" w:eastAsia="宋体" w:cs="宋体"/>
                <w:color w:val="auto"/>
                <w:sz w:val="24"/>
                <w:szCs w:val="24"/>
              </w:rPr>
            </w:pPr>
          </w:p>
        </w:tc>
        <w:tc>
          <w:tcPr>
            <w:tcW w:w="477" w:type="pct"/>
            <w:noWrap w:val="0"/>
            <w:vAlign w:val="top"/>
          </w:tcPr>
          <w:p>
            <w:pPr>
              <w:spacing w:line="360" w:lineRule="auto"/>
              <w:rPr>
                <w:rFonts w:hint="eastAsia" w:ascii="宋体" w:hAnsi="宋体" w:eastAsia="宋体" w:cs="宋体"/>
                <w:color w:val="auto"/>
                <w:sz w:val="24"/>
                <w:szCs w:val="24"/>
              </w:rPr>
            </w:pPr>
          </w:p>
        </w:tc>
        <w:tc>
          <w:tcPr>
            <w:tcW w:w="647" w:type="pct"/>
            <w:noWrap w:val="0"/>
            <w:vAlign w:val="top"/>
          </w:tcPr>
          <w:p>
            <w:pPr>
              <w:spacing w:line="360" w:lineRule="auto"/>
              <w:rPr>
                <w:rFonts w:hint="eastAsia" w:ascii="宋体" w:hAnsi="宋体" w:eastAsia="宋体" w:cs="宋体"/>
                <w:color w:val="auto"/>
                <w:sz w:val="24"/>
                <w:szCs w:val="24"/>
              </w:rPr>
            </w:pPr>
          </w:p>
        </w:tc>
        <w:tc>
          <w:tcPr>
            <w:tcW w:w="740" w:type="pct"/>
            <w:noWrap w:val="0"/>
            <w:vAlign w:val="top"/>
          </w:tcPr>
          <w:p>
            <w:pPr>
              <w:spacing w:line="360" w:lineRule="auto"/>
              <w:rPr>
                <w:rFonts w:hint="eastAsia" w:ascii="宋体" w:hAnsi="宋体" w:eastAsia="宋体" w:cs="宋体"/>
                <w:color w:val="auto"/>
                <w:sz w:val="24"/>
                <w:szCs w:val="24"/>
              </w:rPr>
            </w:pPr>
          </w:p>
        </w:tc>
        <w:tc>
          <w:tcPr>
            <w:tcW w:w="554" w:type="pct"/>
            <w:noWrap w:val="0"/>
            <w:vAlign w:val="top"/>
          </w:tcPr>
          <w:p>
            <w:pPr>
              <w:spacing w:line="360" w:lineRule="auto"/>
              <w:rPr>
                <w:rFonts w:hint="eastAsia" w:ascii="宋体" w:hAnsi="宋体" w:eastAsia="宋体" w:cs="宋体"/>
                <w:color w:val="auto"/>
                <w:sz w:val="24"/>
                <w:szCs w:val="24"/>
              </w:rPr>
            </w:pPr>
          </w:p>
        </w:tc>
        <w:tc>
          <w:tcPr>
            <w:tcW w:w="467" w:type="pct"/>
            <w:noWrap w:val="0"/>
            <w:vAlign w:val="top"/>
          </w:tcPr>
          <w:p>
            <w:pPr>
              <w:spacing w:line="360" w:lineRule="auto"/>
              <w:rPr>
                <w:rFonts w:hint="eastAsia" w:ascii="宋体" w:hAnsi="宋体" w:eastAsia="宋体" w:cs="宋体"/>
                <w:color w:val="auto"/>
                <w:sz w:val="24"/>
                <w:szCs w:val="24"/>
              </w:rPr>
            </w:pPr>
          </w:p>
        </w:tc>
        <w:tc>
          <w:tcPr>
            <w:tcW w:w="846" w:type="pct"/>
            <w:noWrap w:val="0"/>
            <w:vAlign w:val="top"/>
          </w:tcPr>
          <w:p>
            <w:pPr>
              <w:spacing w:line="360" w:lineRule="auto"/>
              <w:rPr>
                <w:rFonts w:hint="eastAsia" w:ascii="宋体" w:hAnsi="宋体" w:eastAsia="宋体" w:cs="宋体"/>
                <w:color w:val="auto"/>
                <w:sz w:val="24"/>
                <w:szCs w:val="24"/>
              </w:rPr>
            </w:pPr>
          </w:p>
        </w:tc>
        <w:tc>
          <w:tcPr>
            <w:tcW w:w="632"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宋体" w:hAnsi="宋体" w:eastAsia="宋体" w:cs="宋体"/>
                <w:color w:val="auto"/>
                <w:sz w:val="24"/>
                <w:szCs w:val="24"/>
              </w:rPr>
            </w:pPr>
          </w:p>
        </w:tc>
        <w:tc>
          <w:tcPr>
            <w:tcW w:w="477" w:type="pct"/>
            <w:noWrap w:val="0"/>
            <w:vAlign w:val="top"/>
          </w:tcPr>
          <w:p>
            <w:pPr>
              <w:spacing w:line="360" w:lineRule="auto"/>
              <w:rPr>
                <w:rFonts w:hint="eastAsia" w:ascii="宋体" w:hAnsi="宋体" w:eastAsia="宋体" w:cs="宋体"/>
                <w:color w:val="auto"/>
                <w:sz w:val="24"/>
                <w:szCs w:val="24"/>
              </w:rPr>
            </w:pPr>
          </w:p>
        </w:tc>
        <w:tc>
          <w:tcPr>
            <w:tcW w:w="647" w:type="pct"/>
            <w:noWrap w:val="0"/>
            <w:vAlign w:val="top"/>
          </w:tcPr>
          <w:p>
            <w:pPr>
              <w:spacing w:line="360" w:lineRule="auto"/>
              <w:rPr>
                <w:rFonts w:hint="eastAsia" w:ascii="宋体" w:hAnsi="宋体" w:eastAsia="宋体" w:cs="宋体"/>
                <w:color w:val="auto"/>
                <w:sz w:val="24"/>
                <w:szCs w:val="24"/>
              </w:rPr>
            </w:pPr>
          </w:p>
        </w:tc>
        <w:tc>
          <w:tcPr>
            <w:tcW w:w="740" w:type="pct"/>
            <w:noWrap w:val="0"/>
            <w:vAlign w:val="top"/>
          </w:tcPr>
          <w:p>
            <w:pPr>
              <w:spacing w:line="360" w:lineRule="auto"/>
              <w:rPr>
                <w:rFonts w:hint="eastAsia" w:ascii="宋体" w:hAnsi="宋体" w:eastAsia="宋体" w:cs="宋体"/>
                <w:color w:val="auto"/>
                <w:sz w:val="24"/>
                <w:szCs w:val="24"/>
              </w:rPr>
            </w:pPr>
          </w:p>
        </w:tc>
        <w:tc>
          <w:tcPr>
            <w:tcW w:w="554" w:type="pct"/>
            <w:noWrap w:val="0"/>
            <w:vAlign w:val="top"/>
          </w:tcPr>
          <w:p>
            <w:pPr>
              <w:spacing w:line="360" w:lineRule="auto"/>
              <w:rPr>
                <w:rFonts w:hint="eastAsia" w:ascii="宋体" w:hAnsi="宋体" w:eastAsia="宋体" w:cs="宋体"/>
                <w:color w:val="auto"/>
                <w:sz w:val="24"/>
                <w:szCs w:val="24"/>
              </w:rPr>
            </w:pPr>
          </w:p>
        </w:tc>
        <w:tc>
          <w:tcPr>
            <w:tcW w:w="467" w:type="pct"/>
            <w:noWrap w:val="0"/>
            <w:vAlign w:val="top"/>
          </w:tcPr>
          <w:p>
            <w:pPr>
              <w:spacing w:line="360" w:lineRule="auto"/>
              <w:rPr>
                <w:rFonts w:hint="eastAsia" w:ascii="宋体" w:hAnsi="宋体" w:eastAsia="宋体" w:cs="宋体"/>
                <w:color w:val="auto"/>
                <w:sz w:val="24"/>
                <w:szCs w:val="24"/>
              </w:rPr>
            </w:pPr>
          </w:p>
        </w:tc>
        <w:tc>
          <w:tcPr>
            <w:tcW w:w="846" w:type="pct"/>
            <w:noWrap w:val="0"/>
            <w:vAlign w:val="top"/>
          </w:tcPr>
          <w:p>
            <w:pPr>
              <w:spacing w:line="360" w:lineRule="auto"/>
              <w:rPr>
                <w:rFonts w:hint="eastAsia" w:ascii="宋体" w:hAnsi="宋体" w:eastAsia="宋体" w:cs="宋体"/>
                <w:color w:val="auto"/>
                <w:sz w:val="24"/>
                <w:szCs w:val="24"/>
              </w:rPr>
            </w:pPr>
          </w:p>
        </w:tc>
        <w:tc>
          <w:tcPr>
            <w:tcW w:w="632" w:type="pct"/>
            <w:noWrap w:val="0"/>
            <w:vAlign w:val="top"/>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32" w:type="pct"/>
            <w:noWrap w:val="0"/>
            <w:vAlign w:val="top"/>
          </w:tcPr>
          <w:p>
            <w:pPr>
              <w:spacing w:line="360" w:lineRule="auto"/>
              <w:rPr>
                <w:rFonts w:hint="eastAsia" w:ascii="宋体" w:hAnsi="宋体" w:eastAsia="宋体" w:cs="宋体"/>
                <w:color w:val="auto"/>
                <w:sz w:val="24"/>
                <w:szCs w:val="24"/>
              </w:rPr>
            </w:pPr>
          </w:p>
        </w:tc>
        <w:tc>
          <w:tcPr>
            <w:tcW w:w="477" w:type="pct"/>
            <w:noWrap w:val="0"/>
            <w:vAlign w:val="top"/>
          </w:tcPr>
          <w:p>
            <w:pPr>
              <w:spacing w:line="360" w:lineRule="auto"/>
              <w:rPr>
                <w:rFonts w:hint="eastAsia" w:ascii="宋体" w:hAnsi="宋体" w:eastAsia="宋体" w:cs="宋体"/>
                <w:color w:val="auto"/>
                <w:sz w:val="24"/>
                <w:szCs w:val="24"/>
              </w:rPr>
            </w:pPr>
          </w:p>
        </w:tc>
        <w:tc>
          <w:tcPr>
            <w:tcW w:w="647" w:type="pct"/>
            <w:noWrap w:val="0"/>
            <w:vAlign w:val="top"/>
          </w:tcPr>
          <w:p>
            <w:pPr>
              <w:spacing w:line="360" w:lineRule="auto"/>
              <w:rPr>
                <w:rFonts w:hint="eastAsia" w:ascii="宋体" w:hAnsi="宋体" w:eastAsia="宋体" w:cs="宋体"/>
                <w:color w:val="auto"/>
                <w:sz w:val="24"/>
                <w:szCs w:val="24"/>
              </w:rPr>
            </w:pPr>
          </w:p>
        </w:tc>
        <w:tc>
          <w:tcPr>
            <w:tcW w:w="740" w:type="pct"/>
            <w:noWrap w:val="0"/>
            <w:vAlign w:val="top"/>
          </w:tcPr>
          <w:p>
            <w:pPr>
              <w:spacing w:line="360" w:lineRule="auto"/>
              <w:rPr>
                <w:rFonts w:hint="eastAsia" w:ascii="宋体" w:hAnsi="宋体" w:eastAsia="宋体" w:cs="宋体"/>
                <w:color w:val="auto"/>
                <w:sz w:val="24"/>
                <w:szCs w:val="24"/>
              </w:rPr>
            </w:pPr>
          </w:p>
        </w:tc>
        <w:tc>
          <w:tcPr>
            <w:tcW w:w="554" w:type="pct"/>
            <w:noWrap w:val="0"/>
            <w:vAlign w:val="top"/>
          </w:tcPr>
          <w:p>
            <w:pPr>
              <w:spacing w:line="360" w:lineRule="auto"/>
              <w:rPr>
                <w:rFonts w:hint="eastAsia" w:ascii="宋体" w:hAnsi="宋体" w:eastAsia="宋体" w:cs="宋体"/>
                <w:color w:val="auto"/>
                <w:sz w:val="24"/>
                <w:szCs w:val="24"/>
              </w:rPr>
            </w:pPr>
          </w:p>
        </w:tc>
        <w:tc>
          <w:tcPr>
            <w:tcW w:w="467" w:type="pct"/>
            <w:noWrap w:val="0"/>
            <w:vAlign w:val="top"/>
          </w:tcPr>
          <w:p>
            <w:pPr>
              <w:spacing w:line="360" w:lineRule="auto"/>
              <w:rPr>
                <w:rFonts w:hint="eastAsia" w:ascii="宋体" w:hAnsi="宋体" w:eastAsia="宋体" w:cs="宋体"/>
                <w:color w:val="auto"/>
                <w:sz w:val="24"/>
                <w:szCs w:val="24"/>
              </w:rPr>
            </w:pPr>
          </w:p>
        </w:tc>
        <w:tc>
          <w:tcPr>
            <w:tcW w:w="846" w:type="pct"/>
            <w:noWrap w:val="0"/>
            <w:vAlign w:val="top"/>
          </w:tcPr>
          <w:p>
            <w:pPr>
              <w:spacing w:line="360" w:lineRule="auto"/>
              <w:rPr>
                <w:rFonts w:hint="eastAsia" w:ascii="宋体" w:hAnsi="宋体" w:eastAsia="宋体" w:cs="宋体"/>
                <w:color w:val="auto"/>
                <w:sz w:val="24"/>
                <w:szCs w:val="24"/>
              </w:rPr>
            </w:pPr>
          </w:p>
        </w:tc>
        <w:tc>
          <w:tcPr>
            <w:tcW w:w="632" w:type="pct"/>
            <w:noWrap w:val="0"/>
            <w:vAlign w:val="top"/>
          </w:tcPr>
          <w:p>
            <w:pPr>
              <w:spacing w:line="360" w:lineRule="auto"/>
              <w:rPr>
                <w:rFonts w:hint="eastAsia" w:ascii="宋体" w:hAnsi="宋体" w:eastAsia="宋体" w:cs="宋体"/>
                <w:color w:val="auto"/>
                <w:sz w:val="24"/>
                <w:szCs w:val="24"/>
              </w:rPr>
            </w:pPr>
          </w:p>
        </w:tc>
      </w:tr>
    </w:tbl>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注：附岗位证书及身份证复印件。</w:t>
      </w:r>
    </w:p>
    <w:p>
      <w:pPr>
        <w:rPr>
          <w:rFonts w:hint="eastAsia" w:ascii="宋体" w:hAnsi="宋体" w:eastAsia="宋体" w:cs="宋体"/>
          <w:color w:val="auto"/>
        </w:rPr>
      </w:pPr>
      <w:bookmarkStart w:id="533" w:name="_Toc184635140"/>
      <w:bookmarkStart w:id="534" w:name="_Toc304463262"/>
    </w:p>
    <w:p>
      <w:pPr>
        <w:rPr>
          <w:rFonts w:hint="eastAsia" w:ascii="宋体" w:hAnsi="宋体" w:eastAsia="宋体" w:cs="宋体"/>
          <w:color w:val="auto"/>
        </w:rPr>
      </w:pPr>
    </w:p>
    <w:p>
      <w:pPr>
        <w:pStyle w:val="45"/>
        <w:rPr>
          <w:rFonts w:hint="eastAsia" w:ascii="宋体" w:hAnsi="宋体" w:eastAsia="宋体" w:cs="宋体"/>
          <w:color w:val="auto"/>
        </w:rPr>
      </w:pPr>
    </w:p>
    <w:p>
      <w:pPr>
        <w:rPr>
          <w:rFonts w:hint="eastAsia" w:ascii="宋体" w:hAnsi="宋体" w:eastAsia="宋体" w:cs="宋体"/>
          <w:color w:val="auto"/>
        </w:rPr>
      </w:pPr>
    </w:p>
    <w:p>
      <w:pPr>
        <w:pStyle w:val="45"/>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6"/>
        <w:numPr>
          <w:ilvl w:val="0"/>
          <w:numId w:val="0"/>
        </w:numPr>
        <w:jc w:val="center"/>
        <w:rPr>
          <w:rFonts w:hint="eastAsia" w:ascii="宋体" w:hAnsi="宋体" w:eastAsia="宋体" w:cs="宋体"/>
          <w:color w:val="auto"/>
          <w:sz w:val="24"/>
          <w:szCs w:val="24"/>
        </w:rPr>
      </w:pPr>
      <w:r>
        <w:rPr>
          <w:rFonts w:hint="eastAsia" w:ascii="宋体" w:hAnsi="宋体" w:eastAsia="宋体" w:cs="宋体"/>
          <w:color w:val="auto"/>
          <w:sz w:val="24"/>
          <w:szCs w:val="24"/>
        </w:rPr>
        <w:t>六、监理大纲（暗标）</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投标人编制监理大纲内容时必须按以下内容进行编制：</w:t>
      </w:r>
    </w:p>
    <w:p>
      <w:pPr>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投标人应编制监理大纲，编制时应采用文字或结合图表形式说明监理方法</w:t>
      </w:r>
      <w:r>
        <w:rPr>
          <w:rFonts w:hint="eastAsia" w:ascii="宋体" w:hAnsi="宋体" w:eastAsia="宋体" w:cs="宋体"/>
          <w:color w:val="auto"/>
          <w:sz w:val="24"/>
          <w:szCs w:val="24"/>
          <w:lang w:eastAsia="zh-CN"/>
        </w:rPr>
        <w:t>；</w:t>
      </w:r>
    </w:p>
    <w:p>
      <w:pPr>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2、监理大纲除采用文字表述外可附图表</w:t>
      </w:r>
      <w:r>
        <w:rPr>
          <w:rFonts w:hint="eastAsia" w:ascii="宋体" w:hAnsi="宋体" w:eastAsia="宋体" w:cs="宋体"/>
          <w:color w:val="auto"/>
          <w:sz w:val="24"/>
          <w:szCs w:val="24"/>
          <w:lang w:eastAsia="zh-CN"/>
        </w:rPr>
        <w:t>；</w:t>
      </w:r>
    </w:p>
    <w:p>
      <w:pPr>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、监理大纲的编制内容中</w:t>
      </w:r>
      <w:r>
        <w:rPr>
          <w:rFonts w:hint="eastAsia" w:ascii="宋体" w:hAnsi="宋体" w:eastAsia="宋体" w:cs="宋体"/>
          <w:color w:val="auto"/>
          <w:sz w:val="24"/>
          <w:szCs w:val="24"/>
          <w:lang w:val="en-US" w:eastAsia="zh-CN"/>
        </w:rPr>
        <w:t>不得</w:t>
      </w:r>
      <w:r>
        <w:rPr>
          <w:rFonts w:hint="eastAsia" w:ascii="宋体" w:hAnsi="宋体" w:eastAsia="宋体" w:cs="宋体"/>
          <w:color w:val="auto"/>
          <w:sz w:val="24"/>
          <w:szCs w:val="24"/>
        </w:rPr>
        <w:t>出现明显错误的工程名称或地域名称</w:t>
      </w:r>
      <w:r>
        <w:rPr>
          <w:rFonts w:hint="eastAsia" w:ascii="宋体" w:hAnsi="宋体" w:eastAsia="宋体" w:cs="宋体"/>
          <w:color w:val="auto"/>
          <w:sz w:val="24"/>
          <w:szCs w:val="24"/>
          <w:lang w:eastAsia="zh-CN"/>
        </w:rPr>
        <w:t>；</w:t>
      </w:r>
    </w:p>
    <w:p>
      <w:pPr>
        <w:spacing w:line="44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4、编写软件及版本要求：Microsoft Word 2007及以上；</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5、版面整洁、字迹清楚、投标人监理大纲部分封面（见下页模板，“监理大纲”</w:t>
      </w:r>
      <w:r>
        <w:rPr>
          <w:rFonts w:hint="eastAsia" w:ascii="宋体" w:hAnsi="宋体" w:eastAsia="宋体" w:cs="宋体"/>
          <w:color w:val="auto"/>
          <w:sz w:val="24"/>
          <w:szCs w:val="24"/>
        </w:rPr>
        <w:t>字样为宋体、</w:t>
      </w:r>
      <w:r>
        <w:rPr>
          <w:rFonts w:hint="eastAsia" w:ascii="宋体" w:hAnsi="宋体" w:eastAsia="宋体" w:cs="宋体"/>
          <w:color w:val="auto"/>
          <w:sz w:val="24"/>
          <w:szCs w:val="24"/>
          <w:lang w:val="en-US" w:eastAsia="zh-CN"/>
        </w:rPr>
        <w:t>初号</w:t>
      </w:r>
      <w:r>
        <w:rPr>
          <w:rFonts w:hint="eastAsia" w:ascii="宋体" w:hAnsi="宋体" w:eastAsia="宋体" w:cs="宋体"/>
          <w:color w:val="auto"/>
          <w:sz w:val="24"/>
          <w:szCs w:val="24"/>
        </w:rPr>
        <w:t>、加粗</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横向排列</w:t>
      </w:r>
      <w:r>
        <w:rPr>
          <w:rFonts w:hint="eastAsia" w:ascii="宋体" w:hAnsi="宋体" w:eastAsia="宋体" w:cs="宋体"/>
          <w:color w:val="auto"/>
          <w:sz w:val="24"/>
          <w:szCs w:val="24"/>
        </w:rPr>
        <w:t>）及所有正文中均不得出现可识别投标人身份的任何字符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rPr>
        <w:t>包括加重标记、倾斜标记、</w:t>
      </w:r>
      <w:r>
        <w:rPr>
          <w:rFonts w:hint="eastAsia" w:ascii="宋体" w:hAnsi="宋体" w:eastAsia="宋体" w:cs="宋体"/>
          <w:color w:val="auto"/>
          <w:sz w:val="24"/>
          <w:szCs w:val="24"/>
          <w:highlight w:val="none"/>
        </w:rPr>
        <w:t>下划线</w:t>
      </w:r>
      <w:r>
        <w:rPr>
          <w:rFonts w:hint="eastAsia" w:ascii="宋体" w:hAnsi="宋体" w:eastAsia="宋体" w:cs="宋体"/>
          <w:color w:val="auto"/>
          <w:sz w:val="24"/>
          <w:szCs w:val="24"/>
        </w:rPr>
        <w:t>标记、使用不必要的或修饰性的特殊格式、投标人承担过的工程业绩或工程图片等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rPr>
        <w:t xml:space="preserve"> 和微标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rPr>
        <w:t>包括文字、符号、图案、标识、标志、人员姓名、企业名称、企业LOGO 标识、水印标识、投标人独有的企业标准或编号等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rPr>
        <w:t xml:space="preserve"> 字样</w:t>
      </w:r>
      <w:r>
        <w:rPr>
          <w:rFonts w:hint="eastAsia" w:ascii="宋体" w:hAnsi="宋体" w:eastAsia="宋体" w:cs="宋体"/>
          <w:color w:val="auto"/>
          <w:sz w:val="24"/>
          <w:szCs w:val="24"/>
          <w:lang w:eastAsia="zh-CN"/>
        </w:rPr>
        <w:t>；</w:t>
      </w:r>
    </w:p>
    <w:p>
      <w:pPr>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所有图表一律采用电脑绘制，大小不限。所有字体为宋体，不得出现手写或彩色字体</w:t>
      </w:r>
      <w:r>
        <w:rPr>
          <w:rFonts w:hint="eastAsia" w:ascii="宋体" w:hAnsi="宋体" w:eastAsia="宋体" w:cs="宋体"/>
          <w:color w:val="auto"/>
          <w:sz w:val="24"/>
          <w:szCs w:val="24"/>
          <w:lang w:eastAsia="zh-CN"/>
        </w:rPr>
        <w:t>；</w:t>
      </w:r>
    </w:p>
    <w:p>
      <w:pPr>
        <w:spacing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所有标题为三号字体，加黑；正文为四号字，不得加黑、加粗或加有其他颜色。行间距为固定值20 磅: 页边距</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rPr>
        <w:t>上2.5厘米，其余为2.0厘米</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p>
    <w:p>
      <w:pPr>
        <w:spacing w:line="440" w:lineRule="exact"/>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注意：本项目监理大纲部分评标为暗标</w:t>
      </w:r>
      <w:r>
        <w:rPr>
          <w:rFonts w:hint="eastAsia" w:ascii="宋体" w:hAnsi="宋体" w:eastAsia="宋体" w:cs="宋体"/>
          <w:b/>
          <w:bCs/>
          <w:color w:val="auto"/>
          <w:sz w:val="24"/>
          <w:szCs w:val="24"/>
          <w:lang w:eastAsia="zh-CN"/>
        </w:rPr>
        <w:t>。</w:t>
      </w:r>
    </w:p>
    <w:p>
      <w:pPr>
        <w:spacing w:line="440" w:lineRule="exact"/>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监理大纲未按上述要求编制的按0分处理</w:t>
      </w:r>
      <w:r>
        <w:rPr>
          <w:rFonts w:hint="eastAsia" w:ascii="宋体" w:hAnsi="宋体" w:eastAsia="宋体" w:cs="宋体"/>
          <w:b/>
          <w:bCs/>
          <w:color w:val="auto"/>
          <w:sz w:val="24"/>
          <w:szCs w:val="24"/>
          <w:lang w:val="en-US" w:eastAsia="zh-CN"/>
        </w:rPr>
        <w:t>;</w:t>
      </w:r>
    </w:p>
    <w:p>
      <w:pPr>
        <w:pStyle w:val="45"/>
        <w:rPr>
          <w:rFonts w:hint="eastAsia" w:ascii="宋体" w:hAnsi="宋体" w:eastAsia="宋体" w:cs="宋体"/>
          <w:lang w:val="en-US" w:eastAsia="zh-CN"/>
        </w:rPr>
      </w:pPr>
      <w:r>
        <w:rPr>
          <w:rFonts w:hint="eastAsia" w:ascii="宋体" w:hAnsi="宋体" w:eastAsia="宋体" w:cs="宋体"/>
          <w:b/>
          <w:bCs/>
          <w:color w:val="auto"/>
          <w:sz w:val="24"/>
          <w:szCs w:val="24"/>
          <w:lang w:val="en-US" w:eastAsia="zh-CN"/>
        </w:rPr>
        <w:t>监理大纲每项若有缺项或不响应则该项得分为0。</w:t>
      </w:r>
    </w:p>
    <w:p>
      <w:pPr>
        <w:pStyle w:val="45"/>
        <w:rPr>
          <w:rFonts w:hint="eastAsia" w:ascii="宋体" w:hAnsi="宋体" w:eastAsia="宋体" w:cs="宋体"/>
        </w:rPr>
      </w:pPr>
    </w:p>
    <w:p>
      <w:pPr>
        <w:rPr>
          <w:rFonts w:hint="eastAsia" w:ascii="宋体" w:hAnsi="宋体" w:eastAsia="宋体" w:cs="宋体"/>
        </w:rPr>
      </w:pPr>
    </w:p>
    <w:p>
      <w:pPr>
        <w:pStyle w:val="45"/>
        <w:rPr>
          <w:rFonts w:hint="eastAsia" w:ascii="宋体" w:hAnsi="宋体" w:eastAsia="宋体" w:cs="宋体"/>
        </w:rPr>
      </w:pPr>
    </w:p>
    <w:p>
      <w:pPr>
        <w:rPr>
          <w:rFonts w:hint="eastAsia" w:ascii="宋体" w:hAnsi="宋体" w:eastAsia="宋体" w:cs="宋体"/>
        </w:rPr>
      </w:pPr>
    </w:p>
    <w:p>
      <w:pPr>
        <w:pStyle w:val="45"/>
        <w:rPr>
          <w:rFonts w:hint="eastAsia" w:ascii="宋体" w:hAnsi="宋体" w:eastAsia="宋体" w:cs="宋体"/>
        </w:rPr>
      </w:pPr>
    </w:p>
    <w:p>
      <w:pPr>
        <w:rPr>
          <w:rFonts w:hint="eastAsia" w:ascii="宋体" w:hAnsi="宋体" w:eastAsia="宋体" w:cs="宋体"/>
        </w:rPr>
      </w:pPr>
    </w:p>
    <w:p>
      <w:pPr>
        <w:pStyle w:val="45"/>
        <w:rPr>
          <w:rFonts w:hint="eastAsia" w:ascii="宋体" w:hAnsi="宋体" w:eastAsia="宋体" w:cs="宋体"/>
        </w:rPr>
      </w:pPr>
    </w:p>
    <w:p>
      <w:pPr>
        <w:rPr>
          <w:rFonts w:hint="eastAsia" w:ascii="宋体" w:hAnsi="宋体" w:eastAsia="宋体" w:cs="宋体"/>
        </w:rPr>
      </w:pPr>
    </w:p>
    <w:p>
      <w:pPr>
        <w:pStyle w:val="45"/>
        <w:rPr>
          <w:rFonts w:hint="eastAsia" w:ascii="宋体" w:hAnsi="宋体" w:eastAsia="宋体" w:cs="宋体"/>
        </w:rPr>
      </w:pPr>
    </w:p>
    <w:p>
      <w:pPr>
        <w:rPr>
          <w:rFonts w:hint="eastAsia" w:ascii="宋体" w:hAnsi="宋体" w:eastAsia="宋体" w:cs="宋体"/>
        </w:rPr>
      </w:pPr>
    </w:p>
    <w:p>
      <w:pPr>
        <w:pStyle w:val="45"/>
        <w:rPr>
          <w:rFonts w:hint="eastAsia" w:ascii="宋体" w:hAnsi="宋体" w:eastAsia="宋体" w:cs="宋体"/>
        </w:rPr>
      </w:pPr>
    </w:p>
    <w:p>
      <w:pPr>
        <w:rPr>
          <w:rFonts w:hint="eastAsia" w:ascii="宋体" w:hAnsi="宋体" w:eastAsia="宋体" w:cs="宋体"/>
          <w:color w:val="auto"/>
          <w:sz w:val="24"/>
          <w:szCs w:val="24"/>
        </w:rPr>
      </w:pPr>
    </w:p>
    <w:p>
      <w:pPr>
        <w:rPr>
          <w:rFonts w:hint="eastAsia" w:ascii="宋体" w:hAnsi="宋体" w:eastAsia="宋体" w:cs="宋体"/>
        </w:rPr>
      </w:pPr>
    </w:p>
    <w:p>
      <w:pPr>
        <w:pStyle w:val="45"/>
        <w:rPr>
          <w:rFonts w:hint="eastAsia" w:ascii="宋体" w:hAnsi="宋体" w:eastAsia="宋体" w:cs="宋体"/>
        </w:rPr>
      </w:pPr>
    </w:p>
    <w:p>
      <w:pPr>
        <w:rPr>
          <w:rFonts w:hint="eastAsia" w:ascii="宋体" w:hAnsi="宋体" w:eastAsia="宋体" w:cs="宋体"/>
        </w:rPr>
      </w:pPr>
    </w:p>
    <w:p>
      <w:pPr>
        <w:pStyle w:val="45"/>
        <w:rPr>
          <w:rFonts w:hint="eastAsia" w:ascii="宋体" w:hAnsi="宋体" w:eastAsia="宋体" w:cs="宋体"/>
        </w:rPr>
      </w:pPr>
    </w:p>
    <w:p>
      <w:pPr>
        <w:jc w:val="center"/>
        <w:rPr>
          <w:rFonts w:hint="eastAsia" w:ascii="宋体" w:hAnsi="宋体" w:eastAsia="宋体" w:cs="宋体"/>
          <w:b/>
          <w:bCs/>
          <w:color w:val="auto"/>
          <w:sz w:val="84"/>
          <w:szCs w:val="84"/>
        </w:rPr>
      </w:pPr>
    </w:p>
    <w:p>
      <w:pPr>
        <w:jc w:val="center"/>
        <w:rPr>
          <w:rFonts w:hint="eastAsia" w:ascii="宋体" w:hAnsi="宋体" w:eastAsia="宋体" w:cs="宋体"/>
          <w:b/>
          <w:bCs/>
          <w:color w:val="auto"/>
          <w:sz w:val="84"/>
          <w:szCs w:val="84"/>
        </w:rPr>
      </w:pPr>
    </w:p>
    <w:p>
      <w:pPr>
        <w:jc w:val="center"/>
        <w:rPr>
          <w:rFonts w:hint="eastAsia" w:ascii="宋体" w:hAnsi="宋体" w:eastAsia="宋体" w:cs="宋体"/>
          <w:b/>
          <w:bCs/>
          <w:color w:val="auto"/>
          <w:sz w:val="84"/>
          <w:szCs w:val="84"/>
        </w:rPr>
      </w:pPr>
    </w:p>
    <w:p>
      <w:pPr>
        <w:jc w:val="center"/>
        <w:rPr>
          <w:rFonts w:hint="eastAsia" w:ascii="宋体" w:hAnsi="宋体" w:eastAsia="宋体" w:cs="宋体"/>
          <w:b/>
          <w:bCs/>
          <w:sz w:val="84"/>
          <w:szCs w:val="84"/>
        </w:rPr>
      </w:pPr>
      <w:r>
        <w:rPr>
          <w:rFonts w:hint="eastAsia" w:ascii="宋体" w:hAnsi="宋体" w:eastAsia="宋体" w:cs="宋体"/>
          <w:b/>
          <w:bCs/>
          <w:color w:val="auto"/>
          <w:sz w:val="84"/>
          <w:szCs w:val="84"/>
        </w:rPr>
        <w:t>监</w:t>
      </w:r>
      <w:r>
        <w:rPr>
          <w:rFonts w:hint="eastAsia" w:ascii="宋体" w:hAnsi="宋体" w:eastAsia="宋体" w:cs="宋体"/>
          <w:b/>
          <w:bCs/>
          <w:color w:val="auto"/>
          <w:sz w:val="84"/>
          <w:szCs w:val="84"/>
          <w:lang w:val="en-US" w:eastAsia="zh-CN"/>
        </w:rPr>
        <w:t xml:space="preserve">  </w:t>
      </w:r>
      <w:r>
        <w:rPr>
          <w:rFonts w:hint="eastAsia" w:ascii="宋体" w:hAnsi="宋体" w:eastAsia="宋体" w:cs="宋体"/>
          <w:b/>
          <w:bCs/>
          <w:color w:val="auto"/>
          <w:sz w:val="84"/>
          <w:szCs w:val="84"/>
        </w:rPr>
        <w:t>理</w:t>
      </w:r>
      <w:r>
        <w:rPr>
          <w:rFonts w:hint="eastAsia" w:ascii="宋体" w:hAnsi="宋体" w:eastAsia="宋体" w:cs="宋体"/>
          <w:b/>
          <w:bCs/>
          <w:color w:val="auto"/>
          <w:sz w:val="84"/>
          <w:szCs w:val="84"/>
          <w:lang w:val="en-US" w:eastAsia="zh-CN"/>
        </w:rPr>
        <w:t xml:space="preserve">  </w:t>
      </w:r>
      <w:r>
        <w:rPr>
          <w:rFonts w:hint="eastAsia" w:ascii="宋体" w:hAnsi="宋体" w:eastAsia="宋体" w:cs="宋体"/>
          <w:b/>
          <w:bCs/>
          <w:color w:val="auto"/>
          <w:sz w:val="84"/>
          <w:szCs w:val="84"/>
        </w:rPr>
        <w:t>大</w:t>
      </w:r>
      <w:r>
        <w:rPr>
          <w:rFonts w:hint="eastAsia" w:ascii="宋体" w:hAnsi="宋体" w:eastAsia="宋体" w:cs="宋体"/>
          <w:b/>
          <w:bCs/>
          <w:color w:val="auto"/>
          <w:sz w:val="84"/>
          <w:szCs w:val="84"/>
          <w:lang w:val="en-US" w:eastAsia="zh-CN"/>
        </w:rPr>
        <w:t xml:space="preserve">  </w:t>
      </w:r>
      <w:r>
        <w:rPr>
          <w:rFonts w:hint="eastAsia" w:ascii="宋体" w:hAnsi="宋体" w:eastAsia="宋体" w:cs="宋体"/>
          <w:b/>
          <w:bCs/>
          <w:color w:val="auto"/>
          <w:sz w:val="84"/>
          <w:szCs w:val="84"/>
        </w:rPr>
        <w:t>纲</w:t>
      </w:r>
    </w:p>
    <w:p>
      <w:pPr>
        <w:rPr>
          <w:rFonts w:hint="eastAsia" w:ascii="宋体" w:hAnsi="宋体" w:eastAsia="宋体" w:cs="宋体"/>
        </w:rPr>
      </w:pPr>
    </w:p>
    <w:p>
      <w:pPr>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r>
        <w:rPr>
          <w:rFonts w:hint="eastAsia" w:ascii="宋体" w:hAnsi="宋体" w:eastAsia="宋体" w:cs="宋体"/>
          <w:b/>
          <w:bCs/>
          <w:color w:val="auto"/>
          <w:sz w:val="24"/>
          <w:szCs w:val="24"/>
        </w:rPr>
        <w:t>七、</w:t>
      </w:r>
      <w:bookmarkEnd w:id="533"/>
      <w:r>
        <w:rPr>
          <w:rFonts w:hint="eastAsia" w:ascii="宋体" w:hAnsi="宋体" w:eastAsia="宋体" w:cs="宋体"/>
          <w:b/>
          <w:bCs/>
          <w:color w:val="auto"/>
          <w:sz w:val="24"/>
          <w:szCs w:val="24"/>
        </w:rPr>
        <w:t>法人营业执照、资质等级证书等的复印件</w:t>
      </w:r>
      <w:bookmarkEnd w:id="534"/>
    </w:p>
    <w:p>
      <w:pPr>
        <w:rPr>
          <w:rFonts w:hint="eastAsia" w:ascii="宋体" w:hAnsi="宋体" w:eastAsia="宋体" w:cs="宋体"/>
          <w:color w:val="auto"/>
          <w:sz w:val="24"/>
          <w:szCs w:val="24"/>
        </w:rPr>
      </w:pPr>
      <w:bookmarkStart w:id="535" w:name="_Toc304463263"/>
    </w:p>
    <w:p>
      <w:pPr>
        <w:rPr>
          <w:rFonts w:hint="eastAsia" w:ascii="宋体" w:hAnsi="宋体" w:eastAsia="宋体" w:cs="宋体"/>
          <w:color w:val="auto"/>
          <w:sz w:val="24"/>
          <w:szCs w:val="24"/>
        </w:rPr>
      </w:pPr>
    </w:p>
    <w:p>
      <w:pPr>
        <w:pStyle w:val="6"/>
        <w:numPr>
          <w:ilvl w:val="0"/>
          <w:numId w:val="0"/>
        </w:numPr>
        <w:jc w:val="left"/>
        <w:rPr>
          <w:rFonts w:hint="eastAsia" w:ascii="宋体" w:hAnsi="宋体" w:eastAsia="宋体" w:cs="宋体"/>
          <w:color w:val="auto"/>
          <w:sz w:val="24"/>
          <w:szCs w:val="24"/>
        </w:rPr>
      </w:pPr>
      <w:r>
        <w:rPr>
          <w:rFonts w:hint="eastAsia" w:ascii="宋体" w:hAnsi="宋体" w:eastAsia="宋体" w:cs="宋体"/>
          <w:color w:val="auto"/>
          <w:sz w:val="24"/>
          <w:szCs w:val="24"/>
        </w:rPr>
        <w:t>八、企业业绩及获奖证书</w:t>
      </w:r>
      <w:bookmarkEnd w:id="535"/>
    </w:p>
    <w:p>
      <w:pPr>
        <w:rPr>
          <w:rFonts w:hint="eastAsia" w:ascii="宋体" w:hAnsi="宋体" w:eastAsia="宋体" w:cs="宋体"/>
          <w:color w:val="auto"/>
          <w:sz w:val="24"/>
          <w:szCs w:val="24"/>
        </w:rPr>
      </w:pPr>
      <w:bookmarkStart w:id="536" w:name="_Toc304463264"/>
    </w:p>
    <w:p>
      <w:pPr>
        <w:rPr>
          <w:rFonts w:hint="eastAsia" w:ascii="宋体" w:hAnsi="宋体" w:eastAsia="宋体" w:cs="宋体"/>
          <w:color w:val="auto"/>
          <w:sz w:val="24"/>
          <w:szCs w:val="24"/>
        </w:rPr>
      </w:pPr>
    </w:p>
    <w:p>
      <w:pPr>
        <w:pStyle w:val="6"/>
        <w:jc w:val="left"/>
        <w:rPr>
          <w:rFonts w:hint="eastAsia" w:ascii="宋体" w:hAnsi="宋体" w:eastAsia="宋体" w:cs="宋体"/>
          <w:color w:val="auto"/>
          <w:sz w:val="24"/>
          <w:szCs w:val="24"/>
        </w:rPr>
      </w:pPr>
      <w:r>
        <w:rPr>
          <w:rFonts w:hint="eastAsia" w:ascii="宋体" w:hAnsi="宋体" w:eastAsia="宋体" w:cs="宋体"/>
          <w:color w:val="auto"/>
          <w:sz w:val="24"/>
          <w:szCs w:val="24"/>
        </w:rPr>
        <w:t>九、拟用于本项目的监理用检测仪器、设备一览表</w:t>
      </w:r>
      <w:bookmarkEnd w:id="536"/>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6"/>
        <w:numPr>
          <w:ilvl w:val="0"/>
          <w:numId w:val="0"/>
        </w:numPr>
        <w:jc w:val="left"/>
        <w:rPr>
          <w:rFonts w:hint="eastAsia" w:ascii="宋体" w:hAnsi="宋体" w:eastAsia="宋体" w:cs="宋体"/>
          <w:color w:val="auto"/>
          <w:sz w:val="24"/>
          <w:szCs w:val="24"/>
        </w:rPr>
      </w:pPr>
      <w:r>
        <w:rPr>
          <w:rFonts w:hint="eastAsia" w:ascii="宋体" w:hAnsi="宋体" w:eastAsia="宋体" w:cs="宋体"/>
          <w:color w:val="auto"/>
          <w:sz w:val="24"/>
          <w:szCs w:val="24"/>
        </w:rPr>
        <w:t>十、优惠及服务承诺</w:t>
      </w:r>
    </w:p>
    <w:p>
      <w:pPr>
        <w:pStyle w:val="6"/>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十一、承诺书</w:t>
      </w:r>
    </w:p>
    <w:p>
      <w:pPr>
        <w:spacing w:before="312" w:beforeLines="100" w:after="312" w:afterLines="1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承诺书（1）</w:t>
      </w:r>
    </w:p>
    <w:p>
      <w:pPr>
        <w:spacing w:after="312" w:afterLines="100" w:line="440" w:lineRule="exac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（招标人名称）：</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我方在此声明，我方所提供的所有资料均真实和准确。</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我方保证上述信息的真实和准确，并愿意承担因我方就此弄虚作假所引起的一切法律后果。</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特此承诺</w:t>
      </w:r>
    </w:p>
    <w:p>
      <w:pPr>
        <w:spacing w:line="440" w:lineRule="exact"/>
        <w:rPr>
          <w:rFonts w:hint="eastAsia" w:ascii="宋体" w:hAnsi="宋体" w:eastAsia="宋体" w:cs="宋体"/>
          <w:color w:val="auto"/>
          <w:sz w:val="24"/>
          <w:szCs w:val="24"/>
        </w:rPr>
      </w:pP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eastAsia="zh-CN"/>
        </w:rPr>
        <w:t>电子签章</w:t>
      </w:r>
      <w:r>
        <w:rPr>
          <w:rFonts w:hint="eastAsia" w:ascii="宋体" w:hAnsi="宋体" w:eastAsia="宋体" w:cs="宋体"/>
          <w:color w:val="auto"/>
          <w:sz w:val="24"/>
          <w:szCs w:val="24"/>
        </w:rPr>
        <w:t>）：</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法定代表人或其授权委托人（</w:t>
      </w:r>
      <w:r>
        <w:rPr>
          <w:rFonts w:hint="eastAsia" w:ascii="宋体" w:hAnsi="宋体" w:eastAsia="宋体" w:cs="宋体"/>
          <w:color w:val="auto"/>
          <w:sz w:val="24"/>
          <w:szCs w:val="24"/>
          <w:lang w:eastAsia="zh-CN"/>
        </w:rPr>
        <w:t>电子签</w:t>
      </w:r>
      <w:r>
        <w:rPr>
          <w:rFonts w:hint="eastAsia" w:ascii="宋体" w:hAnsi="宋体" w:eastAsia="宋体" w:cs="宋体"/>
          <w:color w:val="auto"/>
          <w:sz w:val="24"/>
          <w:szCs w:val="24"/>
          <w:lang w:val="en-US" w:eastAsia="zh-CN"/>
        </w:rPr>
        <w:t>名或签字</w:t>
      </w: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日期：</w:t>
      </w:r>
    </w:p>
    <w:p>
      <w:pPr>
        <w:spacing w:line="440" w:lineRule="exact"/>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440" w:lineRule="exact"/>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440" w:lineRule="exact"/>
        <w:jc w:val="right"/>
        <w:rPr>
          <w:rFonts w:hint="eastAsia" w:ascii="宋体" w:hAnsi="宋体" w:eastAsia="宋体" w:cs="宋体"/>
          <w:color w:val="auto"/>
          <w:sz w:val="24"/>
          <w:szCs w:val="24"/>
        </w:rPr>
      </w:pPr>
    </w:p>
    <w:p>
      <w:pPr>
        <w:spacing w:line="440" w:lineRule="exact"/>
        <w:jc w:val="right"/>
        <w:rPr>
          <w:rFonts w:hint="eastAsia" w:ascii="宋体" w:hAnsi="宋体" w:eastAsia="宋体" w:cs="宋体"/>
          <w:color w:val="auto"/>
          <w:sz w:val="24"/>
          <w:szCs w:val="24"/>
        </w:rPr>
      </w:pPr>
    </w:p>
    <w:p>
      <w:pPr>
        <w:spacing w:line="440" w:lineRule="exact"/>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before="312" w:beforeLines="100" w:after="312" w:afterLines="1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r>
        <w:rPr>
          <w:rFonts w:hint="eastAsia" w:ascii="宋体" w:hAnsi="宋体" w:eastAsia="宋体" w:cs="宋体"/>
          <w:b/>
          <w:bCs/>
          <w:color w:val="auto"/>
          <w:sz w:val="24"/>
          <w:szCs w:val="24"/>
        </w:rPr>
        <w:t>承诺书</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rPr>
        <w:t>2</w:t>
      </w:r>
      <w:r>
        <w:rPr>
          <w:rFonts w:hint="eastAsia" w:ascii="宋体" w:hAnsi="宋体" w:eastAsia="宋体" w:cs="宋体"/>
          <w:b/>
          <w:bCs/>
          <w:color w:val="auto"/>
          <w:sz w:val="24"/>
          <w:szCs w:val="24"/>
          <w:highlight w:val="none"/>
        </w:rPr>
        <w:t>)</w:t>
      </w:r>
    </w:p>
    <w:p>
      <w:pPr>
        <w:spacing w:after="312" w:afterLines="100" w:line="440" w:lineRule="exac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（招标人名称）：</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我方已经详细阅读整个招标文件的内容，对本招标文件的内容没有任何异议，全部同意并接受，且我方保证在开评标活动结束后不对本招标文件的任何内容提出异议。</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eastAsia="zh-CN"/>
        </w:rPr>
        <w:t>电子签章</w:t>
      </w:r>
      <w:r>
        <w:rPr>
          <w:rFonts w:hint="eastAsia" w:ascii="宋体" w:hAnsi="宋体" w:eastAsia="宋体" w:cs="宋体"/>
          <w:color w:val="auto"/>
          <w:sz w:val="24"/>
          <w:szCs w:val="24"/>
        </w:rPr>
        <w:t>）：</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法定代表人或其授权委托人（</w:t>
      </w:r>
      <w:r>
        <w:rPr>
          <w:rFonts w:hint="eastAsia" w:ascii="宋体" w:hAnsi="宋体" w:eastAsia="宋体" w:cs="宋体"/>
          <w:color w:val="auto"/>
          <w:sz w:val="24"/>
          <w:szCs w:val="24"/>
          <w:lang w:eastAsia="zh-CN"/>
        </w:rPr>
        <w:t>电子签</w:t>
      </w:r>
      <w:r>
        <w:rPr>
          <w:rFonts w:hint="eastAsia" w:ascii="宋体" w:hAnsi="宋体" w:eastAsia="宋体" w:cs="宋体"/>
          <w:color w:val="auto"/>
          <w:sz w:val="24"/>
          <w:szCs w:val="24"/>
          <w:lang w:val="en-US" w:eastAsia="zh-CN"/>
        </w:rPr>
        <w:t>名或签字</w:t>
      </w: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日期：</w:t>
      </w:r>
    </w:p>
    <w:p>
      <w:pPr>
        <w:spacing w:before="312" w:beforeLines="100" w:after="312" w:afterLines="1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r>
        <w:rPr>
          <w:rFonts w:hint="eastAsia" w:ascii="宋体" w:hAnsi="宋体" w:eastAsia="宋体" w:cs="宋体"/>
          <w:b/>
          <w:bCs/>
          <w:color w:val="auto"/>
          <w:sz w:val="24"/>
          <w:szCs w:val="24"/>
        </w:rPr>
        <w:t>承诺书</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rPr>
        <w:t>3</w:t>
      </w:r>
      <w:r>
        <w:rPr>
          <w:rFonts w:hint="eastAsia" w:ascii="宋体" w:hAnsi="宋体" w:eastAsia="宋体" w:cs="宋体"/>
          <w:b/>
          <w:bCs/>
          <w:color w:val="auto"/>
          <w:sz w:val="24"/>
          <w:szCs w:val="24"/>
          <w:highlight w:val="none"/>
        </w:rPr>
        <w:t>)</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（招标人名称）：</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我方在此承诺，我方信誉良好，现阶段没有处于被责令停产、停业，或者投标资格被取消，近三年没有骗取中标和严重违约及重大工程质量等问题，在经营活动中没有重大违法记录。我方承诺上述信息的真实和准确，一经发现我方愿意无条件自动放弃中标资格。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特此承诺</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eastAsia="zh-CN"/>
        </w:rPr>
        <w:t>电子签章</w:t>
      </w:r>
      <w:r>
        <w:rPr>
          <w:rFonts w:hint="eastAsia" w:ascii="宋体" w:hAnsi="宋体" w:eastAsia="宋体" w:cs="宋体"/>
          <w:color w:val="auto"/>
          <w:sz w:val="24"/>
          <w:szCs w:val="24"/>
        </w:rPr>
        <w:t>）：</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法定代表人或其授权委托人（</w:t>
      </w:r>
      <w:r>
        <w:rPr>
          <w:rFonts w:hint="eastAsia" w:ascii="宋体" w:hAnsi="宋体" w:eastAsia="宋体" w:cs="宋体"/>
          <w:color w:val="auto"/>
          <w:sz w:val="24"/>
          <w:szCs w:val="24"/>
          <w:lang w:eastAsia="zh-CN"/>
        </w:rPr>
        <w:t>电子签</w:t>
      </w:r>
      <w:r>
        <w:rPr>
          <w:rFonts w:hint="eastAsia" w:ascii="宋体" w:hAnsi="宋体" w:eastAsia="宋体" w:cs="宋体"/>
          <w:color w:val="auto"/>
          <w:sz w:val="24"/>
          <w:szCs w:val="24"/>
          <w:lang w:val="en-US" w:eastAsia="zh-CN"/>
        </w:rPr>
        <w:t>名或签字</w:t>
      </w: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日期：</w:t>
      </w:r>
    </w:p>
    <w:p>
      <w:pPr>
        <w:spacing w:before="312" w:beforeLines="100" w:after="312" w:afterLines="100"/>
        <w:rPr>
          <w:rFonts w:hint="eastAsia" w:ascii="宋体" w:hAnsi="宋体" w:eastAsia="宋体" w:cs="宋体"/>
          <w:b/>
          <w:bCs/>
          <w:color w:val="auto"/>
          <w:sz w:val="24"/>
          <w:szCs w:val="24"/>
        </w:rPr>
      </w:pPr>
    </w:p>
    <w:p>
      <w:pPr>
        <w:spacing w:before="312" w:beforeLines="100" w:after="312" w:afterLines="100"/>
        <w:jc w:val="center"/>
        <w:rPr>
          <w:rFonts w:hint="eastAsia" w:ascii="宋体" w:hAnsi="宋体" w:eastAsia="宋体" w:cs="宋体"/>
          <w:b/>
          <w:bCs/>
          <w:color w:val="auto"/>
          <w:sz w:val="24"/>
          <w:szCs w:val="24"/>
        </w:rPr>
      </w:pPr>
    </w:p>
    <w:p>
      <w:pPr>
        <w:spacing w:before="312" w:beforeLines="100" w:after="312" w:afterLines="100"/>
        <w:jc w:val="center"/>
        <w:rPr>
          <w:rFonts w:hint="eastAsia" w:ascii="宋体" w:hAnsi="宋体" w:eastAsia="宋体" w:cs="宋体"/>
          <w:b/>
          <w:bCs/>
          <w:color w:val="auto"/>
          <w:sz w:val="24"/>
          <w:szCs w:val="24"/>
        </w:rPr>
      </w:pPr>
    </w:p>
    <w:p>
      <w:pPr>
        <w:spacing w:before="312" w:beforeLines="100" w:after="312" w:afterLines="100"/>
        <w:jc w:val="center"/>
        <w:rPr>
          <w:rFonts w:hint="eastAsia" w:ascii="宋体" w:hAnsi="宋体" w:eastAsia="宋体" w:cs="宋体"/>
          <w:b/>
          <w:bCs/>
          <w:color w:val="auto"/>
          <w:sz w:val="24"/>
          <w:szCs w:val="24"/>
        </w:rPr>
      </w:pPr>
    </w:p>
    <w:p>
      <w:pPr>
        <w:spacing w:before="312" w:beforeLines="100" w:after="312" w:afterLines="100"/>
        <w:jc w:val="center"/>
        <w:rPr>
          <w:rFonts w:hint="eastAsia" w:ascii="宋体" w:hAnsi="宋体" w:eastAsia="宋体" w:cs="宋体"/>
          <w:color w:val="auto"/>
          <w:sz w:val="24"/>
          <w:szCs w:val="24"/>
        </w:rPr>
      </w:pPr>
      <w:r>
        <w:rPr>
          <w:rFonts w:hint="eastAsia" w:ascii="宋体" w:hAnsi="宋体" w:eastAsia="宋体" w:cs="宋体"/>
          <w:b/>
          <w:bCs/>
          <w:color w:val="auto"/>
          <w:sz w:val="24"/>
          <w:szCs w:val="24"/>
        </w:rPr>
        <w:br w:type="page"/>
      </w:r>
      <w:r>
        <w:rPr>
          <w:rFonts w:hint="eastAsia" w:ascii="宋体" w:hAnsi="宋体" w:eastAsia="宋体" w:cs="宋体"/>
          <w:b/>
          <w:bCs/>
          <w:color w:val="auto"/>
          <w:sz w:val="24"/>
          <w:szCs w:val="24"/>
        </w:rPr>
        <w:t>承诺书</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rPr>
        <w:t>4</w:t>
      </w:r>
      <w:r>
        <w:rPr>
          <w:rFonts w:hint="eastAsia" w:ascii="宋体" w:hAnsi="宋体" w:eastAsia="宋体" w:cs="宋体"/>
          <w:b/>
          <w:bCs/>
          <w:color w:val="auto"/>
          <w:sz w:val="24"/>
          <w:szCs w:val="24"/>
          <w:highlight w:val="none"/>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我方在此承诺，我方财务状况良好，没有处于财产被接管、冻结、破产或其他不良状态。我方承诺上述信息的真实和准确，一经发现我方愿意无条件自动放弃中标资格。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特此承诺</w:t>
      </w:r>
    </w:p>
    <w:p>
      <w:pPr>
        <w:spacing w:line="440" w:lineRule="exact"/>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eastAsia="zh-CN"/>
        </w:rPr>
        <w:t>电子签章</w:t>
      </w:r>
      <w:r>
        <w:rPr>
          <w:rFonts w:hint="eastAsia" w:ascii="宋体" w:hAnsi="宋体" w:eastAsia="宋体" w:cs="宋体"/>
          <w:color w:val="auto"/>
          <w:sz w:val="24"/>
          <w:szCs w:val="24"/>
        </w:rPr>
        <w:t>）：</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法定代表人或其授权委托人（</w:t>
      </w:r>
      <w:r>
        <w:rPr>
          <w:rFonts w:hint="eastAsia" w:ascii="宋体" w:hAnsi="宋体" w:eastAsia="宋体" w:cs="宋体"/>
          <w:color w:val="auto"/>
          <w:sz w:val="24"/>
          <w:szCs w:val="24"/>
          <w:lang w:eastAsia="zh-CN"/>
        </w:rPr>
        <w:t>电子签</w:t>
      </w:r>
      <w:r>
        <w:rPr>
          <w:rFonts w:hint="eastAsia" w:ascii="宋体" w:hAnsi="宋体" w:eastAsia="宋体" w:cs="宋体"/>
          <w:color w:val="auto"/>
          <w:sz w:val="24"/>
          <w:szCs w:val="24"/>
          <w:lang w:val="en-US" w:eastAsia="zh-CN"/>
        </w:rPr>
        <w:t>名或签字</w:t>
      </w: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日期：</w:t>
      </w:r>
    </w:p>
    <w:p>
      <w:pPr>
        <w:spacing w:line="440" w:lineRule="exact"/>
        <w:jc w:val="center"/>
        <w:rPr>
          <w:rFonts w:hint="eastAsia" w:ascii="宋体" w:hAnsi="宋体" w:eastAsia="宋体" w:cs="宋体"/>
          <w:color w:val="auto"/>
          <w:sz w:val="24"/>
          <w:szCs w:val="24"/>
        </w:rPr>
      </w:pPr>
      <w:r>
        <w:rPr>
          <w:rFonts w:hint="eastAsia" w:ascii="宋体" w:hAnsi="宋体" w:eastAsia="宋体" w:cs="宋体"/>
          <w:b/>
          <w:bCs/>
          <w:color w:val="auto"/>
          <w:sz w:val="24"/>
          <w:szCs w:val="24"/>
        </w:rPr>
        <w:br w:type="page"/>
      </w:r>
      <w:r>
        <w:rPr>
          <w:rFonts w:hint="eastAsia" w:ascii="宋体" w:hAnsi="宋体" w:eastAsia="宋体" w:cs="宋体"/>
          <w:b/>
          <w:bCs/>
          <w:color w:val="auto"/>
          <w:sz w:val="24"/>
          <w:szCs w:val="24"/>
        </w:rPr>
        <w:t>承诺书</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rPr>
        <w:t>5</w:t>
      </w:r>
      <w:r>
        <w:rPr>
          <w:rFonts w:hint="eastAsia" w:ascii="宋体" w:hAnsi="宋体" w:eastAsia="宋体" w:cs="宋体"/>
          <w:b/>
          <w:bCs/>
          <w:color w:val="auto"/>
          <w:sz w:val="24"/>
          <w:szCs w:val="24"/>
          <w:highlight w:val="none"/>
        </w:rPr>
        <w:t>)</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（招标人名称）：</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我方在此承诺，我方信誉良好，近三年来没有被相关行业部门列入黑名单。我方承诺上述信息的真实和准确，一经发现我方愿意无条件自动放弃中标资格。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特此承诺</w:t>
      </w:r>
    </w:p>
    <w:p>
      <w:p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eastAsia="zh-CN"/>
        </w:rPr>
        <w:t>电子签章</w:t>
      </w:r>
      <w:r>
        <w:rPr>
          <w:rFonts w:hint="eastAsia" w:ascii="宋体" w:hAnsi="宋体" w:eastAsia="宋体" w:cs="宋体"/>
          <w:color w:val="auto"/>
          <w:sz w:val="24"/>
          <w:szCs w:val="24"/>
        </w:rPr>
        <w:t>）：</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法定代表人或其授权委托人（</w:t>
      </w:r>
      <w:r>
        <w:rPr>
          <w:rFonts w:hint="eastAsia" w:ascii="宋体" w:hAnsi="宋体" w:eastAsia="宋体" w:cs="宋体"/>
          <w:color w:val="auto"/>
          <w:sz w:val="24"/>
          <w:szCs w:val="24"/>
          <w:lang w:eastAsia="zh-CN"/>
        </w:rPr>
        <w:t>电子签</w:t>
      </w:r>
      <w:r>
        <w:rPr>
          <w:rFonts w:hint="eastAsia" w:ascii="宋体" w:hAnsi="宋体" w:eastAsia="宋体" w:cs="宋体"/>
          <w:color w:val="auto"/>
          <w:sz w:val="24"/>
          <w:szCs w:val="24"/>
          <w:lang w:val="en-US" w:eastAsia="zh-CN"/>
        </w:rPr>
        <w:t>名或签字</w:t>
      </w: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日期：</w:t>
      </w:r>
    </w:p>
    <w:p>
      <w:pPr>
        <w:spacing w:before="312" w:beforeLines="100" w:after="312" w:afterLines="100"/>
        <w:rPr>
          <w:rFonts w:hint="eastAsia" w:ascii="宋体" w:hAnsi="宋体" w:eastAsia="宋体" w:cs="宋体"/>
          <w:b/>
          <w:bCs/>
          <w:color w:val="auto"/>
          <w:sz w:val="24"/>
          <w:szCs w:val="24"/>
        </w:rPr>
      </w:pPr>
    </w:p>
    <w:p>
      <w:pPr>
        <w:spacing w:before="312" w:beforeLines="100" w:after="312" w:afterLines="100"/>
        <w:rPr>
          <w:rFonts w:hint="eastAsia" w:ascii="宋体" w:hAnsi="宋体" w:eastAsia="宋体" w:cs="宋体"/>
          <w:b/>
          <w:bCs/>
          <w:color w:val="auto"/>
          <w:sz w:val="24"/>
          <w:szCs w:val="24"/>
        </w:rPr>
      </w:pPr>
    </w:p>
    <w:p>
      <w:pPr>
        <w:spacing w:before="312" w:beforeLines="100" w:after="312" w:afterLines="100"/>
        <w:rPr>
          <w:rFonts w:hint="eastAsia" w:ascii="宋体" w:hAnsi="宋体" w:eastAsia="宋体" w:cs="宋体"/>
          <w:b/>
          <w:bCs/>
          <w:color w:val="auto"/>
          <w:sz w:val="24"/>
          <w:szCs w:val="24"/>
        </w:rPr>
      </w:pPr>
    </w:p>
    <w:p>
      <w:pPr>
        <w:spacing w:before="312" w:beforeLines="100" w:after="312" w:afterLines="100"/>
        <w:rPr>
          <w:rFonts w:hint="eastAsia" w:ascii="宋体" w:hAnsi="宋体" w:eastAsia="宋体" w:cs="宋体"/>
          <w:b/>
          <w:bCs/>
          <w:color w:val="auto"/>
          <w:sz w:val="24"/>
          <w:szCs w:val="24"/>
        </w:rPr>
      </w:pPr>
    </w:p>
    <w:p>
      <w:pPr>
        <w:spacing w:before="312" w:beforeLines="100" w:after="312" w:afterLines="100"/>
        <w:rPr>
          <w:rFonts w:hint="eastAsia" w:ascii="宋体" w:hAnsi="宋体" w:eastAsia="宋体" w:cs="宋体"/>
          <w:b/>
          <w:bCs/>
          <w:color w:val="auto"/>
          <w:sz w:val="24"/>
          <w:szCs w:val="24"/>
        </w:rPr>
      </w:pPr>
    </w:p>
    <w:p>
      <w:pPr>
        <w:spacing w:before="312" w:beforeLines="100" w:after="312" w:afterLines="1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r>
        <w:rPr>
          <w:rFonts w:hint="eastAsia" w:ascii="宋体" w:hAnsi="宋体" w:eastAsia="宋体" w:cs="宋体"/>
          <w:b/>
          <w:bCs/>
          <w:color w:val="auto"/>
          <w:sz w:val="24"/>
          <w:szCs w:val="24"/>
        </w:rPr>
        <w:t>承诺书</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rPr>
        <w:t>6</w:t>
      </w:r>
      <w:r>
        <w:rPr>
          <w:rFonts w:hint="eastAsia" w:ascii="宋体" w:hAnsi="宋体" w:eastAsia="宋体" w:cs="宋体"/>
          <w:b/>
          <w:bCs/>
          <w:color w:val="auto"/>
          <w:sz w:val="24"/>
          <w:szCs w:val="24"/>
          <w:highlight w:val="none"/>
        </w:rPr>
        <w:t>)</w:t>
      </w:r>
    </w:p>
    <w:p>
      <w:pPr>
        <w:spacing w:line="440" w:lineRule="exact"/>
        <w:ind w:right="315"/>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after="312" w:afterLines="100" w:line="440" w:lineRule="exact"/>
        <w:rPr>
          <w:rFonts w:hint="eastAsia" w:ascii="宋体" w:hAnsi="宋体" w:eastAsia="宋体" w:cs="宋体"/>
          <w:color w:val="auto"/>
          <w:kern w:val="0"/>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rPr>
        <w:t>（招标人名称）：</w:t>
      </w:r>
    </w:p>
    <w:p>
      <w:pPr>
        <w:spacing w:line="4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我方已经详细阅读第四章合同条款的全部内容，我方全部同意并按本章的权利义务要求履行合同。并承诺完全按国家、行业以及地方现行的技术标准和要求履行合同。</w:t>
      </w:r>
    </w:p>
    <w:p>
      <w:pPr>
        <w:spacing w:before="156" w:beforeLines="50" w:after="312" w:afterLines="100" w:line="440" w:lineRule="exact"/>
        <w:ind w:right="42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eastAsia="zh-CN"/>
        </w:rPr>
        <w:t>电子签章</w:t>
      </w:r>
      <w:r>
        <w:rPr>
          <w:rFonts w:hint="eastAsia" w:ascii="宋体" w:hAnsi="宋体" w:eastAsia="宋体" w:cs="宋体"/>
          <w:color w:val="auto"/>
          <w:sz w:val="24"/>
          <w:szCs w:val="24"/>
        </w:rPr>
        <w:t>）：</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法定代表人或其授权委托人（</w:t>
      </w:r>
      <w:r>
        <w:rPr>
          <w:rFonts w:hint="eastAsia" w:ascii="宋体" w:hAnsi="宋体" w:eastAsia="宋体" w:cs="宋体"/>
          <w:color w:val="auto"/>
          <w:sz w:val="24"/>
          <w:szCs w:val="24"/>
          <w:lang w:eastAsia="zh-CN"/>
        </w:rPr>
        <w:t>电子签名或签字</w:t>
      </w: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日期：</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rPr>
        <w:t>7</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rPr>
        <w:t>投标人廉洁自律承诺书</w:t>
      </w:r>
    </w:p>
    <w:p>
      <w:pPr>
        <w:spacing w:line="480" w:lineRule="auto"/>
        <w:ind w:firstLine="480" w:firstLineChars="200"/>
        <w:rPr>
          <w:rFonts w:hint="eastAsia" w:ascii="宋体" w:hAnsi="宋体" w:eastAsia="宋体" w:cs="宋体"/>
          <w:color w:val="auto"/>
          <w:sz w:val="24"/>
          <w:szCs w:val="24"/>
        </w:rPr>
      </w:pPr>
      <w:bookmarkStart w:id="537" w:name="_Toc343799856"/>
      <w:bookmarkStart w:id="538" w:name="_Toc446542613"/>
      <w:r>
        <w:rPr>
          <w:rFonts w:hint="eastAsia" w:ascii="宋体" w:hAnsi="宋体" w:eastAsia="宋体" w:cs="宋体"/>
          <w:color w:val="auto"/>
          <w:sz w:val="24"/>
          <w:szCs w:val="24"/>
        </w:rPr>
        <w:t>为了保护国家利益、社会公共利益和公共资源交易当事人的合法权益，确保公共资源交易活动公平、公正、公开，我（单位）在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项目交易活动中承诺如下事项：</w:t>
      </w:r>
      <w:bookmarkEnd w:id="537"/>
      <w:bookmarkEnd w:id="538"/>
    </w:p>
    <w:p>
      <w:pPr>
        <w:spacing w:line="480" w:lineRule="auto"/>
        <w:ind w:firstLine="480" w:firstLineChars="200"/>
        <w:rPr>
          <w:rFonts w:hint="eastAsia" w:ascii="宋体" w:hAnsi="宋体" w:eastAsia="宋体" w:cs="宋体"/>
          <w:color w:val="auto"/>
          <w:sz w:val="24"/>
          <w:szCs w:val="24"/>
        </w:rPr>
      </w:pPr>
      <w:bookmarkStart w:id="539" w:name="_Toc446542614"/>
      <w:bookmarkStart w:id="540" w:name="_Toc343799857"/>
      <w:r>
        <w:rPr>
          <w:rFonts w:hint="eastAsia" w:ascii="宋体" w:hAnsi="宋体" w:eastAsia="宋体" w:cs="宋体"/>
          <w:color w:val="auto"/>
          <w:sz w:val="24"/>
          <w:szCs w:val="24"/>
        </w:rPr>
        <w:t>一、严格执行招投标、政府采购等各项法律、规章、制度、操作规程和办事程序，主动接受相关部门和社会的监督。</w:t>
      </w:r>
      <w:bookmarkEnd w:id="539"/>
      <w:r>
        <w:rPr>
          <w:rFonts w:hint="eastAsia" w:ascii="宋体" w:hAnsi="宋体" w:eastAsia="宋体" w:cs="宋体"/>
          <w:color w:val="auto"/>
          <w:sz w:val="24"/>
          <w:szCs w:val="24"/>
        </w:rPr>
        <w:t xml:space="preserve"> </w:t>
      </w:r>
    </w:p>
    <w:p>
      <w:pPr>
        <w:spacing w:line="480" w:lineRule="auto"/>
        <w:ind w:firstLine="480" w:firstLineChars="200"/>
        <w:rPr>
          <w:rFonts w:hint="eastAsia" w:ascii="宋体" w:hAnsi="宋体" w:eastAsia="宋体" w:cs="宋体"/>
          <w:color w:val="auto"/>
          <w:sz w:val="24"/>
          <w:szCs w:val="24"/>
        </w:rPr>
      </w:pPr>
      <w:bookmarkStart w:id="541" w:name="_Toc446542615"/>
      <w:r>
        <w:rPr>
          <w:rFonts w:hint="eastAsia" w:ascii="宋体" w:hAnsi="宋体" w:eastAsia="宋体" w:cs="宋体"/>
          <w:color w:val="auto"/>
          <w:sz w:val="24"/>
          <w:szCs w:val="24"/>
        </w:rPr>
        <w:t>二、不与招标人、代理机构串通投标；不与其他投标人相互串通报价，不排挤其他投标人的公平竞争。</w:t>
      </w:r>
      <w:bookmarkEnd w:id="541"/>
      <w:r>
        <w:rPr>
          <w:rFonts w:hint="eastAsia" w:ascii="宋体" w:hAnsi="宋体" w:eastAsia="宋体" w:cs="宋体"/>
          <w:color w:val="auto"/>
          <w:sz w:val="24"/>
          <w:szCs w:val="24"/>
        </w:rPr>
        <w:t xml:space="preserve"> </w:t>
      </w:r>
    </w:p>
    <w:p>
      <w:pPr>
        <w:spacing w:line="480" w:lineRule="auto"/>
        <w:ind w:firstLine="480" w:firstLineChars="200"/>
        <w:rPr>
          <w:rFonts w:hint="eastAsia" w:ascii="宋体" w:hAnsi="宋体" w:eastAsia="宋体" w:cs="宋体"/>
          <w:color w:val="auto"/>
          <w:sz w:val="24"/>
          <w:szCs w:val="24"/>
        </w:rPr>
      </w:pPr>
      <w:bookmarkStart w:id="542" w:name="_Toc446542616"/>
      <w:r>
        <w:rPr>
          <w:rFonts w:hint="eastAsia" w:ascii="宋体" w:hAnsi="宋体" w:eastAsia="宋体" w:cs="宋体"/>
          <w:color w:val="auto"/>
          <w:sz w:val="24"/>
          <w:szCs w:val="24"/>
        </w:rPr>
        <w:t>三、不向招标代理机构、评委和招标单位人员进行任何形式的商业贿赂以谋取交易、中标机会。</w:t>
      </w:r>
      <w:bookmarkEnd w:id="542"/>
    </w:p>
    <w:p>
      <w:pPr>
        <w:spacing w:line="480" w:lineRule="auto"/>
        <w:ind w:firstLine="480" w:firstLineChars="200"/>
        <w:rPr>
          <w:rFonts w:hint="eastAsia" w:ascii="宋体" w:hAnsi="宋体" w:eastAsia="宋体" w:cs="宋体"/>
          <w:color w:val="auto"/>
          <w:sz w:val="24"/>
          <w:szCs w:val="24"/>
        </w:rPr>
      </w:pPr>
      <w:bookmarkStart w:id="543" w:name="_Toc446542617"/>
      <w:r>
        <w:rPr>
          <w:rFonts w:hint="eastAsia" w:ascii="宋体" w:hAnsi="宋体" w:eastAsia="宋体" w:cs="宋体"/>
          <w:color w:val="auto"/>
          <w:sz w:val="24"/>
          <w:szCs w:val="24"/>
        </w:rPr>
        <w:t>四、不以低于成本的报价竞标，不以他人名义投标或者以其他方式弄虚作假骗取投标、中标，不转包和违法分包。不以投诉为名排挤竞争对手，不进行虚假、恶意投诉，阻碍招标投标活动的正常进行。</w:t>
      </w:r>
      <w:bookmarkEnd w:id="540"/>
      <w:bookmarkEnd w:id="543"/>
    </w:p>
    <w:p>
      <w:pPr>
        <w:spacing w:line="480" w:lineRule="auto"/>
        <w:ind w:firstLine="480" w:firstLineChars="200"/>
        <w:rPr>
          <w:rFonts w:hint="eastAsia" w:ascii="宋体" w:hAnsi="宋体" w:eastAsia="宋体" w:cs="宋体"/>
          <w:color w:val="auto"/>
          <w:sz w:val="24"/>
          <w:szCs w:val="24"/>
        </w:rPr>
      </w:pPr>
      <w:bookmarkStart w:id="544" w:name="_Toc343799858"/>
      <w:bookmarkStart w:id="545" w:name="_Toc446542618"/>
      <w:r>
        <w:rPr>
          <w:rFonts w:hint="eastAsia" w:ascii="宋体" w:hAnsi="宋体" w:eastAsia="宋体" w:cs="宋体"/>
          <w:color w:val="auto"/>
          <w:sz w:val="24"/>
          <w:szCs w:val="24"/>
        </w:rPr>
        <w:t>五、中标后无正当理由，不得拒绝签订合同，不得擅自改变招标文件内容签订合同，不得拒绝履行合同。</w:t>
      </w:r>
      <w:bookmarkEnd w:id="544"/>
      <w:bookmarkEnd w:id="545"/>
    </w:p>
    <w:p>
      <w:pPr>
        <w:spacing w:line="480" w:lineRule="auto"/>
        <w:ind w:firstLine="480" w:firstLineChars="200"/>
        <w:rPr>
          <w:rFonts w:hint="eastAsia" w:ascii="宋体" w:hAnsi="宋体" w:eastAsia="宋体" w:cs="宋体"/>
          <w:color w:val="auto"/>
          <w:sz w:val="24"/>
          <w:szCs w:val="24"/>
        </w:rPr>
      </w:pPr>
      <w:bookmarkStart w:id="546" w:name="_Toc343799859"/>
      <w:bookmarkStart w:id="547" w:name="_Toc446542619"/>
      <w:r>
        <w:rPr>
          <w:rFonts w:hint="eastAsia" w:ascii="宋体" w:hAnsi="宋体" w:eastAsia="宋体" w:cs="宋体"/>
          <w:color w:val="auto"/>
          <w:sz w:val="24"/>
          <w:szCs w:val="24"/>
        </w:rPr>
        <w:t>六、违反上述承诺或有其他违法违规行为，愿意没收投标保证金，并按照国家法律、法规和相应规章制度规定接受处罚。</w:t>
      </w:r>
      <w:bookmarkEnd w:id="546"/>
      <w:bookmarkEnd w:id="547"/>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eastAsia="zh-CN"/>
        </w:rPr>
        <w:t>电子签章</w:t>
      </w:r>
      <w:r>
        <w:rPr>
          <w:rFonts w:hint="eastAsia" w:ascii="宋体" w:hAnsi="宋体" w:eastAsia="宋体" w:cs="宋体"/>
          <w:color w:val="auto"/>
          <w:sz w:val="24"/>
          <w:szCs w:val="24"/>
        </w:rPr>
        <w:t>）：</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法定代表人或其授权委托人（</w:t>
      </w:r>
      <w:r>
        <w:rPr>
          <w:rFonts w:hint="eastAsia" w:ascii="宋体" w:hAnsi="宋体" w:eastAsia="宋体" w:cs="宋体"/>
          <w:color w:val="auto"/>
          <w:sz w:val="24"/>
          <w:szCs w:val="24"/>
          <w:lang w:eastAsia="zh-CN"/>
        </w:rPr>
        <w:t>电子签名或签字</w:t>
      </w:r>
      <w:r>
        <w:rPr>
          <w:rFonts w:hint="eastAsia" w:ascii="宋体" w:hAnsi="宋体" w:eastAsia="宋体" w:cs="宋体"/>
          <w:color w:val="auto"/>
          <w:sz w:val="24"/>
          <w:szCs w:val="24"/>
        </w:rPr>
        <w:t xml:space="preserve">）：     </w:t>
      </w:r>
    </w:p>
    <w:p>
      <w:pPr>
        <w:spacing w:line="440" w:lineRule="exact"/>
        <w:rPr>
          <w:rFonts w:hint="eastAsia" w:ascii="宋体" w:hAnsi="宋体" w:eastAsia="宋体" w:cs="宋体"/>
          <w:color w:val="auto"/>
          <w:sz w:val="24"/>
          <w:szCs w:val="24"/>
        </w:rPr>
      </w:pP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日期：</w:t>
      </w:r>
    </w:p>
    <w:p>
      <w:pPr>
        <w:pStyle w:val="6"/>
        <w:numPr>
          <w:ilvl w:val="3"/>
          <w:numId w:val="0"/>
        </w:numPr>
        <w:ind w:leftChars="20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十二、</w:t>
      </w:r>
      <w:r>
        <w:rPr>
          <w:rFonts w:hint="eastAsia" w:ascii="宋体" w:hAnsi="宋体" w:eastAsia="宋体" w:cs="宋体"/>
          <w:color w:val="auto"/>
          <w:sz w:val="24"/>
          <w:szCs w:val="24"/>
        </w:rPr>
        <w:t>投标人认为有必要提供的其它材料</w:t>
      </w:r>
      <w:bookmarkStart w:id="548" w:name="_Toc10848"/>
      <w:bookmarkStart w:id="549" w:name="_Toc14118"/>
      <w:bookmarkStart w:id="550" w:name="_Toc21841"/>
      <w:bookmarkStart w:id="551" w:name="_Toc366738687"/>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p>
    <w:p>
      <w:pPr>
        <w:rPr>
          <w:rFonts w:hint="eastAsia" w:ascii="宋体" w:hAnsi="宋体" w:eastAsia="宋体" w:cs="宋体"/>
          <w:b/>
          <w:bCs/>
          <w:color w:val="auto"/>
          <w:kern w:val="44"/>
          <w:sz w:val="24"/>
          <w:szCs w:val="24"/>
        </w:rPr>
      </w:pPr>
    </w:p>
    <w:p>
      <w:pPr>
        <w:rPr>
          <w:rFonts w:hint="eastAsia" w:ascii="宋体" w:hAnsi="宋体" w:eastAsia="宋体" w:cs="宋体"/>
          <w:b/>
          <w:bCs/>
          <w:color w:val="auto"/>
          <w:kern w:val="44"/>
          <w:sz w:val="24"/>
          <w:szCs w:val="24"/>
        </w:rPr>
      </w:pPr>
    </w:p>
    <w:p>
      <w:pPr>
        <w:rPr>
          <w:rFonts w:hint="eastAsia" w:ascii="宋体" w:hAnsi="宋体" w:eastAsia="宋体" w:cs="宋体"/>
          <w:b/>
          <w:bCs/>
          <w:color w:val="auto"/>
          <w:kern w:val="44"/>
          <w:sz w:val="24"/>
          <w:szCs w:val="24"/>
        </w:rPr>
      </w:pPr>
    </w:p>
    <w:p>
      <w:pPr>
        <w:rPr>
          <w:rFonts w:hint="eastAsia" w:ascii="宋体" w:hAnsi="宋体" w:eastAsia="宋体" w:cs="宋体"/>
          <w:b/>
          <w:bCs/>
          <w:color w:val="auto"/>
          <w:kern w:val="44"/>
          <w:sz w:val="24"/>
          <w:szCs w:val="24"/>
        </w:rPr>
      </w:pPr>
    </w:p>
    <w:p>
      <w:pPr>
        <w:rPr>
          <w:rFonts w:hint="eastAsia" w:ascii="宋体" w:hAnsi="宋体" w:eastAsia="宋体" w:cs="宋体"/>
          <w:b/>
          <w:bCs/>
          <w:color w:val="auto"/>
          <w:kern w:val="44"/>
          <w:sz w:val="24"/>
          <w:szCs w:val="24"/>
        </w:rPr>
      </w:pPr>
    </w:p>
    <w:p>
      <w:pPr>
        <w:rPr>
          <w:rFonts w:hint="eastAsia" w:ascii="宋体" w:hAnsi="宋体" w:eastAsia="宋体" w:cs="宋体"/>
          <w:b/>
          <w:bCs/>
          <w:color w:val="auto"/>
          <w:kern w:val="44"/>
          <w:sz w:val="24"/>
          <w:szCs w:val="24"/>
        </w:rPr>
      </w:pPr>
    </w:p>
    <w:p>
      <w:pPr>
        <w:rPr>
          <w:rFonts w:hint="eastAsia" w:ascii="宋体" w:hAnsi="宋体" w:eastAsia="宋体" w:cs="宋体"/>
          <w:b/>
          <w:bCs/>
          <w:color w:val="auto"/>
          <w:kern w:val="44"/>
          <w:sz w:val="24"/>
          <w:szCs w:val="24"/>
        </w:rPr>
      </w:pPr>
    </w:p>
    <w:p>
      <w:pPr>
        <w:rPr>
          <w:rFonts w:hint="eastAsia" w:ascii="宋体" w:hAnsi="宋体" w:eastAsia="宋体" w:cs="宋体"/>
          <w:b/>
          <w:bCs/>
          <w:color w:val="auto"/>
          <w:kern w:val="44"/>
          <w:sz w:val="24"/>
          <w:szCs w:val="24"/>
        </w:rPr>
      </w:pPr>
    </w:p>
    <w:p>
      <w:pPr>
        <w:rPr>
          <w:rFonts w:hint="eastAsia" w:ascii="宋体" w:hAnsi="宋体" w:eastAsia="宋体" w:cs="宋体"/>
          <w:b/>
          <w:bCs/>
          <w:color w:val="auto"/>
          <w:kern w:val="44"/>
          <w:sz w:val="24"/>
          <w:szCs w:val="24"/>
        </w:rPr>
      </w:pPr>
    </w:p>
    <w:p>
      <w:pPr>
        <w:rPr>
          <w:rFonts w:hint="eastAsia" w:ascii="宋体" w:hAnsi="宋体" w:eastAsia="宋体" w:cs="宋体"/>
          <w:b/>
          <w:bCs/>
          <w:color w:val="auto"/>
          <w:kern w:val="44"/>
          <w:sz w:val="24"/>
          <w:szCs w:val="24"/>
        </w:rPr>
      </w:pPr>
    </w:p>
    <w:p>
      <w:pPr>
        <w:pStyle w:val="6"/>
        <w:numPr>
          <w:ilvl w:val="3"/>
          <w:numId w:val="0"/>
        </w:numPr>
        <w:ind w:leftChars="200"/>
        <w:jc w:val="center"/>
        <w:rPr>
          <w:rFonts w:hint="eastAsia" w:ascii="宋体" w:hAnsi="宋体" w:eastAsia="宋体" w:cs="宋体"/>
          <w:b/>
          <w:bCs/>
          <w:color w:val="auto"/>
          <w:kern w:val="44"/>
          <w:sz w:val="24"/>
          <w:szCs w:val="24"/>
        </w:rPr>
      </w:pPr>
      <w:r>
        <w:rPr>
          <w:rFonts w:hint="eastAsia" w:ascii="宋体" w:hAnsi="宋体" w:eastAsia="宋体" w:cs="宋体"/>
          <w:b/>
          <w:bCs/>
          <w:color w:val="auto"/>
          <w:kern w:val="44"/>
          <w:sz w:val="24"/>
          <w:szCs w:val="24"/>
        </w:rPr>
        <w:t>第六章  委托监理的范围和监理工作</w:t>
      </w:r>
      <w:bookmarkStart w:id="552" w:name="_Toc431542548"/>
      <w:bookmarkStart w:id="553" w:name="_Toc431542627"/>
      <w:bookmarkStart w:id="554" w:name="_Toc431307759"/>
      <w:r>
        <w:rPr>
          <w:rFonts w:hint="eastAsia" w:ascii="宋体" w:hAnsi="宋体" w:eastAsia="宋体" w:cs="宋体"/>
          <w:b/>
          <w:bCs/>
          <w:color w:val="auto"/>
          <w:kern w:val="44"/>
          <w:sz w:val="24"/>
          <w:szCs w:val="24"/>
        </w:rPr>
        <w:t>主要内容</w:t>
      </w:r>
      <w:bookmarkEnd w:id="548"/>
      <w:bookmarkEnd w:id="549"/>
      <w:bookmarkEnd w:id="550"/>
      <w:bookmarkEnd w:id="551"/>
      <w:bookmarkEnd w:id="552"/>
      <w:bookmarkEnd w:id="553"/>
      <w:bookmarkEnd w:id="554"/>
    </w:p>
    <w:p>
      <w:pPr>
        <w:tabs>
          <w:tab w:val="left" w:pos="360"/>
        </w:tabs>
        <w:spacing w:line="360" w:lineRule="auto"/>
        <w:ind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1、委托监理的范围：</w:t>
      </w:r>
      <w:r>
        <w:rPr>
          <w:rFonts w:hint="eastAsia" w:ascii="宋体" w:hAnsi="宋体" w:eastAsia="宋体" w:cs="宋体"/>
          <w:color w:val="auto"/>
          <w:sz w:val="24"/>
          <w:szCs w:val="24"/>
        </w:rPr>
        <w:t>本工程施工阶段和缺陷责任期内全过程监理。</w:t>
      </w:r>
    </w:p>
    <w:p>
      <w:pPr>
        <w:tabs>
          <w:tab w:val="left" w:pos="360"/>
        </w:tabs>
        <w:spacing w:line="360" w:lineRule="auto"/>
        <w:ind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2、监理工作内容</w:t>
      </w:r>
    </w:p>
    <w:p>
      <w:pPr>
        <w:tabs>
          <w:tab w:val="left" w:pos="360"/>
        </w:tabs>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color w:val="auto"/>
          <w:sz w:val="24"/>
          <w:szCs w:val="24"/>
        </w:rPr>
        <w:t>2.1</w:t>
      </w:r>
      <w:r>
        <w:rPr>
          <w:rFonts w:hint="eastAsia" w:ascii="宋体" w:hAnsi="宋体" w:eastAsia="宋体" w:cs="宋体"/>
          <w:b/>
          <w:bCs/>
          <w:color w:val="auto"/>
          <w:sz w:val="24"/>
          <w:szCs w:val="24"/>
        </w:rPr>
        <w:t>工程施工质量控制</w:t>
      </w:r>
    </w:p>
    <w:p>
      <w:pPr>
        <w:tabs>
          <w:tab w:val="left" w:pos="360"/>
        </w:tabs>
        <w:spacing w:line="360" w:lineRule="auto"/>
        <w:ind w:left="420" w:leftChars="200"/>
        <w:rPr>
          <w:rFonts w:hint="eastAsia" w:ascii="宋体" w:hAnsi="宋体" w:eastAsia="宋体" w:cs="宋体"/>
          <w:color w:val="auto"/>
          <w:sz w:val="24"/>
          <w:szCs w:val="24"/>
        </w:rPr>
      </w:pPr>
      <w:r>
        <w:rPr>
          <w:rFonts w:hint="eastAsia" w:ascii="宋体" w:hAnsi="宋体" w:eastAsia="宋体" w:cs="宋体"/>
          <w:color w:val="auto"/>
          <w:sz w:val="24"/>
          <w:szCs w:val="24"/>
        </w:rPr>
        <w:t>2.1.1为确保工程项目质量目标的全面实现，提高工程项目投资效益、社会效益和环境效益，根据工程施工合同规定的质量目标，对施工全过程的质量实施监督管理；</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2.1.2建立本项目的质量控制体系；</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2.1.3督促承包商健全与完善质量保证体系；</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2.1.4审查承包商提交的监理大纲或施工方案；</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2.1.5严格控制原材料、半成品、构配件及设备的质量；</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2.1.6施工工艺过程质量控制：现场检查、旁站、量测、试验；</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2.1.7隐蔽工程检查验收；</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2.1.8审核设计变更及技术核定并经</w:t>
      </w:r>
      <w:r>
        <w:rPr>
          <w:rFonts w:hint="eastAsia" w:ascii="宋体" w:hAnsi="宋体" w:eastAsia="宋体" w:cs="宋体"/>
          <w:bCs/>
          <w:color w:val="auto"/>
          <w:sz w:val="24"/>
          <w:szCs w:val="24"/>
        </w:rPr>
        <w:t>委托人</w:t>
      </w:r>
      <w:r>
        <w:rPr>
          <w:rFonts w:hint="eastAsia" w:ascii="宋体" w:hAnsi="宋体" w:eastAsia="宋体" w:cs="宋体"/>
          <w:color w:val="auto"/>
          <w:sz w:val="24"/>
          <w:szCs w:val="24"/>
        </w:rPr>
        <w:t>同意；</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2.1.9进行质量技术鉴定；</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2.1.10组织分项工程、分部工程、单位工程及单项工程的质量评定；</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2.1.11定期向</w:t>
      </w:r>
      <w:r>
        <w:rPr>
          <w:rFonts w:hint="eastAsia" w:ascii="宋体" w:hAnsi="宋体" w:eastAsia="宋体" w:cs="宋体"/>
          <w:bCs/>
          <w:color w:val="auto"/>
          <w:sz w:val="24"/>
          <w:szCs w:val="24"/>
        </w:rPr>
        <w:t>委托人</w:t>
      </w:r>
      <w:r>
        <w:rPr>
          <w:rFonts w:hint="eastAsia" w:ascii="宋体" w:hAnsi="宋体" w:eastAsia="宋体" w:cs="宋体"/>
          <w:color w:val="auto"/>
          <w:sz w:val="24"/>
          <w:szCs w:val="24"/>
        </w:rPr>
        <w:t>报告有关工程质量的动态情况；</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2.1.12组织工程竣工验收；</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2.1.13经建设单位同意后发布开工令、停工令、复工令；</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2.1.14监督施工单位按合同质量标准施工，达到合格工程标准，符合验收条件。</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w:t>
      </w:r>
      <w:r>
        <w:rPr>
          <w:rFonts w:hint="eastAsia" w:ascii="宋体" w:hAnsi="宋体" w:eastAsia="宋体" w:cs="宋体"/>
          <w:b/>
          <w:bCs/>
          <w:color w:val="auto"/>
          <w:sz w:val="24"/>
          <w:szCs w:val="24"/>
        </w:rPr>
        <w:t>工程施工进度控制</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2.2.1编制工程施工进度控制工作细则；</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2.2.2审核承包商提交的施工进度网络计划或横道图计划；</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2.2.3审核承包商提交的年、季、月施工进度计划；</w:t>
      </w:r>
    </w:p>
    <w:p>
      <w:pPr>
        <w:tabs>
          <w:tab w:val="left" w:pos="360"/>
        </w:tabs>
        <w:spacing w:line="360" w:lineRule="auto"/>
        <w:ind w:left="420" w:leftChars="200"/>
        <w:rPr>
          <w:rFonts w:hint="eastAsia" w:ascii="宋体" w:hAnsi="宋体" w:eastAsia="宋体" w:cs="宋体"/>
          <w:color w:val="auto"/>
          <w:sz w:val="24"/>
          <w:szCs w:val="24"/>
        </w:rPr>
      </w:pPr>
      <w:r>
        <w:rPr>
          <w:rFonts w:hint="eastAsia" w:ascii="宋体" w:hAnsi="宋体" w:eastAsia="宋体" w:cs="宋体"/>
          <w:color w:val="auto"/>
          <w:sz w:val="24"/>
          <w:szCs w:val="24"/>
        </w:rPr>
        <w:t>2.2.4对施工进度实施动态控制，定期检查施工进度计划执行情况，对施工实际进度与进度计划进行比较，分析产生偏差的原因，并采取有效措施加以控制，以保证工程项目按期竣工交付使用；</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2.2.5定期向</w:t>
      </w:r>
      <w:r>
        <w:rPr>
          <w:rFonts w:hint="eastAsia" w:ascii="宋体" w:hAnsi="宋体" w:eastAsia="宋体" w:cs="宋体"/>
          <w:bCs/>
          <w:color w:val="auto"/>
          <w:sz w:val="24"/>
          <w:szCs w:val="24"/>
        </w:rPr>
        <w:t>委托人</w:t>
      </w:r>
      <w:r>
        <w:rPr>
          <w:rFonts w:hint="eastAsia" w:ascii="宋体" w:hAnsi="宋体" w:eastAsia="宋体" w:cs="宋体"/>
          <w:color w:val="auto"/>
          <w:sz w:val="24"/>
          <w:szCs w:val="24"/>
        </w:rPr>
        <w:t>报告工程施工进度的动态情况。</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w:t>
      </w:r>
      <w:r>
        <w:rPr>
          <w:rFonts w:hint="eastAsia" w:ascii="宋体" w:hAnsi="宋体" w:eastAsia="宋体" w:cs="宋体"/>
          <w:b/>
          <w:bCs/>
          <w:color w:val="auto"/>
          <w:sz w:val="24"/>
          <w:szCs w:val="24"/>
        </w:rPr>
        <w:t>工程施工投资控制</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2.3.1编制工程施工年、季、月资金使用计划；</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2.3.2严格控制工程施工各项变更；</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2.3.3对主要技术方案进行技术经济分析；</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2.3.4核实确认承包商已完工程量，及时签认工程进度款付款凭证；</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2.3.5对工程建设投资实施动态控制，对实际投资与合同价进行比较，分析产生偏差的原因，并采取有效措施加以控制，以保证工程建设投资控制目标的实现；</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2.3.6以施工合同为依据，及时、合理地处理工程索赔。加强主动监理，减少工程索赔；</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2.3.7定期向</w:t>
      </w:r>
      <w:r>
        <w:rPr>
          <w:rFonts w:hint="eastAsia" w:ascii="宋体" w:hAnsi="宋体" w:eastAsia="宋体" w:cs="宋体"/>
          <w:bCs/>
          <w:color w:val="auto"/>
          <w:sz w:val="24"/>
          <w:szCs w:val="24"/>
        </w:rPr>
        <w:t>委托人</w:t>
      </w:r>
      <w:r>
        <w:rPr>
          <w:rFonts w:hint="eastAsia" w:ascii="宋体" w:hAnsi="宋体" w:eastAsia="宋体" w:cs="宋体"/>
          <w:color w:val="auto"/>
          <w:sz w:val="24"/>
          <w:szCs w:val="24"/>
        </w:rPr>
        <w:t>报告有关工程建设投资的动态情况；</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2.3.8编制工程施工结算文件。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2.4</w:t>
      </w:r>
      <w:r>
        <w:rPr>
          <w:rFonts w:hint="eastAsia" w:ascii="宋体" w:hAnsi="宋体" w:eastAsia="宋体" w:cs="宋体"/>
          <w:b/>
          <w:bCs/>
          <w:color w:val="auto"/>
          <w:sz w:val="24"/>
          <w:szCs w:val="24"/>
        </w:rPr>
        <w:t>安全、文明施工控制</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审核承包商提交的安全施工措施；</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督促承包商落实安全施工措施；</w:t>
      </w:r>
    </w:p>
    <w:p>
      <w:pPr>
        <w:keepNext w:val="0"/>
        <w:keepLines w:val="0"/>
        <w:pageBreakBefore w:val="0"/>
        <w:widowControl w:val="0"/>
        <w:numPr>
          <w:ilvl w:val="0"/>
          <w:numId w:val="15"/>
        </w:numPr>
        <w:tabs>
          <w:tab w:val="left" w:pos="360"/>
        </w:tabs>
        <w:kinsoku/>
        <w:wordWrap/>
        <w:overflowPunct/>
        <w:topLinePunct w:val="0"/>
        <w:autoSpaceDE/>
        <w:autoSpaceDN/>
        <w:bidi w:val="0"/>
        <w:adjustRightInd/>
        <w:snapToGrid/>
        <w:spacing w:line="460" w:lineRule="exact"/>
        <w:ind w:left="0" w:leftChars="0" w:hanging="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定期进行安全、文明施工检查，杜绝安全事故的发生；</w:t>
      </w:r>
    </w:p>
    <w:p>
      <w:pPr>
        <w:keepNext w:val="0"/>
        <w:keepLines w:val="0"/>
        <w:pageBreakBefore w:val="0"/>
        <w:widowControl w:val="0"/>
        <w:numPr>
          <w:ilvl w:val="0"/>
          <w:numId w:val="15"/>
        </w:numPr>
        <w:tabs>
          <w:tab w:val="left" w:pos="360"/>
          <w:tab w:val="left" w:pos="900"/>
          <w:tab w:val="clear" w:pos="425"/>
        </w:tabs>
        <w:kinsoku/>
        <w:wordWrap/>
        <w:overflowPunct/>
        <w:topLinePunct w:val="0"/>
        <w:autoSpaceDE/>
        <w:autoSpaceDN/>
        <w:bidi w:val="0"/>
        <w:adjustRightInd/>
        <w:snapToGrid/>
        <w:spacing w:line="460" w:lineRule="exact"/>
        <w:ind w:left="0" w:leftChars="0" w:hanging="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监督施工承包单位按照工程建设强制性标准和专项安全施工方案组织施工制止违规施工作业；</w:t>
      </w:r>
    </w:p>
    <w:p>
      <w:pPr>
        <w:keepNext w:val="0"/>
        <w:keepLines w:val="0"/>
        <w:pageBreakBefore w:val="0"/>
        <w:widowControl w:val="0"/>
        <w:numPr>
          <w:ilvl w:val="0"/>
          <w:numId w:val="15"/>
        </w:numPr>
        <w:tabs>
          <w:tab w:val="left" w:pos="360"/>
        </w:tabs>
        <w:kinsoku/>
        <w:wordWrap/>
        <w:overflowPunct/>
        <w:topLinePunct w:val="0"/>
        <w:autoSpaceDE/>
        <w:autoSpaceDN/>
        <w:bidi w:val="0"/>
        <w:adjustRightInd/>
        <w:snapToGrid/>
        <w:spacing w:line="460" w:lineRule="exact"/>
        <w:ind w:left="0" w:leftChars="0" w:hanging="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督促施工承包单位定期组织施工现场安全生产自查工作。</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w:t>
      </w:r>
      <w:r>
        <w:rPr>
          <w:rFonts w:hint="eastAsia" w:ascii="宋体" w:hAnsi="宋体" w:eastAsia="宋体" w:cs="宋体"/>
          <w:b/>
          <w:bCs/>
          <w:color w:val="auto"/>
          <w:sz w:val="24"/>
          <w:szCs w:val="24"/>
        </w:rPr>
        <w:t>工程建设合同管理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宋体" w:hAnsi="宋体" w:eastAsia="宋体" w:cs="宋体"/>
          <w:color w:val="auto"/>
          <w:sz w:val="24"/>
          <w:szCs w:val="24"/>
        </w:rPr>
      </w:pPr>
      <w:bookmarkStart w:id="555" w:name="_Toc18131"/>
      <w:bookmarkStart w:id="556" w:name="_Toc26530"/>
      <w:bookmarkStart w:id="557" w:name="_Toc28440"/>
      <w:r>
        <w:rPr>
          <w:rFonts w:hint="eastAsia" w:ascii="宋体" w:hAnsi="宋体" w:eastAsia="宋体" w:cs="宋体"/>
          <w:color w:val="auto"/>
          <w:sz w:val="24"/>
          <w:szCs w:val="24"/>
        </w:rPr>
        <w:t>2.5.1协助</w:t>
      </w:r>
      <w:r>
        <w:rPr>
          <w:rFonts w:hint="eastAsia" w:ascii="宋体" w:hAnsi="宋体" w:eastAsia="宋体" w:cs="宋体"/>
          <w:bCs/>
          <w:color w:val="auto"/>
          <w:sz w:val="24"/>
          <w:szCs w:val="24"/>
        </w:rPr>
        <w:t>委托人</w:t>
      </w:r>
      <w:r>
        <w:rPr>
          <w:rFonts w:hint="eastAsia" w:ascii="宋体" w:hAnsi="宋体" w:eastAsia="宋体" w:cs="宋体"/>
          <w:color w:val="auto"/>
          <w:sz w:val="24"/>
          <w:szCs w:val="24"/>
        </w:rPr>
        <w:t>签订工程施工合同；</w:t>
      </w:r>
      <w:bookmarkEnd w:id="555"/>
      <w:bookmarkEnd w:id="556"/>
      <w:bookmarkEnd w:id="557"/>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宋体" w:hAnsi="宋体" w:eastAsia="宋体" w:cs="宋体"/>
          <w:color w:val="auto"/>
          <w:sz w:val="24"/>
          <w:szCs w:val="24"/>
        </w:rPr>
      </w:pPr>
      <w:bookmarkStart w:id="558" w:name="_Toc31627"/>
      <w:bookmarkStart w:id="559" w:name="_Toc16924"/>
      <w:bookmarkStart w:id="560" w:name="_Toc27296"/>
      <w:r>
        <w:rPr>
          <w:rFonts w:hint="eastAsia" w:ascii="宋体" w:hAnsi="宋体" w:eastAsia="宋体" w:cs="宋体"/>
          <w:color w:val="auto"/>
          <w:sz w:val="24"/>
          <w:szCs w:val="24"/>
        </w:rPr>
        <w:t>2.5.2审核分包商资格；</w:t>
      </w:r>
      <w:bookmarkEnd w:id="558"/>
      <w:bookmarkEnd w:id="559"/>
      <w:bookmarkEnd w:id="560"/>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宋体" w:hAnsi="宋体" w:eastAsia="宋体" w:cs="宋体"/>
          <w:color w:val="auto"/>
          <w:sz w:val="24"/>
          <w:szCs w:val="24"/>
        </w:rPr>
      </w:pPr>
      <w:bookmarkStart w:id="561" w:name="_Toc16693"/>
      <w:bookmarkStart w:id="562" w:name="_Toc7044"/>
      <w:bookmarkStart w:id="563" w:name="_Toc7886"/>
      <w:r>
        <w:rPr>
          <w:rFonts w:hint="eastAsia" w:ascii="宋体" w:hAnsi="宋体" w:eastAsia="宋体" w:cs="宋体"/>
          <w:color w:val="auto"/>
          <w:sz w:val="24"/>
          <w:szCs w:val="24"/>
        </w:rPr>
        <w:t>2.5.3督促合同双方全面履行工程施工合同；</w:t>
      </w:r>
      <w:bookmarkEnd w:id="561"/>
      <w:bookmarkEnd w:id="562"/>
      <w:bookmarkEnd w:id="563"/>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宋体" w:hAnsi="宋体" w:eastAsia="宋体" w:cs="宋体"/>
          <w:color w:val="auto"/>
          <w:sz w:val="24"/>
          <w:szCs w:val="24"/>
        </w:rPr>
      </w:pPr>
      <w:bookmarkStart w:id="564" w:name="_Toc15731"/>
      <w:bookmarkStart w:id="565" w:name="_Toc4573"/>
      <w:bookmarkStart w:id="566" w:name="_Toc28278"/>
      <w:r>
        <w:rPr>
          <w:rFonts w:hint="eastAsia" w:ascii="宋体" w:hAnsi="宋体" w:eastAsia="宋体" w:cs="宋体"/>
          <w:color w:val="auto"/>
          <w:sz w:val="24"/>
          <w:szCs w:val="24"/>
        </w:rPr>
        <w:t>2.5.4公正、科学、合理地处理施工合同纠纷；</w:t>
      </w:r>
      <w:bookmarkEnd w:id="564"/>
      <w:bookmarkEnd w:id="565"/>
      <w:bookmarkEnd w:id="566"/>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宋体" w:hAnsi="宋体" w:eastAsia="宋体" w:cs="宋体"/>
          <w:color w:val="auto"/>
          <w:sz w:val="24"/>
          <w:szCs w:val="24"/>
        </w:rPr>
      </w:pPr>
      <w:bookmarkStart w:id="567" w:name="_Toc23908"/>
      <w:bookmarkStart w:id="568" w:name="_Toc15901"/>
      <w:bookmarkStart w:id="569" w:name="_Toc9381"/>
      <w:r>
        <w:rPr>
          <w:rFonts w:hint="eastAsia" w:ascii="宋体" w:hAnsi="宋体" w:eastAsia="宋体" w:cs="宋体"/>
          <w:color w:val="auto"/>
          <w:sz w:val="24"/>
          <w:szCs w:val="24"/>
        </w:rPr>
        <w:t>2.5.5定期向</w:t>
      </w:r>
      <w:r>
        <w:rPr>
          <w:rFonts w:hint="eastAsia" w:ascii="宋体" w:hAnsi="宋体" w:eastAsia="宋体" w:cs="宋体"/>
          <w:bCs/>
          <w:color w:val="auto"/>
          <w:sz w:val="24"/>
          <w:szCs w:val="24"/>
        </w:rPr>
        <w:t>委托人</w:t>
      </w:r>
      <w:r>
        <w:rPr>
          <w:rFonts w:hint="eastAsia" w:ascii="宋体" w:hAnsi="宋体" w:eastAsia="宋体" w:cs="宋体"/>
          <w:color w:val="auto"/>
          <w:sz w:val="24"/>
          <w:szCs w:val="24"/>
        </w:rPr>
        <w:t>报告施工合同的执行情况。</w:t>
      </w:r>
      <w:bookmarkEnd w:id="567"/>
      <w:bookmarkEnd w:id="568"/>
      <w:bookmarkEnd w:id="569"/>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w:t>
      </w:r>
      <w:r>
        <w:rPr>
          <w:rFonts w:hint="eastAsia" w:ascii="宋体" w:hAnsi="宋体" w:eastAsia="宋体" w:cs="宋体"/>
          <w:b/>
          <w:bCs/>
          <w:color w:val="auto"/>
          <w:sz w:val="24"/>
          <w:szCs w:val="24"/>
        </w:rPr>
        <w:t>工程施工信息管理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2.6.1</w:t>
      </w:r>
      <w:r>
        <w:rPr>
          <w:rFonts w:hint="eastAsia" w:ascii="宋体" w:hAnsi="宋体" w:eastAsia="宋体" w:cs="宋体"/>
          <w:color w:val="auto"/>
          <w:spacing w:val="-8"/>
          <w:sz w:val="24"/>
          <w:szCs w:val="24"/>
        </w:rPr>
        <w:t>及时收集、整理工程施工质量信息、进度信息、投资信息、合同管理信息，为各项决策提供服务；</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2.6.2利用计算机管理技术建立工程施工信息档案。</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2.7</w:t>
      </w:r>
      <w:r>
        <w:rPr>
          <w:rFonts w:hint="eastAsia" w:ascii="宋体" w:hAnsi="宋体" w:eastAsia="宋体" w:cs="宋体"/>
          <w:b/>
          <w:bCs/>
          <w:color w:val="auto"/>
          <w:sz w:val="24"/>
          <w:szCs w:val="24"/>
        </w:rPr>
        <w:t>协调工程施工各有关单位的工作关系</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宋体" w:hAnsi="宋体" w:eastAsia="宋体" w:cs="宋体"/>
          <w:color w:val="auto"/>
          <w:sz w:val="24"/>
          <w:szCs w:val="24"/>
        </w:rPr>
      </w:pPr>
      <w:bookmarkStart w:id="570" w:name="_Toc5491"/>
      <w:bookmarkStart w:id="571" w:name="_Toc31689"/>
      <w:bookmarkStart w:id="572" w:name="_Toc5444"/>
      <w:r>
        <w:rPr>
          <w:rFonts w:hint="eastAsia" w:ascii="宋体" w:hAnsi="宋体" w:eastAsia="宋体" w:cs="宋体"/>
          <w:color w:val="auto"/>
          <w:sz w:val="24"/>
          <w:szCs w:val="24"/>
        </w:rPr>
        <w:t>2.7.1协助</w:t>
      </w:r>
      <w:r>
        <w:rPr>
          <w:rFonts w:hint="eastAsia" w:ascii="宋体" w:hAnsi="宋体" w:eastAsia="宋体" w:cs="宋体"/>
          <w:bCs/>
          <w:color w:val="auto"/>
          <w:sz w:val="24"/>
          <w:szCs w:val="24"/>
        </w:rPr>
        <w:t>委托人</w:t>
      </w:r>
      <w:r>
        <w:rPr>
          <w:rFonts w:hint="eastAsia" w:ascii="宋体" w:hAnsi="宋体" w:eastAsia="宋体" w:cs="宋体"/>
          <w:color w:val="auto"/>
          <w:sz w:val="24"/>
          <w:szCs w:val="24"/>
        </w:rPr>
        <w:t>协调工程施工外部关系；</w:t>
      </w:r>
      <w:bookmarkEnd w:id="570"/>
      <w:bookmarkEnd w:id="571"/>
      <w:bookmarkEnd w:id="572"/>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firstLine="480" w:firstLineChars="200"/>
        <w:textAlignment w:val="auto"/>
        <w:outlineLvl w:val="0"/>
        <w:rPr>
          <w:rFonts w:hint="eastAsia" w:ascii="宋体" w:hAnsi="宋体" w:eastAsia="宋体" w:cs="宋体"/>
          <w:b/>
          <w:bCs/>
          <w:color w:val="auto"/>
          <w:kern w:val="44"/>
          <w:sz w:val="24"/>
          <w:szCs w:val="24"/>
        </w:rPr>
      </w:pPr>
      <w:bookmarkStart w:id="573" w:name="_Toc14238"/>
      <w:bookmarkStart w:id="574" w:name="_Toc24934"/>
      <w:bookmarkStart w:id="575" w:name="_Toc30598"/>
      <w:r>
        <w:rPr>
          <w:rFonts w:hint="eastAsia" w:ascii="宋体" w:hAnsi="宋体" w:eastAsia="宋体" w:cs="宋体"/>
          <w:color w:val="auto"/>
          <w:sz w:val="24"/>
          <w:szCs w:val="24"/>
        </w:rPr>
        <w:t>2.7.2协调工程施工中</w:t>
      </w:r>
      <w:r>
        <w:rPr>
          <w:rFonts w:hint="eastAsia" w:ascii="宋体" w:hAnsi="宋体" w:eastAsia="宋体" w:cs="宋体"/>
          <w:bCs/>
          <w:color w:val="auto"/>
          <w:sz w:val="24"/>
          <w:szCs w:val="24"/>
        </w:rPr>
        <w:t>委托人</w:t>
      </w:r>
      <w:r>
        <w:rPr>
          <w:rFonts w:hint="eastAsia" w:ascii="宋体" w:hAnsi="宋体" w:eastAsia="宋体" w:cs="宋体"/>
          <w:color w:val="auto"/>
          <w:sz w:val="24"/>
          <w:szCs w:val="24"/>
        </w:rPr>
        <w:t>、设计单位、承包商之间的关系。</w:t>
      </w:r>
      <w:bookmarkEnd w:id="573"/>
      <w:bookmarkEnd w:id="574"/>
      <w:bookmarkEnd w:id="575"/>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left="0" w:leftChars="0"/>
        <w:jc w:val="left"/>
        <w:textAlignment w:val="auto"/>
        <w:rPr>
          <w:rFonts w:hint="eastAsia" w:ascii="宋体" w:hAnsi="宋体" w:eastAsia="宋体" w:cs="宋体"/>
          <w:b/>
          <w:bCs/>
          <w:color w:val="auto"/>
          <w:spacing w:val="-2"/>
          <w:sz w:val="24"/>
          <w:szCs w:val="24"/>
        </w:rPr>
      </w:pPr>
      <w:r>
        <w:rPr>
          <w:rFonts w:hint="eastAsia" w:ascii="宋体" w:hAnsi="宋体" w:eastAsia="宋体" w:cs="宋体"/>
          <w:color w:val="auto"/>
          <w:spacing w:val="-2"/>
          <w:sz w:val="24"/>
          <w:szCs w:val="24"/>
        </w:rPr>
        <w:t>2.8</w:t>
      </w:r>
      <w:r>
        <w:rPr>
          <w:rFonts w:hint="eastAsia" w:ascii="宋体" w:hAnsi="宋体" w:eastAsia="宋体" w:cs="宋体"/>
          <w:b/>
          <w:bCs/>
          <w:color w:val="auto"/>
          <w:spacing w:val="-2"/>
          <w:sz w:val="24"/>
          <w:szCs w:val="24"/>
        </w:rPr>
        <w:t>工程竣工后，依据监理合同的要求，监理单位应向委托人提供监理合同规定套数的完整的监理数据。</w:t>
      </w:r>
    </w:p>
    <w:sectPr>
      <w:pgSz w:w="11906" w:h="16838"/>
      <w:pgMar w:top="1440" w:right="1117" w:bottom="1440" w:left="1117" w:header="851"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MingLiU">
    <w:altName w:val="PMingLiU-ExtB"/>
    <w:panose1 w:val="02020509000000000000"/>
    <w:charset w:val="88"/>
    <w:family w:val="auto"/>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sz w:val="21"/>
        <w:lang w:eastAsia="zh-CN"/>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2928"/>
        <w:tab w:val="center" w:pos="4213"/>
      </w:tabs>
      <w:jc w:val="left"/>
      <w:rPr>
        <w:rFonts w:hint="default" w:eastAsiaTheme="minorEastAsia"/>
        <w:u w:val="none"/>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2C1EC"/>
    <w:multiLevelType w:val="singleLevel"/>
    <w:tmpl w:val="9382C1EC"/>
    <w:lvl w:ilvl="0" w:tentative="0">
      <w:start w:val="1"/>
      <w:numFmt w:val="decimal"/>
      <w:suff w:val="nothing"/>
      <w:lvlText w:val="%1、"/>
      <w:lvlJc w:val="left"/>
    </w:lvl>
  </w:abstractNum>
  <w:abstractNum w:abstractNumId="1">
    <w:nsid w:val="B9F2CEA1"/>
    <w:multiLevelType w:val="singleLevel"/>
    <w:tmpl w:val="B9F2CEA1"/>
    <w:lvl w:ilvl="0" w:tentative="0">
      <w:start w:val="3"/>
      <w:numFmt w:val="chineseCounting"/>
      <w:suff w:val="nothing"/>
      <w:lvlText w:val="%1、"/>
      <w:lvlJc w:val="left"/>
      <w:rPr>
        <w:rFonts w:hint="eastAsia"/>
      </w:rPr>
    </w:lvl>
  </w:abstractNum>
  <w:abstractNum w:abstractNumId="2">
    <w:nsid w:val="D9A20BCC"/>
    <w:multiLevelType w:val="singleLevel"/>
    <w:tmpl w:val="D9A20BCC"/>
    <w:lvl w:ilvl="0" w:tentative="0">
      <w:start w:val="4"/>
      <w:numFmt w:val="upperLetter"/>
      <w:suff w:val="nothing"/>
      <w:lvlText w:val="%1、"/>
      <w:lvlJc w:val="left"/>
    </w:lvl>
  </w:abstractNum>
  <w:abstractNum w:abstractNumId="3">
    <w:nsid w:val="EA3CC073"/>
    <w:multiLevelType w:val="singleLevel"/>
    <w:tmpl w:val="EA3CC073"/>
    <w:lvl w:ilvl="0" w:tentative="0">
      <w:start w:val="1"/>
      <w:numFmt w:val="upperLetter"/>
      <w:lvlText w:val="%1."/>
      <w:lvlJc w:val="left"/>
      <w:pPr>
        <w:tabs>
          <w:tab w:val="left" w:pos="312"/>
        </w:tabs>
      </w:pPr>
    </w:lvl>
  </w:abstractNum>
  <w:abstractNum w:abstractNumId="4">
    <w:nsid w:val="00000013"/>
    <w:multiLevelType w:val="multilevel"/>
    <w:tmpl w:val="00000013"/>
    <w:lvl w:ilvl="0" w:tentative="0">
      <w:start w:val="1"/>
      <w:numFmt w:val="decimal"/>
      <w:lvlText w:val="2.4.%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15"/>
    <w:multiLevelType w:val="singleLevel"/>
    <w:tmpl w:val="00000015"/>
    <w:lvl w:ilvl="0" w:tentative="0">
      <w:start w:val="1"/>
      <w:numFmt w:val="decimalEnclosedCircle"/>
      <w:lvlText w:val="%1"/>
      <w:lvlJc w:val="left"/>
      <w:pPr>
        <w:tabs>
          <w:tab w:val="left" w:pos="960"/>
        </w:tabs>
        <w:ind w:left="960" w:hanging="330"/>
      </w:pPr>
      <w:rPr>
        <w:rFonts w:hint="eastAsia"/>
      </w:rPr>
    </w:lvl>
  </w:abstractNum>
  <w:abstractNum w:abstractNumId="6">
    <w:nsid w:val="0000002B"/>
    <w:multiLevelType w:val="multilevel"/>
    <w:tmpl w:val="0000002B"/>
    <w:lvl w:ilvl="0" w:tentative="0">
      <w:start w:val="1"/>
      <w:numFmt w:val="decimal"/>
      <w:lvlText w:val="%1."/>
      <w:lvlJc w:val="left"/>
      <w:pPr>
        <w:tabs>
          <w:tab w:val="left" w:pos="1021"/>
        </w:tabs>
        <w:ind w:left="1021" w:hanging="420"/>
      </w:pPr>
    </w:lvl>
    <w:lvl w:ilvl="1" w:tentative="0">
      <w:start w:val="1"/>
      <w:numFmt w:val="lowerLetter"/>
      <w:lvlText w:val="%2)"/>
      <w:lvlJc w:val="left"/>
      <w:pPr>
        <w:tabs>
          <w:tab w:val="left" w:pos="1441"/>
        </w:tabs>
        <w:ind w:left="1441" w:hanging="420"/>
      </w:pPr>
    </w:lvl>
    <w:lvl w:ilvl="2" w:tentative="0">
      <w:start w:val="1"/>
      <w:numFmt w:val="lowerRoman"/>
      <w:lvlText w:val="%3."/>
      <w:lvlJc w:val="right"/>
      <w:pPr>
        <w:tabs>
          <w:tab w:val="left" w:pos="1861"/>
        </w:tabs>
        <w:ind w:left="1861" w:hanging="420"/>
      </w:pPr>
    </w:lvl>
    <w:lvl w:ilvl="3" w:tentative="0">
      <w:start w:val="1"/>
      <w:numFmt w:val="decimal"/>
      <w:lvlText w:val="%4."/>
      <w:lvlJc w:val="left"/>
      <w:pPr>
        <w:tabs>
          <w:tab w:val="left" w:pos="2281"/>
        </w:tabs>
        <w:ind w:left="2281" w:hanging="420"/>
      </w:pPr>
    </w:lvl>
    <w:lvl w:ilvl="4" w:tentative="0">
      <w:start w:val="1"/>
      <w:numFmt w:val="lowerLetter"/>
      <w:lvlText w:val="%5)"/>
      <w:lvlJc w:val="left"/>
      <w:pPr>
        <w:tabs>
          <w:tab w:val="left" w:pos="2701"/>
        </w:tabs>
        <w:ind w:left="2701" w:hanging="420"/>
      </w:pPr>
    </w:lvl>
    <w:lvl w:ilvl="5" w:tentative="0">
      <w:start w:val="1"/>
      <w:numFmt w:val="lowerRoman"/>
      <w:lvlText w:val="%6."/>
      <w:lvlJc w:val="right"/>
      <w:pPr>
        <w:tabs>
          <w:tab w:val="left" w:pos="3121"/>
        </w:tabs>
        <w:ind w:left="3121" w:hanging="420"/>
      </w:pPr>
    </w:lvl>
    <w:lvl w:ilvl="6" w:tentative="0">
      <w:start w:val="1"/>
      <w:numFmt w:val="decimal"/>
      <w:lvlText w:val="%7."/>
      <w:lvlJc w:val="left"/>
      <w:pPr>
        <w:tabs>
          <w:tab w:val="left" w:pos="3541"/>
        </w:tabs>
        <w:ind w:left="3541" w:hanging="420"/>
      </w:pPr>
    </w:lvl>
    <w:lvl w:ilvl="7" w:tentative="0">
      <w:start w:val="1"/>
      <w:numFmt w:val="lowerLetter"/>
      <w:lvlText w:val="%8)"/>
      <w:lvlJc w:val="left"/>
      <w:pPr>
        <w:tabs>
          <w:tab w:val="left" w:pos="3961"/>
        </w:tabs>
        <w:ind w:left="3961" w:hanging="420"/>
      </w:pPr>
    </w:lvl>
    <w:lvl w:ilvl="8" w:tentative="0">
      <w:start w:val="1"/>
      <w:numFmt w:val="lowerRoman"/>
      <w:lvlText w:val="%9."/>
      <w:lvlJc w:val="right"/>
      <w:pPr>
        <w:tabs>
          <w:tab w:val="left" w:pos="4381"/>
        </w:tabs>
        <w:ind w:left="4381" w:hanging="420"/>
      </w:pPr>
    </w:lvl>
  </w:abstractNum>
  <w:abstractNum w:abstractNumId="7">
    <w:nsid w:val="165B8208"/>
    <w:multiLevelType w:val="singleLevel"/>
    <w:tmpl w:val="165B8208"/>
    <w:lvl w:ilvl="0" w:tentative="0">
      <w:start w:val="1"/>
      <w:numFmt w:val="decimal"/>
      <w:suff w:val="nothing"/>
      <w:lvlText w:val="%1）"/>
      <w:lvlJc w:val="left"/>
    </w:lvl>
  </w:abstractNum>
  <w:abstractNum w:abstractNumId="8">
    <w:nsid w:val="4544A7ED"/>
    <w:multiLevelType w:val="singleLevel"/>
    <w:tmpl w:val="4544A7ED"/>
    <w:lvl w:ilvl="0" w:tentative="0">
      <w:start w:val="1"/>
      <w:numFmt w:val="decimal"/>
      <w:suff w:val="space"/>
      <w:lvlText w:val="%1、"/>
      <w:lvlJc w:val="left"/>
    </w:lvl>
  </w:abstractNum>
  <w:abstractNum w:abstractNumId="9">
    <w:nsid w:val="5594FF93"/>
    <w:multiLevelType w:val="singleLevel"/>
    <w:tmpl w:val="5594FF93"/>
    <w:lvl w:ilvl="0" w:tentative="0">
      <w:start w:val="1"/>
      <w:numFmt w:val="decimal"/>
      <w:suff w:val="nothing"/>
      <w:lvlText w:val="（%1）"/>
      <w:lvlJc w:val="left"/>
    </w:lvl>
  </w:abstractNum>
  <w:abstractNum w:abstractNumId="10">
    <w:nsid w:val="55950001"/>
    <w:multiLevelType w:val="singleLevel"/>
    <w:tmpl w:val="55950001"/>
    <w:lvl w:ilvl="0" w:tentative="0">
      <w:start w:val="1"/>
      <w:numFmt w:val="decimal"/>
      <w:suff w:val="nothing"/>
      <w:lvlText w:val="%1."/>
      <w:lvlJc w:val="left"/>
    </w:lvl>
  </w:abstractNum>
  <w:abstractNum w:abstractNumId="11">
    <w:nsid w:val="559500BB"/>
    <w:multiLevelType w:val="singleLevel"/>
    <w:tmpl w:val="559500BB"/>
    <w:lvl w:ilvl="0" w:tentative="0">
      <w:start w:val="2"/>
      <w:numFmt w:val="decimal"/>
      <w:suff w:val="nothing"/>
      <w:lvlText w:val="（%1）"/>
      <w:lvlJc w:val="left"/>
    </w:lvl>
  </w:abstractNum>
  <w:abstractNum w:abstractNumId="12">
    <w:nsid w:val="578EEA68"/>
    <w:multiLevelType w:val="singleLevel"/>
    <w:tmpl w:val="578EEA68"/>
    <w:lvl w:ilvl="0" w:tentative="0">
      <w:start w:val="1"/>
      <w:numFmt w:val="decimal"/>
      <w:suff w:val="nothing"/>
      <w:lvlText w:val="%1．"/>
      <w:lvlJc w:val="left"/>
      <w:pPr>
        <w:ind w:left="0" w:firstLine="400"/>
      </w:pPr>
      <w:rPr>
        <w:rFonts w:hint="default"/>
      </w:rPr>
    </w:lvl>
  </w:abstractNum>
  <w:abstractNum w:abstractNumId="13">
    <w:nsid w:val="5927A865"/>
    <w:multiLevelType w:val="singleLevel"/>
    <w:tmpl w:val="5927A865"/>
    <w:lvl w:ilvl="0" w:tentative="0">
      <w:start w:val="1"/>
      <w:numFmt w:val="chineseCounting"/>
      <w:suff w:val="nothing"/>
      <w:lvlText w:val="%1、"/>
      <w:lvlJc w:val="left"/>
      <w:pPr>
        <w:ind w:left="0" w:firstLine="420"/>
      </w:pPr>
      <w:rPr>
        <w:rFonts w:hint="eastAsia"/>
      </w:rPr>
    </w:lvl>
  </w:abstractNum>
  <w:abstractNum w:abstractNumId="14">
    <w:nsid w:val="5E8137BA"/>
    <w:multiLevelType w:val="multilevel"/>
    <w:tmpl w:val="5E8137BA"/>
    <w:lvl w:ilvl="0" w:tentative="0">
      <w:start w:val="1"/>
      <w:numFmt w:val="chineseCountingThousand"/>
      <w:suff w:val="space"/>
      <w:lvlText w:val="第%1章"/>
      <w:lvlJc w:val="left"/>
      <w:pPr>
        <w:ind w:left="0" w:firstLine="0"/>
      </w:pPr>
      <w:rPr>
        <w:rFonts w:hint="eastAsia" w:ascii="宋体" w:hAnsi="宋体" w:eastAsia="宋体"/>
        <w:sz w:val="36"/>
        <w:szCs w:val="36"/>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4"/>
  </w:num>
  <w:num w:numId="2">
    <w:abstractNumId w:val="1"/>
  </w:num>
  <w:num w:numId="3">
    <w:abstractNumId w:val="8"/>
  </w:num>
  <w:num w:numId="4">
    <w:abstractNumId w:val="3"/>
  </w:num>
  <w:num w:numId="5">
    <w:abstractNumId w:val="2"/>
  </w:num>
  <w:num w:numId="6">
    <w:abstractNumId w:val="0"/>
  </w:num>
  <w:num w:numId="7">
    <w:abstractNumId w:val="13"/>
  </w:num>
  <w:num w:numId="8">
    <w:abstractNumId w:val="9"/>
  </w:num>
  <w:num w:numId="9">
    <w:abstractNumId w:val="10"/>
  </w:num>
  <w:num w:numId="10">
    <w:abstractNumId w:val="11"/>
  </w:num>
  <w:num w:numId="11">
    <w:abstractNumId w:val="12"/>
  </w:num>
  <w:num w:numId="12">
    <w:abstractNumId w:val="7"/>
  </w:num>
  <w:num w:numId="13">
    <w:abstractNumId w:val="5"/>
    <w:lvlOverride w:ilvl="0">
      <w:startOverride w:val="1"/>
    </w:lvlOverride>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00254D6D"/>
    <w:rsid w:val="00002AC7"/>
    <w:rsid w:val="00002B2C"/>
    <w:rsid w:val="00002B5D"/>
    <w:rsid w:val="00003641"/>
    <w:rsid w:val="00005A98"/>
    <w:rsid w:val="00011E28"/>
    <w:rsid w:val="000156A6"/>
    <w:rsid w:val="00017703"/>
    <w:rsid w:val="00020B50"/>
    <w:rsid w:val="00021F18"/>
    <w:rsid w:val="0002420D"/>
    <w:rsid w:val="000246E1"/>
    <w:rsid w:val="0002610E"/>
    <w:rsid w:val="0003132D"/>
    <w:rsid w:val="00032222"/>
    <w:rsid w:val="0003390D"/>
    <w:rsid w:val="00037FC3"/>
    <w:rsid w:val="00042E2F"/>
    <w:rsid w:val="0004577F"/>
    <w:rsid w:val="00054DC3"/>
    <w:rsid w:val="00061819"/>
    <w:rsid w:val="000648B3"/>
    <w:rsid w:val="00064C3B"/>
    <w:rsid w:val="00065DCC"/>
    <w:rsid w:val="00067043"/>
    <w:rsid w:val="00072909"/>
    <w:rsid w:val="00074311"/>
    <w:rsid w:val="000749E3"/>
    <w:rsid w:val="00081D89"/>
    <w:rsid w:val="00081E87"/>
    <w:rsid w:val="00087866"/>
    <w:rsid w:val="00090844"/>
    <w:rsid w:val="00095D6E"/>
    <w:rsid w:val="000B1468"/>
    <w:rsid w:val="000B3B50"/>
    <w:rsid w:val="000C050D"/>
    <w:rsid w:val="000C178D"/>
    <w:rsid w:val="000C1FBC"/>
    <w:rsid w:val="000C7AC8"/>
    <w:rsid w:val="000D3137"/>
    <w:rsid w:val="000D5D6C"/>
    <w:rsid w:val="000D5E25"/>
    <w:rsid w:val="000D7076"/>
    <w:rsid w:val="000E2259"/>
    <w:rsid w:val="000E462D"/>
    <w:rsid w:val="000E7787"/>
    <w:rsid w:val="000F0733"/>
    <w:rsid w:val="000F5645"/>
    <w:rsid w:val="000F79F4"/>
    <w:rsid w:val="0010160B"/>
    <w:rsid w:val="001057D5"/>
    <w:rsid w:val="00106D5D"/>
    <w:rsid w:val="00106E75"/>
    <w:rsid w:val="00107807"/>
    <w:rsid w:val="00107B9B"/>
    <w:rsid w:val="00110088"/>
    <w:rsid w:val="001115DE"/>
    <w:rsid w:val="00113250"/>
    <w:rsid w:val="00116775"/>
    <w:rsid w:val="00116ED4"/>
    <w:rsid w:val="001177E6"/>
    <w:rsid w:val="001231E9"/>
    <w:rsid w:val="00124256"/>
    <w:rsid w:val="00125E36"/>
    <w:rsid w:val="00127E9A"/>
    <w:rsid w:val="00132371"/>
    <w:rsid w:val="001327DD"/>
    <w:rsid w:val="00133D64"/>
    <w:rsid w:val="001407D4"/>
    <w:rsid w:val="001436A6"/>
    <w:rsid w:val="0014370C"/>
    <w:rsid w:val="001466FC"/>
    <w:rsid w:val="001542C5"/>
    <w:rsid w:val="00154563"/>
    <w:rsid w:val="00156B53"/>
    <w:rsid w:val="00156C6F"/>
    <w:rsid w:val="00160D4F"/>
    <w:rsid w:val="00164B28"/>
    <w:rsid w:val="00165D31"/>
    <w:rsid w:val="00173F9E"/>
    <w:rsid w:val="00177214"/>
    <w:rsid w:val="00185DD2"/>
    <w:rsid w:val="001860CF"/>
    <w:rsid w:val="001A450D"/>
    <w:rsid w:val="001A5058"/>
    <w:rsid w:val="001A6460"/>
    <w:rsid w:val="001B4A99"/>
    <w:rsid w:val="001B7E3A"/>
    <w:rsid w:val="001C0D3A"/>
    <w:rsid w:val="001C100A"/>
    <w:rsid w:val="001C1AB1"/>
    <w:rsid w:val="001C30C8"/>
    <w:rsid w:val="001C4328"/>
    <w:rsid w:val="001C5E95"/>
    <w:rsid w:val="001C6CCF"/>
    <w:rsid w:val="001D06B5"/>
    <w:rsid w:val="001D11B1"/>
    <w:rsid w:val="001D1FFB"/>
    <w:rsid w:val="001D3878"/>
    <w:rsid w:val="001E0FE4"/>
    <w:rsid w:val="001E1A4B"/>
    <w:rsid w:val="001E4FB5"/>
    <w:rsid w:val="001E564A"/>
    <w:rsid w:val="001F21F3"/>
    <w:rsid w:val="001F58B0"/>
    <w:rsid w:val="001F7D42"/>
    <w:rsid w:val="002006FD"/>
    <w:rsid w:val="0020144D"/>
    <w:rsid w:val="00202C49"/>
    <w:rsid w:val="002031AC"/>
    <w:rsid w:val="00206E2B"/>
    <w:rsid w:val="002115A1"/>
    <w:rsid w:val="00215A46"/>
    <w:rsid w:val="0021645C"/>
    <w:rsid w:val="00216C78"/>
    <w:rsid w:val="00216EFF"/>
    <w:rsid w:val="00220606"/>
    <w:rsid w:val="00220974"/>
    <w:rsid w:val="00223773"/>
    <w:rsid w:val="00226359"/>
    <w:rsid w:val="00231112"/>
    <w:rsid w:val="002315B0"/>
    <w:rsid w:val="00232729"/>
    <w:rsid w:val="0023352F"/>
    <w:rsid w:val="0023520D"/>
    <w:rsid w:val="002365C3"/>
    <w:rsid w:val="00244DAC"/>
    <w:rsid w:val="0025113A"/>
    <w:rsid w:val="00251329"/>
    <w:rsid w:val="00251AE0"/>
    <w:rsid w:val="00253187"/>
    <w:rsid w:val="00254D6D"/>
    <w:rsid w:val="00255128"/>
    <w:rsid w:val="0025704B"/>
    <w:rsid w:val="00260111"/>
    <w:rsid w:val="00261B9C"/>
    <w:rsid w:val="00264CF4"/>
    <w:rsid w:val="002675A3"/>
    <w:rsid w:val="002711E6"/>
    <w:rsid w:val="00275698"/>
    <w:rsid w:val="002763F1"/>
    <w:rsid w:val="002770EF"/>
    <w:rsid w:val="002831C2"/>
    <w:rsid w:val="00283A3D"/>
    <w:rsid w:val="002848EC"/>
    <w:rsid w:val="002851C4"/>
    <w:rsid w:val="00287FD3"/>
    <w:rsid w:val="00293CC2"/>
    <w:rsid w:val="00294498"/>
    <w:rsid w:val="002A0D58"/>
    <w:rsid w:val="002A2821"/>
    <w:rsid w:val="002A4544"/>
    <w:rsid w:val="002A4757"/>
    <w:rsid w:val="002A550E"/>
    <w:rsid w:val="002A670F"/>
    <w:rsid w:val="002A71A5"/>
    <w:rsid w:val="002B048F"/>
    <w:rsid w:val="002B1511"/>
    <w:rsid w:val="002B5588"/>
    <w:rsid w:val="002B5830"/>
    <w:rsid w:val="002B5D45"/>
    <w:rsid w:val="002B72A4"/>
    <w:rsid w:val="002C647F"/>
    <w:rsid w:val="002C6F3F"/>
    <w:rsid w:val="002C7410"/>
    <w:rsid w:val="002D1EAC"/>
    <w:rsid w:val="002D71C0"/>
    <w:rsid w:val="002D7271"/>
    <w:rsid w:val="002E1E15"/>
    <w:rsid w:val="002E1FCE"/>
    <w:rsid w:val="002E2505"/>
    <w:rsid w:val="002E2682"/>
    <w:rsid w:val="002E2AEC"/>
    <w:rsid w:val="002E4DD9"/>
    <w:rsid w:val="002E67D2"/>
    <w:rsid w:val="002F1334"/>
    <w:rsid w:val="002F34F0"/>
    <w:rsid w:val="002F3B81"/>
    <w:rsid w:val="00300B8C"/>
    <w:rsid w:val="00306A00"/>
    <w:rsid w:val="00306B18"/>
    <w:rsid w:val="00310E4B"/>
    <w:rsid w:val="0031792E"/>
    <w:rsid w:val="00322E3F"/>
    <w:rsid w:val="00326D40"/>
    <w:rsid w:val="00327606"/>
    <w:rsid w:val="0033159E"/>
    <w:rsid w:val="00342B50"/>
    <w:rsid w:val="003528C2"/>
    <w:rsid w:val="00353509"/>
    <w:rsid w:val="00360BF0"/>
    <w:rsid w:val="00365D0B"/>
    <w:rsid w:val="003663C9"/>
    <w:rsid w:val="00367533"/>
    <w:rsid w:val="00370100"/>
    <w:rsid w:val="0037533C"/>
    <w:rsid w:val="0037647F"/>
    <w:rsid w:val="0038343C"/>
    <w:rsid w:val="00390933"/>
    <w:rsid w:val="00391AF6"/>
    <w:rsid w:val="00392F01"/>
    <w:rsid w:val="00395022"/>
    <w:rsid w:val="00396929"/>
    <w:rsid w:val="003A1206"/>
    <w:rsid w:val="003A1BE5"/>
    <w:rsid w:val="003A7372"/>
    <w:rsid w:val="003A7F3A"/>
    <w:rsid w:val="003B081D"/>
    <w:rsid w:val="003B0FF9"/>
    <w:rsid w:val="003B4257"/>
    <w:rsid w:val="003C1272"/>
    <w:rsid w:val="003C13F7"/>
    <w:rsid w:val="003C1FEF"/>
    <w:rsid w:val="003C395C"/>
    <w:rsid w:val="003C4187"/>
    <w:rsid w:val="003D011B"/>
    <w:rsid w:val="003D39D0"/>
    <w:rsid w:val="003D684A"/>
    <w:rsid w:val="003D758C"/>
    <w:rsid w:val="003E01FA"/>
    <w:rsid w:val="003E4756"/>
    <w:rsid w:val="003E6F9D"/>
    <w:rsid w:val="003F443D"/>
    <w:rsid w:val="003F4826"/>
    <w:rsid w:val="003F52E6"/>
    <w:rsid w:val="003F5495"/>
    <w:rsid w:val="003F5E82"/>
    <w:rsid w:val="00404107"/>
    <w:rsid w:val="00405B71"/>
    <w:rsid w:val="004122D1"/>
    <w:rsid w:val="0041350C"/>
    <w:rsid w:val="00414ACC"/>
    <w:rsid w:val="00417B68"/>
    <w:rsid w:val="0042035E"/>
    <w:rsid w:val="0042588C"/>
    <w:rsid w:val="00425D68"/>
    <w:rsid w:val="00430BD1"/>
    <w:rsid w:val="004356BD"/>
    <w:rsid w:val="00435E89"/>
    <w:rsid w:val="00436310"/>
    <w:rsid w:val="00436FC2"/>
    <w:rsid w:val="00437488"/>
    <w:rsid w:val="00437854"/>
    <w:rsid w:val="004455DA"/>
    <w:rsid w:val="0044653B"/>
    <w:rsid w:val="004470CF"/>
    <w:rsid w:val="00454889"/>
    <w:rsid w:val="00456A67"/>
    <w:rsid w:val="004615D7"/>
    <w:rsid w:val="00461606"/>
    <w:rsid w:val="0046234C"/>
    <w:rsid w:val="00464092"/>
    <w:rsid w:val="00464847"/>
    <w:rsid w:val="00464B2E"/>
    <w:rsid w:val="00466FB3"/>
    <w:rsid w:val="0046713B"/>
    <w:rsid w:val="00470FB9"/>
    <w:rsid w:val="00471EA6"/>
    <w:rsid w:val="0047724A"/>
    <w:rsid w:val="004818B5"/>
    <w:rsid w:val="00481A0A"/>
    <w:rsid w:val="00481A83"/>
    <w:rsid w:val="00481CCF"/>
    <w:rsid w:val="00483144"/>
    <w:rsid w:val="00492D2C"/>
    <w:rsid w:val="00495EC4"/>
    <w:rsid w:val="004A18B0"/>
    <w:rsid w:val="004A1BC3"/>
    <w:rsid w:val="004A2F6F"/>
    <w:rsid w:val="004B0255"/>
    <w:rsid w:val="004B1EA0"/>
    <w:rsid w:val="004B4F63"/>
    <w:rsid w:val="004B7E26"/>
    <w:rsid w:val="004C35E6"/>
    <w:rsid w:val="004C58E0"/>
    <w:rsid w:val="004C637C"/>
    <w:rsid w:val="004D2AF6"/>
    <w:rsid w:val="004D56BE"/>
    <w:rsid w:val="004D649A"/>
    <w:rsid w:val="004D6BAC"/>
    <w:rsid w:val="004D734C"/>
    <w:rsid w:val="004D74BF"/>
    <w:rsid w:val="004E36E1"/>
    <w:rsid w:val="004E505B"/>
    <w:rsid w:val="004E5459"/>
    <w:rsid w:val="004E5F5F"/>
    <w:rsid w:val="004E62CD"/>
    <w:rsid w:val="004F0F50"/>
    <w:rsid w:val="004F169E"/>
    <w:rsid w:val="004F1DF0"/>
    <w:rsid w:val="004F5294"/>
    <w:rsid w:val="00505B44"/>
    <w:rsid w:val="005114C8"/>
    <w:rsid w:val="00511F9B"/>
    <w:rsid w:val="00512F47"/>
    <w:rsid w:val="00513714"/>
    <w:rsid w:val="005160BC"/>
    <w:rsid w:val="00516AC1"/>
    <w:rsid w:val="00517C4A"/>
    <w:rsid w:val="0052611B"/>
    <w:rsid w:val="00526915"/>
    <w:rsid w:val="005272C6"/>
    <w:rsid w:val="005315CF"/>
    <w:rsid w:val="00532177"/>
    <w:rsid w:val="00533106"/>
    <w:rsid w:val="0053326C"/>
    <w:rsid w:val="00534A82"/>
    <w:rsid w:val="00534CE1"/>
    <w:rsid w:val="0053546D"/>
    <w:rsid w:val="00535F6F"/>
    <w:rsid w:val="0053728B"/>
    <w:rsid w:val="00540008"/>
    <w:rsid w:val="00550576"/>
    <w:rsid w:val="00553662"/>
    <w:rsid w:val="00555A88"/>
    <w:rsid w:val="005606E5"/>
    <w:rsid w:val="005616A8"/>
    <w:rsid w:val="00562B1B"/>
    <w:rsid w:val="005632AB"/>
    <w:rsid w:val="005673B9"/>
    <w:rsid w:val="005728BE"/>
    <w:rsid w:val="00575A74"/>
    <w:rsid w:val="00581A33"/>
    <w:rsid w:val="00581C20"/>
    <w:rsid w:val="00584A20"/>
    <w:rsid w:val="005869A9"/>
    <w:rsid w:val="00591774"/>
    <w:rsid w:val="00591FCD"/>
    <w:rsid w:val="00592DE3"/>
    <w:rsid w:val="005A14B8"/>
    <w:rsid w:val="005B04BF"/>
    <w:rsid w:val="005B285E"/>
    <w:rsid w:val="005B39BB"/>
    <w:rsid w:val="005B55B2"/>
    <w:rsid w:val="005C01BD"/>
    <w:rsid w:val="005C2742"/>
    <w:rsid w:val="005C6C85"/>
    <w:rsid w:val="005D12F7"/>
    <w:rsid w:val="005D2274"/>
    <w:rsid w:val="005D3CA9"/>
    <w:rsid w:val="005D3CE7"/>
    <w:rsid w:val="005D726E"/>
    <w:rsid w:val="005E0373"/>
    <w:rsid w:val="005E2126"/>
    <w:rsid w:val="005E5484"/>
    <w:rsid w:val="005E6BFC"/>
    <w:rsid w:val="005F12F3"/>
    <w:rsid w:val="005F1382"/>
    <w:rsid w:val="005F3F5D"/>
    <w:rsid w:val="005F4EA1"/>
    <w:rsid w:val="005F63EF"/>
    <w:rsid w:val="005F6650"/>
    <w:rsid w:val="00601607"/>
    <w:rsid w:val="006022DA"/>
    <w:rsid w:val="00605983"/>
    <w:rsid w:val="00607C7F"/>
    <w:rsid w:val="00610669"/>
    <w:rsid w:val="00611E28"/>
    <w:rsid w:val="006123F3"/>
    <w:rsid w:val="00612C35"/>
    <w:rsid w:val="00615B38"/>
    <w:rsid w:val="006233CA"/>
    <w:rsid w:val="00634C0A"/>
    <w:rsid w:val="00636B56"/>
    <w:rsid w:val="00640A17"/>
    <w:rsid w:val="00650C14"/>
    <w:rsid w:val="00651AB9"/>
    <w:rsid w:val="006525A6"/>
    <w:rsid w:val="00652B23"/>
    <w:rsid w:val="0065307A"/>
    <w:rsid w:val="006538FB"/>
    <w:rsid w:val="00654327"/>
    <w:rsid w:val="00662D1E"/>
    <w:rsid w:val="00662FA1"/>
    <w:rsid w:val="00663F9F"/>
    <w:rsid w:val="00665F93"/>
    <w:rsid w:val="0066687C"/>
    <w:rsid w:val="00672A52"/>
    <w:rsid w:val="0067342F"/>
    <w:rsid w:val="0068005F"/>
    <w:rsid w:val="006822E4"/>
    <w:rsid w:val="00683C7B"/>
    <w:rsid w:val="00684619"/>
    <w:rsid w:val="006849AC"/>
    <w:rsid w:val="00684F29"/>
    <w:rsid w:val="00685950"/>
    <w:rsid w:val="00691ECD"/>
    <w:rsid w:val="00692C15"/>
    <w:rsid w:val="006934FF"/>
    <w:rsid w:val="006941B6"/>
    <w:rsid w:val="00696B3B"/>
    <w:rsid w:val="00696BAA"/>
    <w:rsid w:val="006A0684"/>
    <w:rsid w:val="006B4C42"/>
    <w:rsid w:val="006B6089"/>
    <w:rsid w:val="006B6517"/>
    <w:rsid w:val="006B6AD9"/>
    <w:rsid w:val="006C3175"/>
    <w:rsid w:val="006C42F7"/>
    <w:rsid w:val="006C61F0"/>
    <w:rsid w:val="006C6383"/>
    <w:rsid w:val="006D2637"/>
    <w:rsid w:val="006D2E4B"/>
    <w:rsid w:val="006D4245"/>
    <w:rsid w:val="006D49F4"/>
    <w:rsid w:val="006D5217"/>
    <w:rsid w:val="006E0EC8"/>
    <w:rsid w:val="006E303E"/>
    <w:rsid w:val="006E3276"/>
    <w:rsid w:val="006E4A62"/>
    <w:rsid w:val="006F089F"/>
    <w:rsid w:val="006F0CC5"/>
    <w:rsid w:val="006F17AC"/>
    <w:rsid w:val="006F464C"/>
    <w:rsid w:val="006F7533"/>
    <w:rsid w:val="00704681"/>
    <w:rsid w:val="007121DD"/>
    <w:rsid w:val="007132C6"/>
    <w:rsid w:val="00714B21"/>
    <w:rsid w:val="0072062A"/>
    <w:rsid w:val="007213E9"/>
    <w:rsid w:val="007216CD"/>
    <w:rsid w:val="00722ADC"/>
    <w:rsid w:val="00722B6F"/>
    <w:rsid w:val="00724382"/>
    <w:rsid w:val="00726819"/>
    <w:rsid w:val="00730479"/>
    <w:rsid w:val="00733237"/>
    <w:rsid w:val="00740D94"/>
    <w:rsid w:val="007433F2"/>
    <w:rsid w:val="007447B4"/>
    <w:rsid w:val="00746FCF"/>
    <w:rsid w:val="007514CE"/>
    <w:rsid w:val="00754838"/>
    <w:rsid w:val="00766B63"/>
    <w:rsid w:val="00767B83"/>
    <w:rsid w:val="00773752"/>
    <w:rsid w:val="0077421E"/>
    <w:rsid w:val="00775D92"/>
    <w:rsid w:val="00777153"/>
    <w:rsid w:val="00777226"/>
    <w:rsid w:val="00780EDA"/>
    <w:rsid w:val="00782385"/>
    <w:rsid w:val="0079552C"/>
    <w:rsid w:val="00796870"/>
    <w:rsid w:val="007A049E"/>
    <w:rsid w:val="007A2B83"/>
    <w:rsid w:val="007A37ED"/>
    <w:rsid w:val="007B4B73"/>
    <w:rsid w:val="007B5AFE"/>
    <w:rsid w:val="007C7274"/>
    <w:rsid w:val="007D0E49"/>
    <w:rsid w:val="007D5C9E"/>
    <w:rsid w:val="007E00A5"/>
    <w:rsid w:val="007E2DD6"/>
    <w:rsid w:val="007E47A3"/>
    <w:rsid w:val="007E4BC4"/>
    <w:rsid w:val="007E5344"/>
    <w:rsid w:val="007E625F"/>
    <w:rsid w:val="007E7B6F"/>
    <w:rsid w:val="007E7EDB"/>
    <w:rsid w:val="007F0518"/>
    <w:rsid w:val="007F0DF6"/>
    <w:rsid w:val="007F2BFF"/>
    <w:rsid w:val="007F31C6"/>
    <w:rsid w:val="007F3CD2"/>
    <w:rsid w:val="007F5084"/>
    <w:rsid w:val="007F6CAB"/>
    <w:rsid w:val="007F7485"/>
    <w:rsid w:val="008027A3"/>
    <w:rsid w:val="008055E8"/>
    <w:rsid w:val="0081333A"/>
    <w:rsid w:val="00814426"/>
    <w:rsid w:val="00814CD6"/>
    <w:rsid w:val="00817153"/>
    <w:rsid w:val="00817326"/>
    <w:rsid w:val="00817CE5"/>
    <w:rsid w:val="0082760A"/>
    <w:rsid w:val="008349FF"/>
    <w:rsid w:val="0084177C"/>
    <w:rsid w:val="00841834"/>
    <w:rsid w:val="00845051"/>
    <w:rsid w:val="008607F3"/>
    <w:rsid w:val="00863240"/>
    <w:rsid w:val="00872E92"/>
    <w:rsid w:val="0088503C"/>
    <w:rsid w:val="0088666A"/>
    <w:rsid w:val="00890A00"/>
    <w:rsid w:val="00892578"/>
    <w:rsid w:val="00893931"/>
    <w:rsid w:val="00897353"/>
    <w:rsid w:val="008974B7"/>
    <w:rsid w:val="008A1B7B"/>
    <w:rsid w:val="008A5037"/>
    <w:rsid w:val="008B1ACC"/>
    <w:rsid w:val="008B3236"/>
    <w:rsid w:val="008B44C5"/>
    <w:rsid w:val="008B5A2E"/>
    <w:rsid w:val="008C11FE"/>
    <w:rsid w:val="008C2788"/>
    <w:rsid w:val="008C791F"/>
    <w:rsid w:val="008D376A"/>
    <w:rsid w:val="008D623A"/>
    <w:rsid w:val="008D6D0D"/>
    <w:rsid w:val="008E0AFF"/>
    <w:rsid w:val="008E16C6"/>
    <w:rsid w:val="008E22FB"/>
    <w:rsid w:val="008E4B64"/>
    <w:rsid w:val="008E70A3"/>
    <w:rsid w:val="008F1D77"/>
    <w:rsid w:val="009017BA"/>
    <w:rsid w:val="009018CC"/>
    <w:rsid w:val="00901DAD"/>
    <w:rsid w:val="00904D17"/>
    <w:rsid w:val="00910A16"/>
    <w:rsid w:val="00913631"/>
    <w:rsid w:val="00917A8C"/>
    <w:rsid w:val="00926C80"/>
    <w:rsid w:val="00930FE7"/>
    <w:rsid w:val="009356E5"/>
    <w:rsid w:val="00937D6B"/>
    <w:rsid w:val="00947E60"/>
    <w:rsid w:val="0095212A"/>
    <w:rsid w:val="009527B9"/>
    <w:rsid w:val="00953245"/>
    <w:rsid w:val="00953645"/>
    <w:rsid w:val="00955D54"/>
    <w:rsid w:val="00970B7F"/>
    <w:rsid w:val="009720C8"/>
    <w:rsid w:val="00973A66"/>
    <w:rsid w:val="00973D8A"/>
    <w:rsid w:val="009743AB"/>
    <w:rsid w:val="009743E8"/>
    <w:rsid w:val="00975184"/>
    <w:rsid w:val="00975E01"/>
    <w:rsid w:val="0098582E"/>
    <w:rsid w:val="00987DBA"/>
    <w:rsid w:val="00987DC4"/>
    <w:rsid w:val="00990754"/>
    <w:rsid w:val="00990807"/>
    <w:rsid w:val="00994373"/>
    <w:rsid w:val="0099543C"/>
    <w:rsid w:val="00995712"/>
    <w:rsid w:val="00995884"/>
    <w:rsid w:val="009960C8"/>
    <w:rsid w:val="00997B81"/>
    <w:rsid w:val="009A0677"/>
    <w:rsid w:val="009A2A82"/>
    <w:rsid w:val="009A4567"/>
    <w:rsid w:val="009A4853"/>
    <w:rsid w:val="009A55B5"/>
    <w:rsid w:val="009B1104"/>
    <w:rsid w:val="009B27A6"/>
    <w:rsid w:val="009B6978"/>
    <w:rsid w:val="009C2D2D"/>
    <w:rsid w:val="009C6BDB"/>
    <w:rsid w:val="009C6D28"/>
    <w:rsid w:val="009C71EE"/>
    <w:rsid w:val="009D4641"/>
    <w:rsid w:val="009D6630"/>
    <w:rsid w:val="009D6C6A"/>
    <w:rsid w:val="009D75F2"/>
    <w:rsid w:val="009E0F10"/>
    <w:rsid w:val="009E15AB"/>
    <w:rsid w:val="009E3FDF"/>
    <w:rsid w:val="009E7E16"/>
    <w:rsid w:val="009F2DB1"/>
    <w:rsid w:val="009F3CD2"/>
    <w:rsid w:val="009F3D68"/>
    <w:rsid w:val="009F5C82"/>
    <w:rsid w:val="00A02801"/>
    <w:rsid w:val="00A02AA3"/>
    <w:rsid w:val="00A0571F"/>
    <w:rsid w:val="00A06B98"/>
    <w:rsid w:val="00A10870"/>
    <w:rsid w:val="00A121FD"/>
    <w:rsid w:val="00A165CD"/>
    <w:rsid w:val="00A173EA"/>
    <w:rsid w:val="00A22D8D"/>
    <w:rsid w:val="00A264CD"/>
    <w:rsid w:val="00A305BB"/>
    <w:rsid w:val="00A30EFC"/>
    <w:rsid w:val="00A3123C"/>
    <w:rsid w:val="00A34E30"/>
    <w:rsid w:val="00A40091"/>
    <w:rsid w:val="00A425D3"/>
    <w:rsid w:val="00A435BA"/>
    <w:rsid w:val="00A47489"/>
    <w:rsid w:val="00A50494"/>
    <w:rsid w:val="00A50EF6"/>
    <w:rsid w:val="00A5427E"/>
    <w:rsid w:val="00A57813"/>
    <w:rsid w:val="00A61100"/>
    <w:rsid w:val="00A62812"/>
    <w:rsid w:val="00A7000B"/>
    <w:rsid w:val="00A77671"/>
    <w:rsid w:val="00A849ED"/>
    <w:rsid w:val="00A852C3"/>
    <w:rsid w:val="00A9465C"/>
    <w:rsid w:val="00A96B2C"/>
    <w:rsid w:val="00A96B41"/>
    <w:rsid w:val="00AA02C3"/>
    <w:rsid w:val="00AA242E"/>
    <w:rsid w:val="00AA39FC"/>
    <w:rsid w:val="00AA4D53"/>
    <w:rsid w:val="00AA5774"/>
    <w:rsid w:val="00AA7449"/>
    <w:rsid w:val="00AB75D7"/>
    <w:rsid w:val="00AB7D4C"/>
    <w:rsid w:val="00AC65A0"/>
    <w:rsid w:val="00AD0C1C"/>
    <w:rsid w:val="00AD0D9D"/>
    <w:rsid w:val="00AD134C"/>
    <w:rsid w:val="00AD357B"/>
    <w:rsid w:val="00AD65FE"/>
    <w:rsid w:val="00AD6ADD"/>
    <w:rsid w:val="00AD6DFF"/>
    <w:rsid w:val="00AE0891"/>
    <w:rsid w:val="00AE48EE"/>
    <w:rsid w:val="00AE756E"/>
    <w:rsid w:val="00AE7734"/>
    <w:rsid w:val="00AF1797"/>
    <w:rsid w:val="00AF3863"/>
    <w:rsid w:val="00AF7B4A"/>
    <w:rsid w:val="00B06F08"/>
    <w:rsid w:val="00B07E62"/>
    <w:rsid w:val="00B152B5"/>
    <w:rsid w:val="00B1787A"/>
    <w:rsid w:val="00B2035A"/>
    <w:rsid w:val="00B22A00"/>
    <w:rsid w:val="00B234A3"/>
    <w:rsid w:val="00B23CAF"/>
    <w:rsid w:val="00B241F4"/>
    <w:rsid w:val="00B306B8"/>
    <w:rsid w:val="00B3144C"/>
    <w:rsid w:val="00B33537"/>
    <w:rsid w:val="00B35D4D"/>
    <w:rsid w:val="00B35FCD"/>
    <w:rsid w:val="00B416F7"/>
    <w:rsid w:val="00B42EF9"/>
    <w:rsid w:val="00B47C86"/>
    <w:rsid w:val="00B50905"/>
    <w:rsid w:val="00B50B63"/>
    <w:rsid w:val="00B50FCC"/>
    <w:rsid w:val="00B5151B"/>
    <w:rsid w:val="00B52F50"/>
    <w:rsid w:val="00B53A19"/>
    <w:rsid w:val="00B547BC"/>
    <w:rsid w:val="00B62F55"/>
    <w:rsid w:val="00B636F3"/>
    <w:rsid w:val="00B638CE"/>
    <w:rsid w:val="00B63EEB"/>
    <w:rsid w:val="00B6626B"/>
    <w:rsid w:val="00B675B4"/>
    <w:rsid w:val="00B76E34"/>
    <w:rsid w:val="00B77D8D"/>
    <w:rsid w:val="00B77F21"/>
    <w:rsid w:val="00B82A26"/>
    <w:rsid w:val="00B82BC1"/>
    <w:rsid w:val="00B846E9"/>
    <w:rsid w:val="00B8566E"/>
    <w:rsid w:val="00B857CB"/>
    <w:rsid w:val="00B91617"/>
    <w:rsid w:val="00B91628"/>
    <w:rsid w:val="00B9441E"/>
    <w:rsid w:val="00B971C2"/>
    <w:rsid w:val="00BA1C3E"/>
    <w:rsid w:val="00BA4E48"/>
    <w:rsid w:val="00BA6080"/>
    <w:rsid w:val="00BA6C21"/>
    <w:rsid w:val="00BA74F0"/>
    <w:rsid w:val="00BB31FD"/>
    <w:rsid w:val="00BB7EAA"/>
    <w:rsid w:val="00BC3BB0"/>
    <w:rsid w:val="00BD3C20"/>
    <w:rsid w:val="00BE11BA"/>
    <w:rsid w:val="00BE4F02"/>
    <w:rsid w:val="00BE67A8"/>
    <w:rsid w:val="00BE6925"/>
    <w:rsid w:val="00BF2374"/>
    <w:rsid w:val="00BF2868"/>
    <w:rsid w:val="00BF28D5"/>
    <w:rsid w:val="00BF2FF8"/>
    <w:rsid w:val="00BF60A2"/>
    <w:rsid w:val="00C02361"/>
    <w:rsid w:val="00C048EF"/>
    <w:rsid w:val="00C178FE"/>
    <w:rsid w:val="00C24A86"/>
    <w:rsid w:val="00C25865"/>
    <w:rsid w:val="00C324F9"/>
    <w:rsid w:val="00C33C76"/>
    <w:rsid w:val="00C35324"/>
    <w:rsid w:val="00C37499"/>
    <w:rsid w:val="00C40999"/>
    <w:rsid w:val="00C41ADF"/>
    <w:rsid w:val="00C430E5"/>
    <w:rsid w:val="00C44569"/>
    <w:rsid w:val="00C468F7"/>
    <w:rsid w:val="00C503E7"/>
    <w:rsid w:val="00C6785C"/>
    <w:rsid w:val="00C75CF2"/>
    <w:rsid w:val="00C82535"/>
    <w:rsid w:val="00C82BBA"/>
    <w:rsid w:val="00C8555C"/>
    <w:rsid w:val="00C92945"/>
    <w:rsid w:val="00C964B2"/>
    <w:rsid w:val="00C9654E"/>
    <w:rsid w:val="00CA1F56"/>
    <w:rsid w:val="00CA2298"/>
    <w:rsid w:val="00CA5730"/>
    <w:rsid w:val="00CA613C"/>
    <w:rsid w:val="00CA6623"/>
    <w:rsid w:val="00CB37C5"/>
    <w:rsid w:val="00CB4F27"/>
    <w:rsid w:val="00CB5313"/>
    <w:rsid w:val="00CB5AB2"/>
    <w:rsid w:val="00CB7879"/>
    <w:rsid w:val="00CC5453"/>
    <w:rsid w:val="00CC5633"/>
    <w:rsid w:val="00CC5F22"/>
    <w:rsid w:val="00CD184A"/>
    <w:rsid w:val="00CD2701"/>
    <w:rsid w:val="00CE0F67"/>
    <w:rsid w:val="00CE23E3"/>
    <w:rsid w:val="00CE317E"/>
    <w:rsid w:val="00CE3E52"/>
    <w:rsid w:val="00CE574F"/>
    <w:rsid w:val="00CF1027"/>
    <w:rsid w:val="00CF3B86"/>
    <w:rsid w:val="00CF61F1"/>
    <w:rsid w:val="00CF6B0B"/>
    <w:rsid w:val="00CF6C73"/>
    <w:rsid w:val="00CF6C97"/>
    <w:rsid w:val="00CF7E2A"/>
    <w:rsid w:val="00D01459"/>
    <w:rsid w:val="00D03C3E"/>
    <w:rsid w:val="00D03D1E"/>
    <w:rsid w:val="00D04F4B"/>
    <w:rsid w:val="00D22034"/>
    <w:rsid w:val="00D2262B"/>
    <w:rsid w:val="00D22A93"/>
    <w:rsid w:val="00D24C16"/>
    <w:rsid w:val="00D25091"/>
    <w:rsid w:val="00D2577B"/>
    <w:rsid w:val="00D25E00"/>
    <w:rsid w:val="00D269BA"/>
    <w:rsid w:val="00D30666"/>
    <w:rsid w:val="00D30B88"/>
    <w:rsid w:val="00D30F76"/>
    <w:rsid w:val="00D313CA"/>
    <w:rsid w:val="00D33634"/>
    <w:rsid w:val="00D40EA4"/>
    <w:rsid w:val="00D41244"/>
    <w:rsid w:val="00D413CD"/>
    <w:rsid w:val="00D420ED"/>
    <w:rsid w:val="00D429D3"/>
    <w:rsid w:val="00D43972"/>
    <w:rsid w:val="00D44E17"/>
    <w:rsid w:val="00D47729"/>
    <w:rsid w:val="00D527F6"/>
    <w:rsid w:val="00D52891"/>
    <w:rsid w:val="00D56634"/>
    <w:rsid w:val="00D61C75"/>
    <w:rsid w:val="00D62A71"/>
    <w:rsid w:val="00D62F3A"/>
    <w:rsid w:val="00D641AB"/>
    <w:rsid w:val="00D67548"/>
    <w:rsid w:val="00D706C5"/>
    <w:rsid w:val="00D779BF"/>
    <w:rsid w:val="00D80082"/>
    <w:rsid w:val="00D848EA"/>
    <w:rsid w:val="00D8504F"/>
    <w:rsid w:val="00D867D8"/>
    <w:rsid w:val="00D90909"/>
    <w:rsid w:val="00D90F61"/>
    <w:rsid w:val="00D9149C"/>
    <w:rsid w:val="00D92958"/>
    <w:rsid w:val="00D95EC3"/>
    <w:rsid w:val="00DA1F01"/>
    <w:rsid w:val="00DA2925"/>
    <w:rsid w:val="00DB0909"/>
    <w:rsid w:val="00DB3122"/>
    <w:rsid w:val="00DB336B"/>
    <w:rsid w:val="00DC0025"/>
    <w:rsid w:val="00DC625F"/>
    <w:rsid w:val="00DD0E53"/>
    <w:rsid w:val="00DE0162"/>
    <w:rsid w:val="00DE2296"/>
    <w:rsid w:val="00DE2CCD"/>
    <w:rsid w:val="00DE3482"/>
    <w:rsid w:val="00DE5972"/>
    <w:rsid w:val="00DE71FA"/>
    <w:rsid w:val="00DF0F32"/>
    <w:rsid w:val="00DF1D89"/>
    <w:rsid w:val="00DF28CF"/>
    <w:rsid w:val="00DF72D7"/>
    <w:rsid w:val="00E04FDC"/>
    <w:rsid w:val="00E14A67"/>
    <w:rsid w:val="00E15B3D"/>
    <w:rsid w:val="00E205AC"/>
    <w:rsid w:val="00E209D8"/>
    <w:rsid w:val="00E2198C"/>
    <w:rsid w:val="00E2351A"/>
    <w:rsid w:val="00E24BCE"/>
    <w:rsid w:val="00E270C9"/>
    <w:rsid w:val="00E27294"/>
    <w:rsid w:val="00E30ABC"/>
    <w:rsid w:val="00E31658"/>
    <w:rsid w:val="00E34D8F"/>
    <w:rsid w:val="00E355FC"/>
    <w:rsid w:val="00E37813"/>
    <w:rsid w:val="00E44619"/>
    <w:rsid w:val="00E46C1B"/>
    <w:rsid w:val="00E47154"/>
    <w:rsid w:val="00E54CD1"/>
    <w:rsid w:val="00E60127"/>
    <w:rsid w:val="00E61335"/>
    <w:rsid w:val="00E61C6B"/>
    <w:rsid w:val="00E674A2"/>
    <w:rsid w:val="00E70F50"/>
    <w:rsid w:val="00E736DE"/>
    <w:rsid w:val="00E74A91"/>
    <w:rsid w:val="00E74F2A"/>
    <w:rsid w:val="00E768B3"/>
    <w:rsid w:val="00E7745C"/>
    <w:rsid w:val="00E8227A"/>
    <w:rsid w:val="00E82F54"/>
    <w:rsid w:val="00E87F49"/>
    <w:rsid w:val="00E90682"/>
    <w:rsid w:val="00E9320A"/>
    <w:rsid w:val="00EA308E"/>
    <w:rsid w:val="00EA5CDE"/>
    <w:rsid w:val="00EA7392"/>
    <w:rsid w:val="00EA7472"/>
    <w:rsid w:val="00EB0C40"/>
    <w:rsid w:val="00EB2332"/>
    <w:rsid w:val="00EB4596"/>
    <w:rsid w:val="00EB505A"/>
    <w:rsid w:val="00EC32AA"/>
    <w:rsid w:val="00EC4477"/>
    <w:rsid w:val="00EC7EE7"/>
    <w:rsid w:val="00EE11AE"/>
    <w:rsid w:val="00EE2FAD"/>
    <w:rsid w:val="00EE431A"/>
    <w:rsid w:val="00EF63AA"/>
    <w:rsid w:val="00F007D9"/>
    <w:rsid w:val="00F05C90"/>
    <w:rsid w:val="00F0659F"/>
    <w:rsid w:val="00F06E24"/>
    <w:rsid w:val="00F0700C"/>
    <w:rsid w:val="00F07571"/>
    <w:rsid w:val="00F10A96"/>
    <w:rsid w:val="00F11665"/>
    <w:rsid w:val="00F136AD"/>
    <w:rsid w:val="00F13F8E"/>
    <w:rsid w:val="00F13FEA"/>
    <w:rsid w:val="00F20453"/>
    <w:rsid w:val="00F20BF5"/>
    <w:rsid w:val="00F21520"/>
    <w:rsid w:val="00F21BF6"/>
    <w:rsid w:val="00F24FFD"/>
    <w:rsid w:val="00F264AD"/>
    <w:rsid w:val="00F317D0"/>
    <w:rsid w:val="00F40394"/>
    <w:rsid w:val="00F42354"/>
    <w:rsid w:val="00F428BF"/>
    <w:rsid w:val="00F42B09"/>
    <w:rsid w:val="00F47F19"/>
    <w:rsid w:val="00F47F88"/>
    <w:rsid w:val="00F54466"/>
    <w:rsid w:val="00F56479"/>
    <w:rsid w:val="00F62935"/>
    <w:rsid w:val="00F676F7"/>
    <w:rsid w:val="00F71D21"/>
    <w:rsid w:val="00F81E2F"/>
    <w:rsid w:val="00F81E4B"/>
    <w:rsid w:val="00F837BD"/>
    <w:rsid w:val="00F83A7B"/>
    <w:rsid w:val="00F847D1"/>
    <w:rsid w:val="00F90703"/>
    <w:rsid w:val="00F91752"/>
    <w:rsid w:val="00F9365E"/>
    <w:rsid w:val="00F9441B"/>
    <w:rsid w:val="00F962A7"/>
    <w:rsid w:val="00F96E3F"/>
    <w:rsid w:val="00F97EE5"/>
    <w:rsid w:val="00FA0A9E"/>
    <w:rsid w:val="00FA62CA"/>
    <w:rsid w:val="00FA6B95"/>
    <w:rsid w:val="00FB04D0"/>
    <w:rsid w:val="00FB05A2"/>
    <w:rsid w:val="00FB3773"/>
    <w:rsid w:val="00FB3AE6"/>
    <w:rsid w:val="00FB4258"/>
    <w:rsid w:val="00FB4507"/>
    <w:rsid w:val="00FB5111"/>
    <w:rsid w:val="00FC014F"/>
    <w:rsid w:val="00FC5CD2"/>
    <w:rsid w:val="00FC6B02"/>
    <w:rsid w:val="00FD25CC"/>
    <w:rsid w:val="00FD668D"/>
    <w:rsid w:val="00FF35B6"/>
    <w:rsid w:val="00FF5DE3"/>
    <w:rsid w:val="00FF67D0"/>
    <w:rsid w:val="00FF7CD0"/>
    <w:rsid w:val="00FF7EC1"/>
    <w:rsid w:val="01056464"/>
    <w:rsid w:val="01172333"/>
    <w:rsid w:val="01384EE8"/>
    <w:rsid w:val="0144138C"/>
    <w:rsid w:val="01F53743"/>
    <w:rsid w:val="021914F0"/>
    <w:rsid w:val="025A45B9"/>
    <w:rsid w:val="02693733"/>
    <w:rsid w:val="028F2879"/>
    <w:rsid w:val="0295425B"/>
    <w:rsid w:val="02C76CA1"/>
    <w:rsid w:val="02CE3596"/>
    <w:rsid w:val="02DA30C5"/>
    <w:rsid w:val="02E55833"/>
    <w:rsid w:val="02F14B92"/>
    <w:rsid w:val="031C07A5"/>
    <w:rsid w:val="03265180"/>
    <w:rsid w:val="036E1734"/>
    <w:rsid w:val="03BC5FD9"/>
    <w:rsid w:val="03BF3CE5"/>
    <w:rsid w:val="03DB240E"/>
    <w:rsid w:val="03E368DF"/>
    <w:rsid w:val="04474033"/>
    <w:rsid w:val="048233CF"/>
    <w:rsid w:val="0484503D"/>
    <w:rsid w:val="048900BC"/>
    <w:rsid w:val="04975E1A"/>
    <w:rsid w:val="04AF193B"/>
    <w:rsid w:val="05051BA7"/>
    <w:rsid w:val="05253398"/>
    <w:rsid w:val="05515ECE"/>
    <w:rsid w:val="055424CE"/>
    <w:rsid w:val="055C5588"/>
    <w:rsid w:val="0578575F"/>
    <w:rsid w:val="05791732"/>
    <w:rsid w:val="05AF150C"/>
    <w:rsid w:val="05AF3035"/>
    <w:rsid w:val="05AF5900"/>
    <w:rsid w:val="05D37841"/>
    <w:rsid w:val="060E4F02"/>
    <w:rsid w:val="060F7D80"/>
    <w:rsid w:val="064C4511"/>
    <w:rsid w:val="06554391"/>
    <w:rsid w:val="067A1CE2"/>
    <w:rsid w:val="069C036B"/>
    <w:rsid w:val="06B83E77"/>
    <w:rsid w:val="071A149F"/>
    <w:rsid w:val="073C1BA9"/>
    <w:rsid w:val="07464042"/>
    <w:rsid w:val="07494F35"/>
    <w:rsid w:val="07646EE1"/>
    <w:rsid w:val="07AF327D"/>
    <w:rsid w:val="07BC4304"/>
    <w:rsid w:val="07C823C3"/>
    <w:rsid w:val="07D836D6"/>
    <w:rsid w:val="07DF75F9"/>
    <w:rsid w:val="07EA0E72"/>
    <w:rsid w:val="07ED4943"/>
    <w:rsid w:val="07ED5120"/>
    <w:rsid w:val="082545B4"/>
    <w:rsid w:val="084B2A08"/>
    <w:rsid w:val="08521352"/>
    <w:rsid w:val="086926EF"/>
    <w:rsid w:val="08826C2F"/>
    <w:rsid w:val="08931792"/>
    <w:rsid w:val="08BD388A"/>
    <w:rsid w:val="08C56BFE"/>
    <w:rsid w:val="08C866D8"/>
    <w:rsid w:val="08EE44AE"/>
    <w:rsid w:val="090977C2"/>
    <w:rsid w:val="091B5AF9"/>
    <w:rsid w:val="0931537C"/>
    <w:rsid w:val="09484168"/>
    <w:rsid w:val="095E541B"/>
    <w:rsid w:val="0971354F"/>
    <w:rsid w:val="09735348"/>
    <w:rsid w:val="098C685B"/>
    <w:rsid w:val="09AB6192"/>
    <w:rsid w:val="09BB1B4A"/>
    <w:rsid w:val="09BB1FFB"/>
    <w:rsid w:val="09E94260"/>
    <w:rsid w:val="0A043B5A"/>
    <w:rsid w:val="0A334024"/>
    <w:rsid w:val="0A7B4020"/>
    <w:rsid w:val="0A9823FE"/>
    <w:rsid w:val="0AA32A37"/>
    <w:rsid w:val="0AB6328D"/>
    <w:rsid w:val="0AB85410"/>
    <w:rsid w:val="0AC6735D"/>
    <w:rsid w:val="0AF27366"/>
    <w:rsid w:val="0B2D79F3"/>
    <w:rsid w:val="0B2E5767"/>
    <w:rsid w:val="0B35107D"/>
    <w:rsid w:val="0B3E6DDE"/>
    <w:rsid w:val="0B460910"/>
    <w:rsid w:val="0B5D7BAD"/>
    <w:rsid w:val="0B6A797F"/>
    <w:rsid w:val="0B9F08EB"/>
    <w:rsid w:val="0BB173F9"/>
    <w:rsid w:val="0BBC084E"/>
    <w:rsid w:val="0BF959E2"/>
    <w:rsid w:val="0C022A5C"/>
    <w:rsid w:val="0C166BF0"/>
    <w:rsid w:val="0C5D406E"/>
    <w:rsid w:val="0C737766"/>
    <w:rsid w:val="0C820C2A"/>
    <w:rsid w:val="0CAD3B2C"/>
    <w:rsid w:val="0CB15388"/>
    <w:rsid w:val="0CB96B0F"/>
    <w:rsid w:val="0CC15672"/>
    <w:rsid w:val="0CD8573D"/>
    <w:rsid w:val="0CD86936"/>
    <w:rsid w:val="0CFE58DC"/>
    <w:rsid w:val="0D030AB0"/>
    <w:rsid w:val="0D191564"/>
    <w:rsid w:val="0D3606B5"/>
    <w:rsid w:val="0D361C16"/>
    <w:rsid w:val="0D427331"/>
    <w:rsid w:val="0D5D290B"/>
    <w:rsid w:val="0D9C49BC"/>
    <w:rsid w:val="0DA87805"/>
    <w:rsid w:val="0DBA2404"/>
    <w:rsid w:val="0DD13D7E"/>
    <w:rsid w:val="0E484127"/>
    <w:rsid w:val="0E4F7C80"/>
    <w:rsid w:val="0E6A6868"/>
    <w:rsid w:val="0EA50FF1"/>
    <w:rsid w:val="0ED55CFC"/>
    <w:rsid w:val="0EFF5127"/>
    <w:rsid w:val="0F0A6D3C"/>
    <w:rsid w:val="0F230706"/>
    <w:rsid w:val="0F31058B"/>
    <w:rsid w:val="0F405E46"/>
    <w:rsid w:val="0F596EF7"/>
    <w:rsid w:val="0F5F5C02"/>
    <w:rsid w:val="0F7C21D1"/>
    <w:rsid w:val="0F80518A"/>
    <w:rsid w:val="0F841D54"/>
    <w:rsid w:val="0F9D1646"/>
    <w:rsid w:val="0FE850A5"/>
    <w:rsid w:val="0FF90BC3"/>
    <w:rsid w:val="10036F54"/>
    <w:rsid w:val="100472E7"/>
    <w:rsid w:val="10146177"/>
    <w:rsid w:val="102031BE"/>
    <w:rsid w:val="1023528A"/>
    <w:rsid w:val="104158CF"/>
    <w:rsid w:val="105A2DA6"/>
    <w:rsid w:val="10C1710D"/>
    <w:rsid w:val="11380BA9"/>
    <w:rsid w:val="11432E6E"/>
    <w:rsid w:val="116578C4"/>
    <w:rsid w:val="117A5579"/>
    <w:rsid w:val="11914D81"/>
    <w:rsid w:val="11934A17"/>
    <w:rsid w:val="119F3D44"/>
    <w:rsid w:val="11A25418"/>
    <w:rsid w:val="11A31880"/>
    <w:rsid w:val="11B637B1"/>
    <w:rsid w:val="11CD20A0"/>
    <w:rsid w:val="11D439AC"/>
    <w:rsid w:val="11DD1130"/>
    <w:rsid w:val="11E7149A"/>
    <w:rsid w:val="11EC4876"/>
    <w:rsid w:val="11F16FEF"/>
    <w:rsid w:val="12274574"/>
    <w:rsid w:val="12A44024"/>
    <w:rsid w:val="12A51DB8"/>
    <w:rsid w:val="12B25704"/>
    <w:rsid w:val="12D45605"/>
    <w:rsid w:val="130A6490"/>
    <w:rsid w:val="134B71F7"/>
    <w:rsid w:val="13781048"/>
    <w:rsid w:val="13C01E47"/>
    <w:rsid w:val="13E53BD5"/>
    <w:rsid w:val="13F310AE"/>
    <w:rsid w:val="14060DE1"/>
    <w:rsid w:val="140E33B5"/>
    <w:rsid w:val="14162AB5"/>
    <w:rsid w:val="141A5595"/>
    <w:rsid w:val="143405B6"/>
    <w:rsid w:val="14567EDC"/>
    <w:rsid w:val="146C281C"/>
    <w:rsid w:val="14A5242C"/>
    <w:rsid w:val="14A97F56"/>
    <w:rsid w:val="14AE4747"/>
    <w:rsid w:val="14AE5A40"/>
    <w:rsid w:val="14B56C12"/>
    <w:rsid w:val="14EB6229"/>
    <w:rsid w:val="14ED4345"/>
    <w:rsid w:val="1505030B"/>
    <w:rsid w:val="1522696F"/>
    <w:rsid w:val="153D7B8E"/>
    <w:rsid w:val="15656CC0"/>
    <w:rsid w:val="15921BE1"/>
    <w:rsid w:val="15B97E1E"/>
    <w:rsid w:val="15BC7795"/>
    <w:rsid w:val="15C40F54"/>
    <w:rsid w:val="15C42D02"/>
    <w:rsid w:val="15D241DC"/>
    <w:rsid w:val="15F01DDF"/>
    <w:rsid w:val="15FA79D9"/>
    <w:rsid w:val="160D4569"/>
    <w:rsid w:val="1637460C"/>
    <w:rsid w:val="163B0AEA"/>
    <w:rsid w:val="16662204"/>
    <w:rsid w:val="16842F05"/>
    <w:rsid w:val="16B025DA"/>
    <w:rsid w:val="16B76AE5"/>
    <w:rsid w:val="16CA6A3C"/>
    <w:rsid w:val="16EA0119"/>
    <w:rsid w:val="16EF615A"/>
    <w:rsid w:val="16F67BC3"/>
    <w:rsid w:val="1727142D"/>
    <w:rsid w:val="172B16F8"/>
    <w:rsid w:val="174C2E58"/>
    <w:rsid w:val="175D310D"/>
    <w:rsid w:val="17621CE5"/>
    <w:rsid w:val="176C77DE"/>
    <w:rsid w:val="177D601E"/>
    <w:rsid w:val="179F3948"/>
    <w:rsid w:val="17A806CA"/>
    <w:rsid w:val="17BB1CC9"/>
    <w:rsid w:val="17CC2E4D"/>
    <w:rsid w:val="17EC0E91"/>
    <w:rsid w:val="17F03DBD"/>
    <w:rsid w:val="180E295A"/>
    <w:rsid w:val="18553EEA"/>
    <w:rsid w:val="18634E6F"/>
    <w:rsid w:val="187133C1"/>
    <w:rsid w:val="189C5675"/>
    <w:rsid w:val="18A60DE5"/>
    <w:rsid w:val="18F90F15"/>
    <w:rsid w:val="193E4A86"/>
    <w:rsid w:val="19580D66"/>
    <w:rsid w:val="196A3BC0"/>
    <w:rsid w:val="19763A73"/>
    <w:rsid w:val="198D1303"/>
    <w:rsid w:val="199D2C21"/>
    <w:rsid w:val="19AE4ED3"/>
    <w:rsid w:val="19B00847"/>
    <w:rsid w:val="19B51F9A"/>
    <w:rsid w:val="19BD63E6"/>
    <w:rsid w:val="19C625D0"/>
    <w:rsid w:val="19FA13E8"/>
    <w:rsid w:val="1A11228E"/>
    <w:rsid w:val="1A405F6F"/>
    <w:rsid w:val="1A5A4033"/>
    <w:rsid w:val="1A625C01"/>
    <w:rsid w:val="1A6A0C73"/>
    <w:rsid w:val="1A72396F"/>
    <w:rsid w:val="1AA7060C"/>
    <w:rsid w:val="1AB568B4"/>
    <w:rsid w:val="1B1050AF"/>
    <w:rsid w:val="1B1B284E"/>
    <w:rsid w:val="1B2527E6"/>
    <w:rsid w:val="1B473D5E"/>
    <w:rsid w:val="1B614B1C"/>
    <w:rsid w:val="1BA26B87"/>
    <w:rsid w:val="1BC929F0"/>
    <w:rsid w:val="1BCF41AF"/>
    <w:rsid w:val="1BDA492C"/>
    <w:rsid w:val="1BE80039"/>
    <w:rsid w:val="1BF124AF"/>
    <w:rsid w:val="1C0C4517"/>
    <w:rsid w:val="1C180F47"/>
    <w:rsid w:val="1C544814"/>
    <w:rsid w:val="1C6D06C9"/>
    <w:rsid w:val="1CA67605"/>
    <w:rsid w:val="1CB17464"/>
    <w:rsid w:val="1CB9161D"/>
    <w:rsid w:val="1CE11B7F"/>
    <w:rsid w:val="1CE95744"/>
    <w:rsid w:val="1D0461BA"/>
    <w:rsid w:val="1D1D6153"/>
    <w:rsid w:val="1D204ECF"/>
    <w:rsid w:val="1D2766BF"/>
    <w:rsid w:val="1D33076D"/>
    <w:rsid w:val="1D3B14F7"/>
    <w:rsid w:val="1D743C47"/>
    <w:rsid w:val="1DB418AE"/>
    <w:rsid w:val="1DF948B8"/>
    <w:rsid w:val="1E116D00"/>
    <w:rsid w:val="1E3173A3"/>
    <w:rsid w:val="1E607EDB"/>
    <w:rsid w:val="1EA25BAA"/>
    <w:rsid w:val="1EA85204"/>
    <w:rsid w:val="1ED108BB"/>
    <w:rsid w:val="1EDB307C"/>
    <w:rsid w:val="1EDC041B"/>
    <w:rsid w:val="1EE61241"/>
    <w:rsid w:val="1F0129C0"/>
    <w:rsid w:val="1F26058A"/>
    <w:rsid w:val="1F2E710B"/>
    <w:rsid w:val="1F576995"/>
    <w:rsid w:val="1F8B2232"/>
    <w:rsid w:val="1FCE194B"/>
    <w:rsid w:val="1FF06B61"/>
    <w:rsid w:val="1FF30151"/>
    <w:rsid w:val="200512B2"/>
    <w:rsid w:val="201B5C14"/>
    <w:rsid w:val="204C4DA3"/>
    <w:rsid w:val="205325F2"/>
    <w:rsid w:val="207F29AE"/>
    <w:rsid w:val="208B720B"/>
    <w:rsid w:val="20CA2689"/>
    <w:rsid w:val="20EB5E46"/>
    <w:rsid w:val="20FA1249"/>
    <w:rsid w:val="2106297A"/>
    <w:rsid w:val="210D1B41"/>
    <w:rsid w:val="21222FD3"/>
    <w:rsid w:val="2127683B"/>
    <w:rsid w:val="213351E0"/>
    <w:rsid w:val="21374328"/>
    <w:rsid w:val="213D4129"/>
    <w:rsid w:val="214A3AEC"/>
    <w:rsid w:val="21545F3F"/>
    <w:rsid w:val="215E7DDF"/>
    <w:rsid w:val="2181419D"/>
    <w:rsid w:val="21857486"/>
    <w:rsid w:val="218F7101"/>
    <w:rsid w:val="2197751D"/>
    <w:rsid w:val="219A0FD3"/>
    <w:rsid w:val="21E0682B"/>
    <w:rsid w:val="21E50FBA"/>
    <w:rsid w:val="222E79BE"/>
    <w:rsid w:val="224072C7"/>
    <w:rsid w:val="22995516"/>
    <w:rsid w:val="22A67581"/>
    <w:rsid w:val="22B20386"/>
    <w:rsid w:val="22B8232F"/>
    <w:rsid w:val="22D21BA1"/>
    <w:rsid w:val="23006CB9"/>
    <w:rsid w:val="230D784D"/>
    <w:rsid w:val="23711FEF"/>
    <w:rsid w:val="23934998"/>
    <w:rsid w:val="2395666A"/>
    <w:rsid w:val="239A0239"/>
    <w:rsid w:val="23D424F6"/>
    <w:rsid w:val="23D762F6"/>
    <w:rsid w:val="240C378A"/>
    <w:rsid w:val="24105587"/>
    <w:rsid w:val="241E2177"/>
    <w:rsid w:val="2437018E"/>
    <w:rsid w:val="243765AF"/>
    <w:rsid w:val="247321DC"/>
    <w:rsid w:val="24AD4AFC"/>
    <w:rsid w:val="24CC3981"/>
    <w:rsid w:val="24E91BB7"/>
    <w:rsid w:val="25082E50"/>
    <w:rsid w:val="25097C44"/>
    <w:rsid w:val="254A39B4"/>
    <w:rsid w:val="25667C48"/>
    <w:rsid w:val="257F7B74"/>
    <w:rsid w:val="25806428"/>
    <w:rsid w:val="259811FB"/>
    <w:rsid w:val="25BC57A4"/>
    <w:rsid w:val="25C035D6"/>
    <w:rsid w:val="25C73B97"/>
    <w:rsid w:val="25C97EC1"/>
    <w:rsid w:val="25EF119A"/>
    <w:rsid w:val="25F46511"/>
    <w:rsid w:val="25F70FA0"/>
    <w:rsid w:val="25FB733A"/>
    <w:rsid w:val="260057F1"/>
    <w:rsid w:val="26024DD2"/>
    <w:rsid w:val="26235389"/>
    <w:rsid w:val="262D48F3"/>
    <w:rsid w:val="26373012"/>
    <w:rsid w:val="264D6AED"/>
    <w:rsid w:val="26503685"/>
    <w:rsid w:val="26526108"/>
    <w:rsid w:val="266C37E1"/>
    <w:rsid w:val="268C4A2B"/>
    <w:rsid w:val="26A12BEB"/>
    <w:rsid w:val="26C14AB5"/>
    <w:rsid w:val="26C55FF8"/>
    <w:rsid w:val="26D75880"/>
    <w:rsid w:val="26F44914"/>
    <w:rsid w:val="270C5006"/>
    <w:rsid w:val="271129A2"/>
    <w:rsid w:val="275E3B84"/>
    <w:rsid w:val="277A37F6"/>
    <w:rsid w:val="2790513A"/>
    <w:rsid w:val="2793549F"/>
    <w:rsid w:val="27C65C4F"/>
    <w:rsid w:val="27D25372"/>
    <w:rsid w:val="27D715B2"/>
    <w:rsid w:val="27DB7990"/>
    <w:rsid w:val="27EF2EFE"/>
    <w:rsid w:val="28005F3A"/>
    <w:rsid w:val="284C7A64"/>
    <w:rsid w:val="28597114"/>
    <w:rsid w:val="285D2758"/>
    <w:rsid w:val="28AE444E"/>
    <w:rsid w:val="28D0376C"/>
    <w:rsid w:val="28D61A44"/>
    <w:rsid w:val="28D64338"/>
    <w:rsid w:val="28E82170"/>
    <w:rsid w:val="28F26842"/>
    <w:rsid w:val="29220014"/>
    <w:rsid w:val="293A557C"/>
    <w:rsid w:val="295528D3"/>
    <w:rsid w:val="295868A5"/>
    <w:rsid w:val="297724E5"/>
    <w:rsid w:val="29792FA1"/>
    <w:rsid w:val="29831E90"/>
    <w:rsid w:val="299A05A8"/>
    <w:rsid w:val="29BB6551"/>
    <w:rsid w:val="29D53847"/>
    <w:rsid w:val="29FD2753"/>
    <w:rsid w:val="2A0B0AA8"/>
    <w:rsid w:val="2A1B63BC"/>
    <w:rsid w:val="2A353BA1"/>
    <w:rsid w:val="2A495750"/>
    <w:rsid w:val="2A500D24"/>
    <w:rsid w:val="2A9F5D34"/>
    <w:rsid w:val="2AB065CE"/>
    <w:rsid w:val="2AB97B2D"/>
    <w:rsid w:val="2ABF3756"/>
    <w:rsid w:val="2AC95608"/>
    <w:rsid w:val="2AFD0939"/>
    <w:rsid w:val="2B1E2CD9"/>
    <w:rsid w:val="2B263FD6"/>
    <w:rsid w:val="2B3541FF"/>
    <w:rsid w:val="2B361B54"/>
    <w:rsid w:val="2B606BD1"/>
    <w:rsid w:val="2B755440"/>
    <w:rsid w:val="2B8A2967"/>
    <w:rsid w:val="2BB335FC"/>
    <w:rsid w:val="2BC87849"/>
    <w:rsid w:val="2BCA23E3"/>
    <w:rsid w:val="2BD97C4E"/>
    <w:rsid w:val="2BEA1B1B"/>
    <w:rsid w:val="2C0C498C"/>
    <w:rsid w:val="2C815113"/>
    <w:rsid w:val="2C8D37A6"/>
    <w:rsid w:val="2D1141EC"/>
    <w:rsid w:val="2D3E73E6"/>
    <w:rsid w:val="2D564262"/>
    <w:rsid w:val="2D5C40EB"/>
    <w:rsid w:val="2D5F2942"/>
    <w:rsid w:val="2D632BEE"/>
    <w:rsid w:val="2D791BE1"/>
    <w:rsid w:val="2D82216F"/>
    <w:rsid w:val="2DD25A45"/>
    <w:rsid w:val="2DEF5BEF"/>
    <w:rsid w:val="2E023E2F"/>
    <w:rsid w:val="2E0668C0"/>
    <w:rsid w:val="2E0D40BC"/>
    <w:rsid w:val="2E211088"/>
    <w:rsid w:val="2E2500D0"/>
    <w:rsid w:val="2E331F1E"/>
    <w:rsid w:val="2E3D7C10"/>
    <w:rsid w:val="2E4A0E5F"/>
    <w:rsid w:val="2E8448AA"/>
    <w:rsid w:val="2EDC2E0C"/>
    <w:rsid w:val="2EFA6FCF"/>
    <w:rsid w:val="2F012479"/>
    <w:rsid w:val="2F055D47"/>
    <w:rsid w:val="2F13598F"/>
    <w:rsid w:val="2F261C13"/>
    <w:rsid w:val="2F3B516A"/>
    <w:rsid w:val="2F5E46DA"/>
    <w:rsid w:val="2F772603"/>
    <w:rsid w:val="2F7D2448"/>
    <w:rsid w:val="2F911AB3"/>
    <w:rsid w:val="2F993153"/>
    <w:rsid w:val="2FAD5640"/>
    <w:rsid w:val="2FEE790A"/>
    <w:rsid w:val="2FEF1163"/>
    <w:rsid w:val="30240473"/>
    <w:rsid w:val="30244C7E"/>
    <w:rsid w:val="30444C5C"/>
    <w:rsid w:val="305A402F"/>
    <w:rsid w:val="305D07E5"/>
    <w:rsid w:val="305E56A9"/>
    <w:rsid w:val="3088782E"/>
    <w:rsid w:val="30953DC7"/>
    <w:rsid w:val="30A26951"/>
    <w:rsid w:val="30A457B2"/>
    <w:rsid w:val="30AC28B9"/>
    <w:rsid w:val="30B95899"/>
    <w:rsid w:val="30C37708"/>
    <w:rsid w:val="30D16543"/>
    <w:rsid w:val="31046691"/>
    <w:rsid w:val="31077938"/>
    <w:rsid w:val="31160BF5"/>
    <w:rsid w:val="311D5115"/>
    <w:rsid w:val="3144389B"/>
    <w:rsid w:val="314853E3"/>
    <w:rsid w:val="314B20D2"/>
    <w:rsid w:val="315D5750"/>
    <w:rsid w:val="31960C4B"/>
    <w:rsid w:val="319B2A9F"/>
    <w:rsid w:val="31AA22F7"/>
    <w:rsid w:val="31B163D9"/>
    <w:rsid w:val="31C40318"/>
    <w:rsid w:val="31C925F6"/>
    <w:rsid w:val="31DF1D1E"/>
    <w:rsid w:val="31E670AA"/>
    <w:rsid w:val="32166465"/>
    <w:rsid w:val="323B4196"/>
    <w:rsid w:val="32584AA6"/>
    <w:rsid w:val="32830708"/>
    <w:rsid w:val="328E675F"/>
    <w:rsid w:val="329541E0"/>
    <w:rsid w:val="329841E7"/>
    <w:rsid w:val="329C4D7E"/>
    <w:rsid w:val="32CB5D2E"/>
    <w:rsid w:val="32F9525C"/>
    <w:rsid w:val="330A16A6"/>
    <w:rsid w:val="3315481B"/>
    <w:rsid w:val="3329346F"/>
    <w:rsid w:val="33550FE6"/>
    <w:rsid w:val="33656EB8"/>
    <w:rsid w:val="337F1341"/>
    <w:rsid w:val="339A20D3"/>
    <w:rsid w:val="33A86206"/>
    <w:rsid w:val="33BD0E29"/>
    <w:rsid w:val="33F20B3C"/>
    <w:rsid w:val="340A1DD0"/>
    <w:rsid w:val="340C5B48"/>
    <w:rsid w:val="34164C19"/>
    <w:rsid w:val="345938DF"/>
    <w:rsid w:val="3473418A"/>
    <w:rsid w:val="348C0414"/>
    <w:rsid w:val="34B41E68"/>
    <w:rsid w:val="34C91C8B"/>
    <w:rsid w:val="350A71B3"/>
    <w:rsid w:val="35947402"/>
    <w:rsid w:val="359C4FAE"/>
    <w:rsid w:val="35B1581E"/>
    <w:rsid w:val="35F31DE1"/>
    <w:rsid w:val="36085936"/>
    <w:rsid w:val="361C41BB"/>
    <w:rsid w:val="3621205E"/>
    <w:rsid w:val="362F1850"/>
    <w:rsid w:val="36527A5E"/>
    <w:rsid w:val="365517B3"/>
    <w:rsid w:val="36576524"/>
    <w:rsid w:val="36685E6C"/>
    <w:rsid w:val="366A1DB6"/>
    <w:rsid w:val="367C3E04"/>
    <w:rsid w:val="367E0853"/>
    <w:rsid w:val="36855192"/>
    <w:rsid w:val="36A5709A"/>
    <w:rsid w:val="36C167E9"/>
    <w:rsid w:val="36E95B17"/>
    <w:rsid w:val="37182B05"/>
    <w:rsid w:val="372B3A29"/>
    <w:rsid w:val="373A775C"/>
    <w:rsid w:val="37481768"/>
    <w:rsid w:val="374B0B70"/>
    <w:rsid w:val="37675CC6"/>
    <w:rsid w:val="37904E43"/>
    <w:rsid w:val="37911878"/>
    <w:rsid w:val="37C937A0"/>
    <w:rsid w:val="37E83995"/>
    <w:rsid w:val="37F56F40"/>
    <w:rsid w:val="37FD6D6A"/>
    <w:rsid w:val="381415D1"/>
    <w:rsid w:val="381D2420"/>
    <w:rsid w:val="38257E7A"/>
    <w:rsid w:val="382C1723"/>
    <w:rsid w:val="386F2B4A"/>
    <w:rsid w:val="38773F99"/>
    <w:rsid w:val="387B329C"/>
    <w:rsid w:val="388A5A2C"/>
    <w:rsid w:val="38952C5B"/>
    <w:rsid w:val="38C11AB3"/>
    <w:rsid w:val="38C155E6"/>
    <w:rsid w:val="38CC54BF"/>
    <w:rsid w:val="38FD39D0"/>
    <w:rsid w:val="38FE4ED7"/>
    <w:rsid w:val="391159AF"/>
    <w:rsid w:val="391D07F7"/>
    <w:rsid w:val="392D1629"/>
    <w:rsid w:val="394566AE"/>
    <w:rsid w:val="395D3554"/>
    <w:rsid w:val="3968150D"/>
    <w:rsid w:val="397013DD"/>
    <w:rsid w:val="3980150F"/>
    <w:rsid w:val="398208CC"/>
    <w:rsid w:val="39E4095F"/>
    <w:rsid w:val="3A013C75"/>
    <w:rsid w:val="3A414072"/>
    <w:rsid w:val="3AE81A6E"/>
    <w:rsid w:val="3AF630AE"/>
    <w:rsid w:val="3B015288"/>
    <w:rsid w:val="3B0C28D2"/>
    <w:rsid w:val="3B196D9D"/>
    <w:rsid w:val="3B344CD8"/>
    <w:rsid w:val="3B3D004C"/>
    <w:rsid w:val="3B7905A1"/>
    <w:rsid w:val="3B7B004E"/>
    <w:rsid w:val="3B7B707A"/>
    <w:rsid w:val="3BBC395B"/>
    <w:rsid w:val="3BC904B1"/>
    <w:rsid w:val="3BC92571"/>
    <w:rsid w:val="3BD33FA3"/>
    <w:rsid w:val="3BD74F92"/>
    <w:rsid w:val="3C007F4C"/>
    <w:rsid w:val="3C15630D"/>
    <w:rsid w:val="3C243C4B"/>
    <w:rsid w:val="3C3F76BF"/>
    <w:rsid w:val="3C3F7EC2"/>
    <w:rsid w:val="3C484929"/>
    <w:rsid w:val="3C792F3C"/>
    <w:rsid w:val="3C9C1A6D"/>
    <w:rsid w:val="3CAD0156"/>
    <w:rsid w:val="3CD21537"/>
    <w:rsid w:val="3CE60EFD"/>
    <w:rsid w:val="3D0F5EB3"/>
    <w:rsid w:val="3D205459"/>
    <w:rsid w:val="3D22462E"/>
    <w:rsid w:val="3D244EFB"/>
    <w:rsid w:val="3D322EB2"/>
    <w:rsid w:val="3D4309DE"/>
    <w:rsid w:val="3D4F503A"/>
    <w:rsid w:val="3D8119E1"/>
    <w:rsid w:val="3D842BF3"/>
    <w:rsid w:val="3DA212CB"/>
    <w:rsid w:val="3DEE00A9"/>
    <w:rsid w:val="3DFB18CB"/>
    <w:rsid w:val="3E040213"/>
    <w:rsid w:val="3E275FD3"/>
    <w:rsid w:val="3E30420A"/>
    <w:rsid w:val="3E66054B"/>
    <w:rsid w:val="3E704829"/>
    <w:rsid w:val="3E740EBA"/>
    <w:rsid w:val="3E9978BB"/>
    <w:rsid w:val="3E9A3E0E"/>
    <w:rsid w:val="3EAD7F28"/>
    <w:rsid w:val="3EB718F8"/>
    <w:rsid w:val="3EC534C3"/>
    <w:rsid w:val="3ED425CA"/>
    <w:rsid w:val="3ED45193"/>
    <w:rsid w:val="3EEB2EF5"/>
    <w:rsid w:val="3EF70024"/>
    <w:rsid w:val="3F50508E"/>
    <w:rsid w:val="3F67021B"/>
    <w:rsid w:val="3FA27361"/>
    <w:rsid w:val="3FB203FC"/>
    <w:rsid w:val="3FBF7FE5"/>
    <w:rsid w:val="3FD17C46"/>
    <w:rsid w:val="3FDA5EFC"/>
    <w:rsid w:val="3FE200A5"/>
    <w:rsid w:val="3FE77469"/>
    <w:rsid w:val="3FEA0D08"/>
    <w:rsid w:val="3FEB2B80"/>
    <w:rsid w:val="3FFA553C"/>
    <w:rsid w:val="40047944"/>
    <w:rsid w:val="4017557D"/>
    <w:rsid w:val="4038683A"/>
    <w:rsid w:val="4090365D"/>
    <w:rsid w:val="40F04478"/>
    <w:rsid w:val="410F6482"/>
    <w:rsid w:val="411D3078"/>
    <w:rsid w:val="41340A4E"/>
    <w:rsid w:val="4150248A"/>
    <w:rsid w:val="41675207"/>
    <w:rsid w:val="41873F12"/>
    <w:rsid w:val="419C30A4"/>
    <w:rsid w:val="41F55462"/>
    <w:rsid w:val="420009C0"/>
    <w:rsid w:val="423A5F76"/>
    <w:rsid w:val="42472441"/>
    <w:rsid w:val="424C3BD8"/>
    <w:rsid w:val="4271244E"/>
    <w:rsid w:val="427B20EB"/>
    <w:rsid w:val="427B3FBA"/>
    <w:rsid w:val="428E39C3"/>
    <w:rsid w:val="42983F39"/>
    <w:rsid w:val="42C9066E"/>
    <w:rsid w:val="42E270DF"/>
    <w:rsid w:val="42E36CBD"/>
    <w:rsid w:val="42EA61D2"/>
    <w:rsid w:val="42F500EF"/>
    <w:rsid w:val="4316276F"/>
    <w:rsid w:val="431C742A"/>
    <w:rsid w:val="43211C2C"/>
    <w:rsid w:val="4339604F"/>
    <w:rsid w:val="437D7E19"/>
    <w:rsid w:val="438E18CE"/>
    <w:rsid w:val="43AA3D58"/>
    <w:rsid w:val="43BC5191"/>
    <w:rsid w:val="43C946B8"/>
    <w:rsid w:val="43DC074E"/>
    <w:rsid w:val="43EB7CB1"/>
    <w:rsid w:val="43F174B1"/>
    <w:rsid w:val="44070C17"/>
    <w:rsid w:val="440972A9"/>
    <w:rsid w:val="44134CD1"/>
    <w:rsid w:val="44135BE3"/>
    <w:rsid w:val="441D5267"/>
    <w:rsid w:val="4426347E"/>
    <w:rsid w:val="442709DF"/>
    <w:rsid w:val="444906F3"/>
    <w:rsid w:val="444E4ECD"/>
    <w:rsid w:val="445175A7"/>
    <w:rsid w:val="44551074"/>
    <w:rsid w:val="44827761"/>
    <w:rsid w:val="44990819"/>
    <w:rsid w:val="44BD3738"/>
    <w:rsid w:val="44BF33CC"/>
    <w:rsid w:val="44FA7100"/>
    <w:rsid w:val="44FF2D1E"/>
    <w:rsid w:val="450A36FF"/>
    <w:rsid w:val="45867ACB"/>
    <w:rsid w:val="458B43C2"/>
    <w:rsid w:val="459260C9"/>
    <w:rsid w:val="45EA5975"/>
    <w:rsid w:val="45FF7429"/>
    <w:rsid w:val="460B6CA9"/>
    <w:rsid w:val="46252A99"/>
    <w:rsid w:val="462840D4"/>
    <w:rsid w:val="462B61DA"/>
    <w:rsid w:val="464B2038"/>
    <w:rsid w:val="464C0C8D"/>
    <w:rsid w:val="465E2D0C"/>
    <w:rsid w:val="46AB6E13"/>
    <w:rsid w:val="46BC6301"/>
    <w:rsid w:val="46DA1B01"/>
    <w:rsid w:val="46EE2C03"/>
    <w:rsid w:val="4738479E"/>
    <w:rsid w:val="479136A3"/>
    <w:rsid w:val="4795234F"/>
    <w:rsid w:val="47A97FE0"/>
    <w:rsid w:val="47AD2523"/>
    <w:rsid w:val="47BF35B7"/>
    <w:rsid w:val="47C827EA"/>
    <w:rsid w:val="47CB297E"/>
    <w:rsid w:val="47CE0483"/>
    <w:rsid w:val="47FB7F56"/>
    <w:rsid w:val="47FC1DD2"/>
    <w:rsid w:val="480B5320"/>
    <w:rsid w:val="480F01EE"/>
    <w:rsid w:val="483763CC"/>
    <w:rsid w:val="483E778C"/>
    <w:rsid w:val="48502253"/>
    <w:rsid w:val="485B6CEA"/>
    <w:rsid w:val="48832D0E"/>
    <w:rsid w:val="48F36003"/>
    <w:rsid w:val="49020B98"/>
    <w:rsid w:val="4915732B"/>
    <w:rsid w:val="491B3510"/>
    <w:rsid w:val="498E5DD8"/>
    <w:rsid w:val="49A94662"/>
    <w:rsid w:val="49D54040"/>
    <w:rsid w:val="4A677B24"/>
    <w:rsid w:val="4A6A6B40"/>
    <w:rsid w:val="4A761B16"/>
    <w:rsid w:val="4A77396B"/>
    <w:rsid w:val="4A7D741D"/>
    <w:rsid w:val="4A8E50B1"/>
    <w:rsid w:val="4AAB2C5C"/>
    <w:rsid w:val="4AEB0BDB"/>
    <w:rsid w:val="4B26420F"/>
    <w:rsid w:val="4B7D1244"/>
    <w:rsid w:val="4BB42B71"/>
    <w:rsid w:val="4BC13264"/>
    <w:rsid w:val="4BC82297"/>
    <w:rsid w:val="4BF72E26"/>
    <w:rsid w:val="4BFF7513"/>
    <w:rsid w:val="4C054D1E"/>
    <w:rsid w:val="4C100454"/>
    <w:rsid w:val="4C3573BB"/>
    <w:rsid w:val="4C6650C3"/>
    <w:rsid w:val="4C672CB5"/>
    <w:rsid w:val="4CA7375F"/>
    <w:rsid w:val="4CB24063"/>
    <w:rsid w:val="4CC67345"/>
    <w:rsid w:val="4CE52F83"/>
    <w:rsid w:val="4CF92213"/>
    <w:rsid w:val="4D3D691B"/>
    <w:rsid w:val="4D3E1A6B"/>
    <w:rsid w:val="4D4F1E9F"/>
    <w:rsid w:val="4D6363BA"/>
    <w:rsid w:val="4D8616BC"/>
    <w:rsid w:val="4D891B60"/>
    <w:rsid w:val="4DA51D35"/>
    <w:rsid w:val="4DB87D4A"/>
    <w:rsid w:val="4DDD2187"/>
    <w:rsid w:val="4E1C1FD6"/>
    <w:rsid w:val="4E2F2707"/>
    <w:rsid w:val="4E404AD8"/>
    <w:rsid w:val="4E712D20"/>
    <w:rsid w:val="4E775E5C"/>
    <w:rsid w:val="4EAD5D22"/>
    <w:rsid w:val="4EB8542A"/>
    <w:rsid w:val="4EC4298E"/>
    <w:rsid w:val="4EC70BDC"/>
    <w:rsid w:val="4ECF52B4"/>
    <w:rsid w:val="4F015C8B"/>
    <w:rsid w:val="4F1E6484"/>
    <w:rsid w:val="4F8151E4"/>
    <w:rsid w:val="4F874A89"/>
    <w:rsid w:val="4FB56C3C"/>
    <w:rsid w:val="501179F4"/>
    <w:rsid w:val="5012408F"/>
    <w:rsid w:val="50145844"/>
    <w:rsid w:val="501A2F43"/>
    <w:rsid w:val="501F4673"/>
    <w:rsid w:val="50215780"/>
    <w:rsid w:val="504479D5"/>
    <w:rsid w:val="509C1BAA"/>
    <w:rsid w:val="50D9676D"/>
    <w:rsid w:val="50DC542C"/>
    <w:rsid w:val="50E30366"/>
    <w:rsid w:val="50EF43D0"/>
    <w:rsid w:val="51017AA5"/>
    <w:rsid w:val="51031C29"/>
    <w:rsid w:val="51145008"/>
    <w:rsid w:val="51237D2E"/>
    <w:rsid w:val="51312DC8"/>
    <w:rsid w:val="515E3DC9"/>
    <w:rsid w:val="516426AE"/>
    <w:rsid w:val="517F163A"/>
    <w:rsid w:val="51B634FF"/>
    <w:rsid w:val="51BA0D61"/>
    <w:rsid w:val="51BE2AE7"/>
    <w:rsid w:val="51C42877"/>
    <w:rsid w:val="5217635C"/>
    <w:rsid w:val="52264E31"/>
    <w:rsid w:val="522D077A"/>
    <w:rsid w:val="523715B2"/>
    <w:rsid w:val="52735675"/>
    <w:rsid w:val="52786D52"/>
    <w:rsid w:val="527903F5"/>
    <w:rsid w:val="5297144C"/>
    <w:rsid w:val="52B54C41"/>
    <w:rsid w:val="52B710BD"/>
    <w:rsid w:val="52C81FB4"/>
    <w:rsid w:val="52D016EC"/>
    <w:rsid w:val="52E55808"/>
    <w:rsid w:val="52E60C3C"/>
    <w:rsid w:val="52F57665"/>
    <w:rsid w:val="531E5E15"/>
    <w:rsid w:val="53211D72"/>
    <w:rsid w:val="535D700B"/>
    <w:rsid w:val="536D1530"/>
    <w:rsid w:val="539D3D4B"/>
    <w:rsid w:val="539D45B7"/>
    <w:rsid w:val="539F1CCA"/>
    <w:rsid w:val="53B06098"/>
    <w:rsid w:val="53D33AE8"/>
    <w:rsid w:val="54107AB0"/>
    <w:rsid w:val="54240DAD"/>
    <w:rsid w:val="543C5B7E"/>
    <w:rsid w:val="54443F68"/>
    <w:rsid w:val="546B5BA7"/>
    <w:rsid w:val="548158A2"/>
    <w:rsid w:val="54905ECA"/>
    <w:rsid w:val="54AD4F9B"/>
    <w:rsid w:val="54AF548D"/>
    <w:rsid w:val="54C447A6"/>
    <w:rsid w:val="54D758A7"/>
    <w:rsid w:val="54DA3F9A"/>
    <w:rsid w:val="54FB6EEE"/>
    <w:rsid w:val="55025FE7"/>
    <w:rsid w:val="55131927"/>
    <w:rsid w:val="551A0595"/>
    <w:rsid w:val="556748CE"/>
    <w:rsid w:val="55B31E70"/>
    <w:rsid w:val="55C72C39"/>
    <w:rsid w:val="56245862"/>
    <w:rsid w:val="564C5ABC"/>
    <w:rsid w:val="564F417D"/>
    <w:rsid w:val="565B4ECA"/>
    <w:rsid w:val="5682199A"/>
    <w:rsid w:val="56846F19"/>
    <w:rsid w:val="56921A80"/>
    <w:rsid w:val="56A72495"/>
    <w:rsid w:val="56DA0D69"/>
    <w:rsid w:val="57400900"/>
    <w:rsid w:val="5767342F"/>
    <w:rsid w:val="577D037F"/>
    <w:rsid w:val="578228A7"/>
    <w:rsid w:val="57B11E3C"/>
    <w:rsid w:val="57CC5CAE"/>
    <w:rsid w:val="57EB56D6"/>
    <w:rsid w:val="57F959E4"/>
    <w:rsid w:val="5822501F"/>
    <w:rsid w:val="582F5826"/>
    <w:rsid w:val="583D2B70"/>
    <w:rsid w:val="58426493"/>
    <w:rsid w:val="584E609C"/>
    <w:rsid w:val="585F6C8B"/>
    <w:rsid w:val="589D3466"/>
    <w:rsid w:val="58B91621"/>
    <w:rsid w:val="59182AB1"/>
    <w:rsid w:val="592D76C1"/>
    <w:rsid w:val="59387AFE"/>
    <w:rsid w:val="59406F14"/>
    <w:rsid w:val="594A4899"/>
    <w:rsid w:val="59577243"/>
    <w:rsid w:val="596A1801"/>
    <w:rsid w:val="597652F4"/>
    <w:rsid w:val="59822B2E"/>
    <w:rsid w:val="5987623B"/>
    <w:rsid w:val="59AC5554"/>
    <w:rsid w:val="59B14A34"/>
    <w:rsid w:val="59B202E5"/>
    <w:rsid w:val="59C06B4D"/>
    <w:rsid w:val="59C2776E"/>
    <w:rsid w:val="59C7656E"/>
    <w:rsid w:val="59CD1E58"/>
    <w:rsid w:val="59D416F7"/>
    <w:rsid w:val="59E466A1"/>
    <w:rsid w:val="59E57661"/>
    <w:rsid w:val="5A1153B7"/>
    <w:rsid w:val="5A2971D5"/>
    <w:rsid w:val="5A410F8B"/>
    <w:rsid w:val="5A4F2376"/>
    <w:rsid w:val="5A5163E1"/>
    <w:rsid w:val="5A52249D"/>
    <w:rsid w:val="5A65043E"/>
    <w:rsid w:val="5A6D6A4B"/>
    <w:rsid w:val="5A713C36"/>
    <w:rsid w:val="5A8221D4"/>
    <w:rsid w:val="5AA3629C"/>
    <w:rsid w:val="5B051000"/>
    <w:rsid w:val="5B0B133D"/>
    <w:rsid w:val="5B1964E9"/>
    <w:rsid w:val="5B81656C"/>
    <w:rsid w:val="5B95248A"/>
    <w:rsid w:val="5BD26DC8"/>
    <w:rsid w:val="5BFB4B60"/>
    <w:rsid w:val="5C4016FA"/>
    <w:rsid w:val="5C722096"/>
    <w:rsid w:val="5C7B7C9F"/>
    <w:rsid w:val="5C8739A4"/>
    <w:rsid w:val="5CAE0156"/>
    <w:rsid w:val="5D111CD1"/>
    <w:rsid w:val="5D41122D"/>
    <w:rsid w:val="5D572A0E"/>
    <w:rsid w:val="5DF046EC"/>
    <w:rsid w:val="5DF23751"/>
    <w:rsid w:val="5E8F6413"/>
    <w:rsid w:val="5E924432"/>
    <w:rsid w:val="5EC57323"/>
    <w:rsid w:val="5EC8779A"/>
    <w:rsid w:val="5EDA6F7A"/>
    <w:rsid w:val="5EDD7F5D"/>
    <w:rsid w:val="5EF552A7"/>
    <w:rsid w:val="5EF65CF6"/>
    <w:rsid w:val="5F16521D"/>
    <w:rsid w:val="5F197C4F"/>
    <w:rsid w:val="5F1C2982"/>
    <w:rsid w:val="5F1E1A9B"/>
    <w:rsid w:val="5F2257A1"/>
    <w:rsid w:val="5F2676EC"/>
    <w:rsid w:val="5F2E07B9"/>
    <w:rsid w:val="5F41229A"/>
    <w:rsid w:val="5F7563E8"/>
    <w:rsid w:val="5F8B2DBD"/>
    <w:rsid w:val="5F91358A"/>
    <w:rsid w:val="5FA7610A"/>
    <w:rsid w:val="5FF54244"/>
    <w:rsid w:val="5FF90DC7"/>
    <w:rsid w:val="60000F7A"/>
    <w:rsid w:val="60274598"/>
    <w:rsid w:val="60287AD6"/>
    <w:rsid w:val="60840720"/>
    <w:rsid w:val="60854C00"/>
    <w:rsid w:val="60903D93"/>
    <w:rsid w:val="60910CE5"/>
    <w:rsid w:val="60BD5F46"/>
    <w:rsid w:val="60C23A9B"/>
    <w:rsid w:val="60F4061E"/>
    <w:rsid w:val="61206B40"/>
    <w:rsid w:val="613912D7"/>
    <w:rsid w:val="616A1E73"/>
    <w:rsid w:val="617027D7"/>
    <w:rsid w:val="619012B7"/>
    <w:rsid w:val="61951841"/>
    <w:rsid w:val="619F599E"/>
    <w:rsid w:val="61D41433"/>
    <w:rsid w:val="61DA78D5"/>
    <w:rsid w:val="61E436CF"/>
    <w:rsid w:val="61EF6D90"/>
    <w:rsid w:val="61F335F4"/>
    <w:rsid w:val="621C0D9D"/>
    <w:rsid w:val="62377324"/>
    <w:rsid w:val="62441245"/>
    <w:rsid w:val="626A095D"/>
    <w:rsid w:val="627849BE"/>
    <w:rsid w:val="629D3BCD"/>
    <w:rsid w:val="62A36DC8"/>
    <w:rsid w:val="62B77247"/>
    <w:rsid w:val="62BE7CE4"/>
    <w:rsid w:val="62F86944"/>
    <w:rsid w:val="63220E00"/>
    <w:rsid w:val="63894829"/>
    <w:rsid w:val="63A364D4"/>
    <w:rsid w:val="63B00D06"/>
    <w:rsid w:val="63B07F6B"/>
    <w:rsid w:val="63B2172B"/>
    <w:rsid w:val="63D556A7"/>
    <w:rsid w:val="63E42E9C"/>
    <w:rsid w:val="64052ED5"/>
    <w:rsid w:val="64130043"/>
    <w:rsid w:val="641D2B0A"/>
    <w:rsid w:val="642B176B"/>
    <w:rsid w:val="64590086"/>
    <w:rsid w:val="646D520A"/>
    <w:rsid w:val="64735642"/>
    <w:rsid w:val="647B5A3E"/>
    <w:rsid w:val="648229AA"/>
    <w:rsid w:val="64AB15F6"/>
    <w:rsid w:val="64B01275"/>
    <w:rsid w:val="64E160F6"/>
    <w:rsid w:val="65246A81"/>
    <w:rsid w:val="65253C8D"/>
    <w:rsid w:val="65321B51"/>
    <w:rsid w:val="65396C2F"/>
    <w:rsid w:val="658417C1"/>
    <w:rsid w:val="65A5714B"/>
    <w:rsid w:val="65AA4FF6"/>
    <w:rsid w:val="65C935D4"/>
    <w:rsid w:val="663B272F"/>
    <w:rsid w:val="664457FD"/>
    <w:rsid w:val="66513129"/>
    <w:rsid w:val="666F593F"/>
    <w:rsid w:val="66996528"/>
    <w:rsid w:val="66AB5658"/>
    <w:rsid w:val="66EA1A61"/>
    <w:rsid w:val="67065B78"/>
    <w:rsid w:val="67414C88"/>
    <w:rsid w:val="6742204A"/>
    <w:rsid w:val="674A6080"/>
    <w:rsid w:val="675E1ABC"/>
    <w:rsid w:val="679624A2"/>
    <w:rsid w:val="67A90E9E"/>
    <w:rsid w:val="67D602B8"/>
    <w:rsid w:val="67D66A84"/>
    <w:rsid w:val="67EF65F6"/>
    <w:rsid w:val="68096B11"/>
    <w:rsid w:val="682C730C"/>
    <w:rsid w:val="68786A44"/>
    <w:rsid w:val="689452D9"/>
    <w:rsid w:val="689B0FB7"/>
    <w:rsid w:val="68A47333"/>
    <w:rsid w:val="68F10632"/>
    <w:rsid w:val="68F60D08"/>
    <w:rsid w:val="698A0D78"/>
    <w:rsid w:val="6996500F"/>
    <w:rsid w:val="699975CE"/>
    <w:rsid w:val="699D2591"/>
    <w:rsid w:val="69CC657A"/>
    <w:rsid w:val="69D5589A"/>
    <w:rsid w:val="69FB4D5E"/>
    <w:rsid w:val="6A004B79"/>
    <w:rsid w:val="6A1B22D5"/>
    <w:rsid w:val="6A1C0D2E"/>
    <w:rsid w:val="6A267CD2"/>
    <w:rsid w:val="6AC00E2F"/>
    <w:rsid w:val="6ACF2E50"/>
    <w:rsid w:val="6AD157B4"/>
    <w:rsid w:val="6AD62638"/>
    <w:rsid w:val="6AE04824"/>
    <w:rsid w:val="6AEC2BE1"/>
    <w:rsid w:val="6AFF42B9"/>
    <w:rsid w:val="6B103058"/>
    <w:rsid w:val="6B1271E1"/>
    <w:rsid w:val="6B3A6F10"/>
    <w:rsid w:val="6B613709"/>
    <w:rsid w:val="6B6D2669"/>
    <w:rsid w:val="6BB26D9B"/>
    <w:rsid w:val="6BB65A4C"/>
    <w:rsid w:val="6BF80248"/>
    <w:rsid w:val="6BFE3EA7"/>
    <w:rsid w:val="6C117E74"/>
    <w:rsid w:val="6C7F4281"/>
    <w:rsid w:val="6CB12995"/>
    <w:rsid w:val="6CB20FC3"/>
    <w:rsid w:val="6CFA7F2C"/>
    <w:rsid w:val="6CFC5A53"/>
    <w:rsid w:val="6D0F5E8A"/>
    <w:rsid w:val="6D1728E2"/>
    <w:rsid w:val="6D1B05CF"/>
    <w:rsid w:val="6D2418FE"/>
    <w:rsid w:val="6D3B0DAB"/>
    <w:rsid w:val="6D4B2536"/>
    <w:rsid w:val="6D68698A"/>
    <w:rsid w:val="6D7D3037"/>
    <w:rsid w:val="6D802ADC"/>
    <w:rsid w:val="6DAA6F8A"/>
    <w:rsid w:val="6DB10A89"/>
    <w:rsid w:val="6DB66549"/>
    <w:rsid w:val="6DB825C8"/>
    <w:rsid w:val="6DC74423"/>
    <w:rsid w:val="6DD42767"/>
    <w:rsid w:val="6DE20FC8"/>
    <w:rsid w:val="6E04560B"/>
    <w:rsid w:val="6E0E4E54"/>
    <w:rsid w:val="6E102F0C"/>
    <w:rsid w:val="6E117526"/>
    <w:rsid w:val="6E253514"/>
    <w:rsid w:val="6E3631E6"/>
    <w:rsid w:val="6E4D24AD"/>
    <w:rsid w:val="6E900B48"/>
    <w:rsid w:val="6E9166D2"/>
    <w:rsid w:val="6EA25D92"/>
    <w:rsid w:val="6EA42846"/>
    <w:rsid w:val="6EA47180"/>
    <w:rsid w:val="6EB62E1C"/>
    <w:rsid w:val="6EC627BC"/>
    <w:rsid w:val="6EDA78D5"/>
    <w:rsid w:val="6EDC7BCE"/>
    <w:rsid w:val="6EDE6545"/>
    <w:rsid w:val="6F470DF9"/>
    <w:rsid w:val="6F5A24B5"/>
    <w:rsid w:val="6F673E96"/>
    <w:rsid w:val="6FB40867"/>
    <w:rsid w:val="6FD22404"/>
    <w:rsid w:val="6FD82275"/>
    <w:rsid w:val="6FED3D79"/>
    <w:rsid w:val="70055957"/>
    <w:rsid w:val="700F1F41"/>
    <w:rsid w:val="70100E50"/>
    <w:rsid w:val="7012236E"/>
    <w:rsid w:val="70185002"/>
    <w:rsid w:val="701A0E4D"/>
    <w:rsid w:val="701D2788"/>
    <w:rsid w:val="70223DA8"/>
    <w:rsid w:val="70227B46"/>
    <w:rsid w:val="702C0D85"/>
    <w:rsid w:val="70342F3B"/>
    <w:rsid w:val="704479B8"/>
    <w:rsid w:val="70504184"/>
    <w:rsid w:val="70725FD7"/>
    <w:rsid w:val="708D1C3B"/>
    <w:rsid w:val="70AB3F2A"/>
    <w:rsid w:val="70AF058D"/>
    <w:rsid w:val="70B731A1"/>
    <w:rsid w:val="70FE448F"/>
    <w:rsid w:val="710366B1"/>
    <w:rsid w:val="710E57E7"/>
    <w:rsid w:val="71106E6A"/>
    <w:rsid w:val="712437CA"/>
    <w:rsid w:val="713D4B76"/>
    <w:rsid w:val="716167CC"/>
    <w:rsid w:val="71714B46"/>
    <w:rsid w:val="717F7A82"/>
    <w:rsid w:val="718A5D23"/>
    <w:rsid w:val="71A072F4"/>
    <w:rsid w:val="71E35E3A"/>
    <w:rsid w:val="71E50EF9"/>
    <w:rsid w:val="71EE2BAD"/>
    <w:rsid w:val="72041516"/>
    <w:rsid w:val="722F3A29"/>
    <w:rsid w:val="72401A80"/>
    <w:rsid w:val="72514A93"/>
    <w:rsid w:val="72907369"/>
    <w:rsid w:val="729A58D7"/>
    <w:rsid w:val="72AD6A7D"/>
    <w:rsid w:val="72B41F7D"/>
    <w:rsid w:val="72DF3E4C"/>
    <w:rsid w:val="72E70F53"/>
    <w:rsid w:val="72F33635"/>
    <w:rsid w:val="73171838"/>
    <w:rsid w:val="73216E7D"/>
    <w:rsid w:val="73356455"/>
    <w:rsid w:val="733B7100"/>
    <w:rsid w:val="7369527B"/>
    <w:rsid w:val="73721CEB"/>
    <w:rsid w:val="738A079E"/>
    <w:rsid w:val="73B7048E"/>
    <w:rsid w:val="73D335FD"/>
    <w:rsid w:val="73EB6821"/>
    <w:rsid w:val="74167450"/>
    <w:rsid w:val="741B5358"/>
    <w:rsid w:val="744018AC"/>
    <w:rsid w:val="745F5D54"/>
    <w:rsid w:val="74640AAD"/>
    <w:rsid w:val="74667432"/>
    <w:rsid w:val="746B00C6"/>
    <w:rsid w:val="747824F2"/>
    <w:rsid w:val="748C3B60"/>
    <w:rsid w:val="74982505"/>
    <w:rsid w:val="74B310ED"/>
    <w:rsid w:val="74B6461A"/>
    <w:rsid w:val="74BE4FE1"/>
    <w:rsid w:val="74E267D1"/>
    <w:rsid w:val="750B369D"/>
    <w:rsid w:val="751A6764"/>
    <w:rsid w:val="752678D3"/>
    <w:rsid w:val="753466FD"/>
    <w:rsid w:val="755E2D6E"/>
    <w:rsid w:val="75756FAB"/>
    <w:rsid w:val="75907552"/>
    <w:rsid w:val="75930F1E"/>
    <w:rsid w:val="75C504A2"/>
    <w:rsid w:val="75E72FAE"/>
    <w:rsid w:val="75F848F0"/>
    <w:rsid w:val="76013EC8"/>
    <w:rsid w:val="76072D30"/>
    <w:rsid w:val="762229CE"/>
    <w:rsid w:val="762E0F1B"/>
    <w:rsid w:val="762E199B"/>
    <w:rsid w:val="765C57B4"/>
    <w:rsid w:val="76726474"/>
    <w:rsid w:val="767619B0"/>
    <w:rsid w:val="769F4AAD"/>
    <w:rsid w:val="76BF2B7F"/>
    <w:rsid w:val="76C74D00"/>
    <w:rsid w:val="76F0756C"/>
    <w:rsid w:val="770C62A1"/>
    <w:rsid w:val="7711659E"/>
    <w:rsid w:val="77371B2F"/>
    <w:rsid w:val="773D7542"/>
    <w:rsid w:val="7743499C"/>
    <w:rsid w:val="774E15A1"/>
    <w:rsid w:val="775C0773"/>
    <w:rsid w:val="77743AEA"/>
    <w:rsid w:val="77877D29"/>
    <w:rsid w:val="77A26354"/>
    <w:rsid w:val="77D443C5"/>
    <w:rsid w:val="780A20A4"/>
    <w:rsid w:val="78520A6F"/>
    <w:rsid w:val="78543BF9"/>
    <w:rsid w:val="78595049"/>
    <w:rsid w:val="785D249A"/>
    <w:rsid w:val="78B26191"/>
    <w:rsid w:val="78F62B9B"/>
    <w:rsid w:val="79052D85"/>
    <w:rsid w:val="7906379B"/>
    <w:rsid w:val="790F2911"/>
    <w:rsid w:val="7945307E"/>
    <w:rsid w:val="79546330"/>
    <w:rsid w:val="797A1B91"/>
    <w:rsid w:val="7981477B"/>
    <w:rsid w:val="798E7637"/>
    <w:rsid w:val="799A6D1F"/>
    <w:rsid w:val="79A17771"/>
    <w:rsid w:val="79A906AF"/>
    <w:rsid w:val="79AD5DE4"/>
    <w:rsid w:val="79BB2117"/>
    <w:rsid w:val="79E75166"/>
    <w:rsid w:val="79E93BF5"/>
    <w:rsid w:val="79EF317B"/>
    <w:rsid w:val="7A194533"/>
    <w:rsid w:val="7A2616DD"/>
    <w:rsid w:val="7A3A2ED3"/>
    <w:rsid w:val="7A6028EC"/>
    <w:rsid w:val="7A6700BA"/>
    <w:rsid w:val="7A7023F0"/>
    <w:rsid w:val="7A7D68E0"/>
    <w:rsid w:val="7A987D30"/>
    <w:rsid w:val="7ABB26FC"/>
    <w:rsid w:val="7AE15869"/>
    <w:rsid w:val="7AEC1876"/>
    <w:rsid w:val="7AF4420D"/>
    <w:rsid w:val="7B10129F"/>
    <w:rsid w:val="7B72787F"/>
    <w:rsid w:val="7B81304F"/>
    <w:rsid w:val="7B8C6EE9"/>
    <w:rsid w:val="7B9F4C75"/>
    <w:rsid w:val="7BB314B9"/>
    <w:rsid w:val="7C1B0497"/>
    <w:rsid w:val="7C232FFC"/>
    <w:rsid w:val="7C381BCF"/>
    <w:rsid w:val="7C3B2017"/>
    <w:rsid w:val="7C416A1C"/>
    <w:rsid w:val="7C6371BB"/>
    <w:rsid w:val="7C732BC5"/>
    <w:rsid w:val="7CCF01D0"/>
    <w:rsid w:val="7CD15A50"/>
    <w:rsid w:val="7CDF2844"/>
    <w:rsid w:val="7CF442DC"/>
    <w:rsid w:val="7D13308D"/>
    <w:rsid w:val="7D262F68"/>
    <w:rsid w:val="7D2B07D9"/>
    <w:rsid w:val="7D7358BD"/>
    <w:rsid w:val="7D907520"/>
    <w:rsid w:val="7D9341B1"/>
    <w:rsid w:val="7DEF6617"/>
    <w:rsid w:val="7DF35565"/>
    <w:rsid w:val="7E1931E4"/>
    <w:rsid w:val="7E6C1134"/>
    <w:rsid w:val="7E9C0128"/>
    <w:rsid w:val="7EA9251F"/>
    <w:rsid w:val="7EB044B6"/>
    <w:rsid w:val="7EB62EF9"/>
    <w:rsid w:val="7EB723EF"/>
    <w:rsid w:val="7EBD46A6"/>
    <w:rsid w:val="7ECA710E"/>
    <w:rsid w:val="7EE10F4C"/>
    <w:rsid w:val="7F124A79"/>
    <w:rsid w:val="7F4821BB"/>
    <w:rsid w:val="7F4D0390"/>
    <w:rsid w:val="7F500F94"/>
    <w:rsid w:val="7F8C0EB8"/>
    <w:rsid w:val="7FA17FD5"/>
    <w:rsid w:val="7FA910D2"/>
    <w:rsid w:val="7FAF0DD7"/>
    <w:rsid w:val="7FE479B1"/>
    <w:rsid w:val="7FFB76F5"/>
    <w:rsid w:val="7FFD03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iPriority="99"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1"/>
      <w:lang w:val="en-US" w:eastAsia="zh-CN" w:bidi="ar-SA"/>
    </w:rPr>
  </w:style>
  <w:style w:type="paragraph" w:styleId="2">
    <w:name w:val="heading 1"/>
    <w:basedOn w:val="3"/>
    <w:next w:val="1"/>
    <w:link w:val="47"/>
    <w:autoRedefine/>
    <w:qFormat/>
    <w:uiPriority w:val="0"/>
    <w:pPr>
      <w:keepNext/>
      <w:keepLines/>
      <w:spacing w:before="340" w:after="330" w:line="240" w:lineRule="auto"/>
      <w:outlineLvl w:val="0"/>
    </w:pPr>
    <w:rPr>
      <w:rFonts w:ascii="Calibri" w:hAnsi="Calibri" w:eastAsia="华文仿宋"/>
      <w:kern w:val="44"/>
      <w:sz w:val="48"/>
      <w:szCs w:val="44"/>
    </w:rPr>
  </w:style>
  <w:style w:type="paragraph" w:styleId="4">
    <w:name w:val="heading 2"/>
    <w:basedOn w:val="1"/>
    <w:next w:val="1"/>
    <w:link w:val="48"/>
    <w:autoRedefine/>
    <w:qFormat/>
    <w:uiPriority w:val="0"/>
    <w:pPr>
      <w:keepNext/>
      <w:keepLines/>
      <w:spacing w:before="260" w:after="260" w:line="416" w:lineRule="auto"/>
      <w:outlineLvl w:val="1"/>
    </w:pPr>
    <w:rPr>
      <w:rFonts w:ascii="Arial" w:hAnsi="Arial" w:eastAsia="宋体"/>
      <w:b/>
      <w:bCs/>
      <w:kern w:val="0"/>
      <w:sz w:val="32"/>
      <w:szCs w:val="32"/>
    </w:rPr>
  </w:style>
  <w:style w:type="paragraph" w:styleId="5">
    <w:name w:val="heading 3"/>
    <w:basedOn w:val="1"/>
    <w:next w:val="1"/>
    <w:link w:val="49"/>
    <w:autoRedefine/>
    <w:qFormat/>
    <w:uiPriority w:val="0"/>
    <w:pPr>
      <w:keepNext/>
      <w:keepLines/>
      <w:widowControl/>
      <w:adjustRightInd w:val="0"/>
      <w:snapToGrid w:val="0"/>
      <w:spacing w:before="100" w:beforeAutospacing="1" w:after="100" w:afterAutospacing="1" w:line="440" w:lineRule="atLeast"/>
      <w:outlineLvl w:val="2"/>
    </w:pPr>
    <w:rPr>
      <w:rFonts w:ascii="宋体" w:hAnsi="宋体" w:eastAsia="宋体"/>
      <w:b/>
      <w:kern w:val="0"/>
      <w:sz w:val="30"/>
      <w:szCs w:val="20"/>
    </w:rPr>
  </w:style>
  <w:style w:type="paragraph" w:styleId="6">
    <w:name w:val="heading 4"/>
    <w:basedOn w:val="1"/>
    <w:next w:val="1"/>
    <w:qFormat/>
    <w:uiPriority w:val="0"/>
    <w:pPr>
      <w:keepNext/>
      <w:keepLines/>
      <w:numPr>
        <w:ilvl w:val="3"/>
        <w:numId w:val="1"/>
      </w:numPr>
      <w:spacing w:line="360" w:lineRule="auto"/>
      <w:outlineLvl w:val="3"/>
    </w:pPr>
    <w:rPr>
      <w:rFonts w:ascii="Arial" w:hAnsi="Arial"/>
      <w:b/>
      <w:bCs/>
      <w:szCs w:val="28"/>
    </w:rPr>
  </w:style>
  <w:style w:type="character" w:default="1" w:styleId="31">
    <w:name w:val="Default Paragraph Font"/>
    <w:semiHidden/>
    <w:qFormat/>
    <w:uiPriority w:val="0"/>
  </w:style>
  <w:style w:type="table" w:default="1" w:styleId="30">
    <w:name w:val="Normal Table"/>
    <w:autoRedefine/>
    <w:semiHidden/>
    <w:qFormat/>
    <w:uiPriority w:val="0"/>
    <w:tblPr>
      <w:tblCellMar>
        <w:top w:w="0" w:type="dxa"/>
        <w:left w:w="108" w:type="dxa"/>
        <w:bottom w:w="0" w:type="dxa"/>
        <w:right w:w="108" w:type="dxa"/>
      </w:tblCellMar>
    </w:tblPr>
  </w:style>
  <w:style w:type="paragraph" w:styleId="3">
    <w:name w:val="Title"/>
    <w:basedOn w:val="1"/>
    <w:qFormat/>
    <w:uiPriority w:val="0"/>
    <w:pPr>
      <w:spacing w:before="120" w:after="120" w:line="360" w:lineRule="auto"/>
      <w:jc w:val="center"/>
      <w:outlineLvl w:val="0"/>
    </w:pPr>
    <w:rPr>
      <w:rFonts w:ascii="黑体" w:hAnsi="Arial" w:eastAsia="黑体"/>
      <w:b/>
      <w:bCs/>
      <w:sz w:val="32"/>
      <w:szCs w:val="32"/>
    </w:rPr>
  </w:style>
  <w:style w:type="paragraph" w:styleId="7">
    <w:name w:val="toc 7"/>
    <w:basedOn w:val="1"/>
    <w:next w:val="1"/>
    <w:autoRedefine/>
    <w:semiHidden/>
    <w:qFormat/>
    <w:uiPriority w:val="0"/>
    <w:pPr>
      <w:ind w:left="1050"/>
      <w:jc w:val="left"/>
    </w:pPr>
    <w:rPr>
      <w:sz w:val="20"/>
      <w:szCs w:val="20"/>
    </w:rPr>
  </w:style>
  <w:style w:type="paragraph" w:styleId="8">
    <w:name w:val="Normal Indent"/>
    <w:basedOn w:val="1"/>
    <w:qFormat/>
    <w:uiPriority w:val="0"/>
    <w:pPr>
      <w:ind w:firstLine="420" w:firstLineChars="200"/>
    </w:pPr>
  </w:style>
  <w:style w:type="paragraph" w:styleId="9">
    <w:name w:val="Document Map"/>
    <w:basedOn w:val="1"/>
    <w:semiHidden/>
    <w:qFormat/>
    <w:uiPriority w:val="0"/>
    <w:pPr>
      <w:shd w:val="clear" w:color="auto" w:fill="000080"/>
    </w:pPr>
  </w:style>
  <w:style w:type="paragraph" w:styleId="10">
    <w:name w:val="Body Text"/>
    <w:basedOn w:val="1"/>
    <w:next w:val="1"/>
    <w:qFormat/>
    <w:uiPriority w:val="0"/>
    <w:pPr>
      <w:spacing w:after="120" w:afterLines="0"/>
    </w:pPr>
    <w:rPr>
      <w:rFonts w:eastAsia="宋体"/>
      <w:kern w:val="2"/>
      <w:sz w:val="21"/>
      <w:szCs w:val="24"/>
      <w:lang w:val="en-US" w:eastAsia="zh-CN" w:bidi="ar-SA"/>
    </w:rPr>
  </w:style>
  <w:style w:type="paragraph" w:styleId="11">
    <w:name w:val="Body Text Indent"/>
    <w:basedOn w:val="1"/>
    <w:autoRedefine/>
    <w:qFormat/>
    <w:uiPriority w:val="0"/>
    <w:pPr>
      <w:spacing w:after="120"/>
      <w:ind w:left="420" w:leftChars="200"/>
    </w:pPr>
  </w:style>
  <w:style w:type="paragraph" w:styleId="12">
    <w:name w:val="toc 5"/>
    <w:basedOn w:val="1"/>
    <w:next w:val="1"/>
    <w:autoRedefine/>
    <w:semiHidden/>
    <w:qFormat/>
    <w:uiPriority w:val="0"/>
    <w:pPr>
      <w:ind w:left="630"/>
      <w:jc w:val="left"/>
    </w:pPr>
    <w:rPr>
      <w:sz w:val="20"/>
      <w:szCs w:val="20"/>
    </w:rPr>
  </w:style>
  <w:style w:type="paragraph" w:styleId="13">
    <w:name w:val="toc 3"/>
    <w:basedOn w:val="1"/>
    <w:next w:val="1"/>
    <w:qFormat/>
    <w:uiPriority w:val="39"/>
    <w:pPr>
      <w:spacing w:line="360" w:lineRule="auto"/>
      <w:ind w:firstLine="200" w:firstLineChars="200"/>
    </w:pPr>
    <w:rPr>
      <w:rFonts w:eastAsia="宋体"/>
      <w:szCs w:val="20"/>
    </w:rPr>
  </w:style>
  <w:style w:type="paragraph" w:styleId="14">
    <w:name w:val="Plain Text"/>
    <w:basedOn w:val="1"/>
    <w:link w:val="50"/>
    <w:autoRedefine/>
    <w:qFormat/>
    <w:uiPriority w:val="0"/>
    <w:pPr>
      <w:adjustRightInd w:val="0"/>
      <w:snapToGrid w:val="0"/>
      <w:spacing w:before="100" w:beforeAutospacing="1" w:after="100" w:afterAutospacing="1" w:line="440" w:lineRule="atLeast"/>
      <w:ind w:firstLine="200" w:firstLineChars="200"/>
      <w:jc w:val="left"/>
    </w:pPr>
    <w:rPr>
      <w:rFonts w:ascii="宋体" w:hAnsi="Courier New" w:eastAsia="宋体"/>
      <w:sz w:val="24"/>
      <w:szCs w:val="20"/>
    </w:rPr>
  </w:style>
  <w:style w:type="paragraph" w:styleId="15">
    <w:name w:val="toc 8"/>
    <w:basedOn w:val="1"/>
    <w:next w:val="1"/>
    <w:autoRedefine/>
    <w:semiHidden/>
    <w:qFormat/>
    <w:uiPriority w:val="0"/>
    <w:pPr>
      <w:ind w:left="1260"/>
      <w:jc w:val="left"/>
    </w:pPr>
    <w:rPr>
      <w:sz w:val="20"/>
      <w:szCs w:val="20"/>
    </w:rPr>
  </w:style>
  <w:style w:type="paragraph" w:styleId="16">
    <w:name w:val="Date"/>
    <w:basedOn w:val="1"/>
    <w:next w:val="1"/>
    <w:qFormat/>
    <w:uiPriority w:val="0"/>
    <w:pPr>
      <w:ind w:left="100" w:leftChars="2500"/>
    </w:pPr>
  </w:style>
  <w:style w:type="paragraph" w:styleId="17">
    <w:name w:val="Body Text Indent 2"/>
    <w:basedOn w:val="1"/>
    <w:link w:val="51"/>
    <w:qFormat/>
    <w:uiPriority w:val="0"/>
    <w:pPr>
      <w:ind w:left="359" w:leftChars="1" w:hanging="357" w:hangingChars="119"/>
    </w:pPr>
    <w:rPr>
      <w:rFonts w:eastAsia="宋体"/>
      <w:sz w:val="30"/>
      <w:szCs w:val="30"/>
    </w:rPr>
  </w:style>
  <w:style w:type="paragraph" w:styleId="18">
    <w:name w:val="footer"/>
    <w:basedOn w:val="1"/>
    <w:link w:val="52"/>
    <w:autoRedefine/>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autoRedefine/>
    <w:qFormat/>
    <w:uiPriority w:val="39"/>
    <w:pPr>
      <w:spacing w:line="360" w:lineRule="auto"/>
    </w:pPr>
    <w:rPr>
      <w:rFonts w:ascii="宋体" w:hAnsi="宋体" w:eastAsia="宋体" w:cs="Arial"/>
      <w:bCs/>
      <w:caps/>
      <w:szCs w:val="36"/>
    </w:rPr>
  </w:style>
  <w:style w:type="paragraph" w:styleId="21">
    <w:name w:val="toc 4"/>
    <w:basedOn w:val="1"/>
    <w:next w:val="1"/>
    <w:semiHidden/>
    <w:qFormat/>
    <w:uiPriority w:val="0"/>
    <w:pPr>
      <w:ind w:left="420"/>
      <w:jc w:val="left"/>
    </w:pPr>
    <w:rPr>
      <w:sz w:val="20"/>
      <w:szCs w:val="20"/>
    </w:rPr>
  </w:style>
  <w:style w:type="paragraph" w:styleId="22">
    <w:name w:val="toc 6"/>
    <w:basedOn w:val="1"/>
    <w:next w:val="1"/>
    <w:autoRedefine/>
    <w:semiHidden/>
    <w:qFormat/>
    <w:uiPriority w:val="0"/>
    <w:pPr>
      <w:ind w:left="840"/>
      <w:jc w:val="left"/>
    </w:pPr>
    <w:rPr>
      <w:sz w:val="20"/>
      <w:szCs w:val="20"/>
    </w:rPr>
  </w:style>
  <w:style w:type="paragraph" w:styleId="23">
    <w:name w:val="List 5"/>
    <w:basedOn w:val="1"/>
    <w:autoRedefine/>
    <w:unhideWhenUsed/>
    <w:qFormat/>
    <w:uiPriority w:val="99"/>
    <w:pPr>
      <w:ind w:left="2100" w:hanging="420"/>
      <w:jc w:val="left"/>
    </w:pPr>
    <w:rPr>
      <w:rFonts w:eastAsia="楷体_GB2312"/>
      <w:sz w:val="32"/>
      <w:szCs w:val="20"/>
    </w:rPr>
  </w:style>
  <w:style w:type="paragraph" w:styleId="24">
    <w:name w:val="toc 2"/>
    <w:basedOn w:val="1"/>
    <w:next w:val="1"/>
    <w:autoRedefine/>
    <w:qFormat/>
    <w:uiPriority w:val="39"/>
    <w:pPr>
      <w:tabs>
        <w:tab w:val="right" w:leader="dot" w:pos="8296"/>
      </w:tabs>
      <w:spacing w:line="360" w:lineRule="auto"/>
      <w:ind w:firstLine="100" w:firstLineChars="100"/>
    </w:pPr>
    <w:rPr>
      <w:rFonts w:ascii="宋体" w:hAnsi="宋体" w:eastAsia="宋体"/>
      <w:bCs/>
      <w:szCs w:val="24"/>
    </w:rPr>
  </w:style>
  <w:style w:type="paragraph" w:styleId="25">
    <w:name w:val="toc 9"/>
    <w:basedOn w:val="1"/>
    <w:next w:val="1"/>
    <w:autoRedefine/>
    <w:semiHidden/>
    <w:qFormat/>
    <w:uiPriority w:val="0"/>
    <w:pPr>
      <w:ind w:left="1470"/>
      <w:jc w:val="left"/>
    </w:pPr>
    <w:rPr>
      <w:sz w:val="20"/>
      <w:szCs w:val="20"/>
    </w:rPr>
  </w:style>
  <w:style w:type="paragraph" w:styleId="26">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paragraph" w:styleId="27">
    <w:name w:val="index 1"/>
    <w:basedOn w:val="1"/>
    <w:next w:val="1"/>
    <w:autoRedefine/>
    <w:semiHidden/>
    <w:qFormat/>
    <w:uiPriority w:val="0"/>
  </w:style>
  <w:style w:type="paragraph" w:styleId="28">
    <w:name w:val="Body Text First Indent"/>
    <w:basedOn w:val="10"/>
    <w:next w:val="29"/>
    <w:autoRedefine/>
    <w:qFormat/>
    <w:uiPriority w:val="0"/>
    <w:pPr>
      <w:spacing w:line="360" w:lineRule="auto"/>
      <w:ind w:firstLine="420" w:firstLineChars="100"/>
    </w:pPr>
    <w:rPr>
      <w:szCs w:val="21"/>
    </w:rPr>
  </w:style>
  <w:style w:type="paragraph" w:styleId="29">
    <w:name w:val="Body Text First Indent 2"/>
    <w:basedOn w:val="11"/>
    <w:qFormat/>
    <w:uiPriority w:val="0"/>
    <w:pPr>
      <w:ind w:firstLine="420" w:firstLineChars="200"/>
    </w:pPr>
    <w:rPr>
      <w:rFonts w:ascii="Calibri" w:hAnsi="Calibri"/>
      <w:kern w:val="0"/>
      <w:sz w:val="20"/>
    </w:rPr>
  </w:style>
  <w:style w:type="character" w:styleId="32">
    <w:name w:val="Strong"/>
    <w:basedOn w:val="31"/>
    <w:qFormat/>
    <w:uiPriority w:val="0"/>
  </w:style>
  <w:style w:type="character" w:styleId="33">
    <w:name w:val="page number"/>
    <w:basedOn w:val="31"/>
    <w:autoRedefine/>
    <w:qFormat/>
    <w:uiPriority w:val="0"/>
  </w:style>
  <w:style w:type="character" w:styleId="34">
    <w:name w:val="FollowedHyperlink"/>
    <w:basedOn w:val="31"/>
    <w:qFormat/>
    <w:uiPriority w:val="0"/>
    <w:rPr>
      <w:color w:val="800080"/>
      <w:u w:val="none"/>
    </w:rPr>
  </w:style>
  <w:style w:type="character" w:styleId="35">
    <w:name w:val="Emphasis"/>
    <w:basedOn w:val="31"/>
    <w:autoRedefine/>
    <w:qFormat/>
    <w:uiPriority w:val="0"/>
  </w:style>
  <w:style w:type="character" w:styleId="36">
    <w:name w:val="HTML Definition"/>
    <w:basedOn w:val="31"/>
    <w:autoRedefine/>
    <w:qFormat/>
    <w:uiPriority w:val="0"/>
  </w:style>
  <w:style w:type="character" w:styleId="37">
    <w:name w:val="HTML Typewriter"/>
    <w:basedOn w:val="31"/>
    <w:autoRedefine/>
    <w:qFormat/>
    <w:uiPriority w:val="0"/>
    <w:rPr>
      <w:rFonts w:hint="default" w:ascii="monospace" w:hAnsi="monospace" w:eastAsia="monospace" w:cs="monospace"/>
      <w:sz w:val="20"/>
    </w:rPr>
  </w:style>
  <w:style w:type="character" w:styleId="38">
    <w:name w:val="HTML Acronym"/>
    <w:basedOn w:val="31"/>
    <w:qFormat/>
    <w:uiPriority w:val="0"/>
    <w:rPr>
      <w:vanish/>
      <w:shd w:val="clear" w:fill="185AB7"/>
    </w:rPr>
  </w:style>
  <w:style w:type="character" w:styleId="39">
    <w:name w:val="HTML Variable"/>
    <w:basedOn w:val="31"/>
    <w:autoRedefine/>
    <w:qFormat/>
    <w:uiPriority w:val="0"/>
  </w:style>
  <w:style w:type="character" w:styleId="40">
    <w:name w:val="Hyperlink"/>
    <w:basedOn w:val="31"/>
    <w:autoRedefine/>
    <w:qFormat/>
    <w:uiPriority w:val="99"/>
    <w:rPr>
      <w:color w:val="0000FF"/>
      <w:u w:val="none"/>
    </w:rPr>
  </w:style>
  <w:style w:type="character" w:styleId="41">
    <w:name w:val="HTML Code"/>
    <w:basedOn w:val="31"/>
    <w:autoRedefine/>
    <w:qFormat/>
    <w:uiPriority w:val="0"/>
    <w:rPr>
      <w:rFonts w:ascii="monospace" w:hAnsi="monospace" w:eastAsia="monospace" w:cs="monospace"/>
      <w:sz w:val="20"/>
    </w:rPr>
  </w:style>
  <w:style w:type="character" w:styleId="42">
    <w:name w:val="HTML Cite"/>
    <w:basedOn w:val="31"/>
    <w:autoRedefine/>
    <w:qFormat/>
    <w:uiPriority w:val="0"/>
  </w:style>
  <w:style w:type="character" w:styleId="43">
    <w:name w:val="HTML Keyboard"/>
    <w:basedOn w:val="31"/>
    <w:autoRedefine/>
    <w:qFormat/>
    <w:uiPriority w:val="0"/>
    <w:rPr>
      <w:rFonts w:hint="default" w:ascii="monospace" w:hAnsi="monospace" w:eastAsia="monospace" w:cs="monospace"/>
      <w:sz w:val="20"/>
    </w:rPr>
  </w:style>
  <w:style w:type="character" w:styleId="44">
    <w:name w:val="HTML Sample"/>
    <w:basedOn w:val="31"/>
    <w:autoRedefine/>
    <w:qFormat/>
    <w:uiPriority w:val="0"/>
    <w:rPr>
      <w:rFonts w:hint="default" w:ascii="monospace" w:hAnsi="monospace" w:eastAsia="monospace" w:cs="monospace"/>
    </w:rPr>
  </w:style>
  <w:style w:type="paragraph" w:customStyle="1" w:styleId="45">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6">
    <w:name w:val="正文_0"/>
    <w:autoRedefine/>
    <w:qFormat/>
    <w:uiPriority w:val="0"/>
    <w:pPr>
      <w:widowControl w:val="0"/>
      <w:jc w:val="both"/>
    </w:pPr>
    <w:rPr>
      <w:rFonts w:ascii="Calibri" w:hAnsi="Calibri" w:eastAsia="仿宋_GB2312" w:cs="Times New Roman"/>
      <w:kern w:val="2"/>
      <w:sz w:val="28"/>
      <w:szCs w:val="24"/>
      <w:lang w:val="en-US" w:eastAsia="zh-CN" w:bidi="ar-SA"/>
    </w:rPr>
  </w:style>
  <w:style w:type="character" w:customStyle="1" w:styleId="47">
    <w:name w:val="标题 1 Char"/>
    <w:link w:val="2"/>
    <w:autoRedefine/>
    <w:qFormat/>
    <w:uiPriority w:val="0"/>
    <w:rPr>
      <w:rFonts w:ascii="Calibri" w:hAnsi="Calibri" w:eastAsia="华文仿宋"/>
      <w:b/>
      <w:bCs/>
      <w:kern w:val="44"/>
      <w:sz w:val="48"/>
      <w:szCs w:val="44"/>
    </w:rPr>
  </w:style>
  <w:style w:type="character" w:customStyle="1" w:styleId="48">
    <w:name w:val="标题 2 Char"/>
    <w:link w:val="4"/>
    <w:autoRedefine/>
    <w:qFormat/>
    <w:uiPriority w:val="0"/>
    <w:rPr>
      <w:rFonts w:ascii="Arial" w:hAnsi="Arial" w:eastAsia="宋体"/>
      <w:b/>
      <w:bCs/>
      <w:sz w:val="32"/>
      <w:szCs w:val="32"/>
    </w:rPr>
  </w:style>
  <w:style w:type="character" w:customStyle="1" w:styleId="49">
    <w:name w:val="标题 3 Char"/>
    <w:basedOn w:val="31"/>
    <w:link w:val="5"/>
    <w:autoRedefine/>
    <w:qFormat/>
    <w:uiPriority w:val="0"/>
    <w:rPr>
      <w:rFonts w:ascii="宋体" w:hAnsi="宋体" w:eastAsia="宋体"/>
      <w:b/>
      <w:sz w:val="30"/>
      <w:lang w:val="en-US" w:eastAsia="zh-CN" w:bidi="ar-SA"/>
    </w:rPr>
  </w:style>
  <w:style w:type="character" w:customStyle="1" w:styleId="50">
    <w:name w:val="纯文本 Char"/>
    <w:basedOn w:val="31"/>
    <w:link w:val="14"/>
    <w:qFormat/>
    <w:uiPriority w:val="0"/>
    <w:rPr>
      <w:rFonts w:ascii="宋体" w:hAnsi="Courier New" w:eastAsia="宋体"/>
      <w:kern w:val="2"/>
      <w:sz w:val="24"/>
      <w:lang w:val="en-US" w:eastAsia="zh-CN" w:bidi="ar-SA"/>
    </w:rPr>
  </w:style>
  <w:style w:type="character" w:customStyle="1" w:styleId="51">
    <w:name w:val="正文文本缩进 2 Char"/>
    <w:basedOn w:val="31"/>
    <w:link w:val="17"/>
    <w:autoRedefine/>
    <w:qFormat/>
    <w:uiPriority w:val="0"/>
    <w:rPr>
      <w:kern w:val="2"/>
      <w:sz w:val="30"/>
      <w:szCs w:val="30"/>
    </w:rPr>
  </w:style>
  <w:style w:type="character" w:customStyle="1" w:styleId="52">
    <w:name w:val="页脚 Char"/>
    <w:basedOn w:val="31"/>
    <w:link w:val="18"/>
    <w:qFormat/>
    <w:uiPriority w:val="99"/>
    <w:rPr>
      <w:rFonts w:eastAsia="MS Gothic"/>
      <w:kern w:val="2"/>
      <w:sz w:val="18"/>
      <w:szCs w:val="18"/>
    </w:rPr>
  </w:style>
  <w:style w:type="paragraph" w:customStyle="1" w:styleId="53">
    <w:name w:val=" Char"/>
    <w:basedOn w:val="1"/>
    <w:autoRedefine/>
    <w:qFormat/>
    <w:uiPriority w:val="0"/>
    <w:pPr>
      <w:snapToGrid w:val="0"/>
      <w:spacing w:line="360" w:lineRule="auto"/>
      <w:ind w:firstLine="200" w:firstLineChars="200"/>
    </w:pPr>
    <w:rPr>
      <w:rFonts w:eastAsia="仿宋_GB2312"/>
      <w:sz w:val="24"/>
      <w:szCs w:val="24"/>
    </w:rPr>
  </w:style>
  <w:style w:type="paragraph" w:customStyle="1" w:styleId="54">
    <w:name w:val="_Style 39"/>
    <w:basedOn w:val="1"/>
    <w:next w:val="1"/>
    <w:autoRedefine/>
    <w:qFormat/>
    <w:uiPriority w:val="0"/>
    <w:pPr>
      <w:pBdr>
        <w:bottom w:val="single" w:color="auto" w:sz="6" w:space="1"/>
      </w:pBdr>
      <w:jc w:val="center"/>
    </w:pPr>
    <w:rPr>
      <w:rFonts w:ascii="Arial" w:eastAsia="宋体"/>
      <w:vanish/>
      <w:sz w:val="16"/>
    </w:rPr>
  </w:style>
  <w:style w:type="paragraph" w:customStyle="1" w:styleId="55">
    <w:name w:val="默认段落字体 Para Char Char Char Char"/>
    <w:basedOn w:val="1"/>
    <w:autoRedefine/>
    <w:qFormat/>
    <w:uiPriority w:val="0"/>
    <w:pPr>
      <w:snapToGrid w:val="0"/>
      <w:spacing w:line="360" w:lineRule="auto"/>
      <w:ind w:firstLine="200" w:firstLineChars="200"/>
    </w:pPr>
    <w:rPr>
      <w:rFonts w:eastAsia="仿宋_GB2312"/>
      <w:sz w:val="24"/>
      <w:szCs w:val="24"/>
    </w:rPr>
  </w:style>
  <w:style w:type="paragraph" w:customStyle="1" w:styleId="56">
    <w:name w:val="_Style 42"/>
    <w:basedOn w:val="1"/>
    <w:next w:val="1"/>
    <w:qFormat/>
    <w:uiPriority w:val="0"/>
    <w:pPr>
      <w:pBdr>
        <w:top w:val="single" w:color="auto" w:sz="6" w:space="1"/>
      </w:pBdr>
      <w:jc w:val="center"/>
    </w:pPr>
    <w:rPr>
      <w:rFonts w:ascii="Arial" w:eastAsia="宋体"/>
      <w:vanish/>
      <w:sz w:val="16"/>
    </w:rPr>
  </w:style>
  <w:style w:type="paragraph" w:customStyle="1" w:styleId="57">
    <w:name w:val="_Style 3"/>
    <w:basedOn w:val="1"/>
    <w:next w:val="1"/>
    <w:autoRedefine/>
    <w:qFormat/>
    <w:uiPriority w:val="0"/>
    <w:pPr>
      <w:pBdr>
        <w:top w:val="single" w:color="auto" w:sz="6" w:space="1"/>
      </w:pBdr>
      <w:jc w:val="center"/>
    </w:pPr>
    <w:rPr>
      <w:rFonts w:ascii="Arial" w:eastAsia="宋体"/>
      <w:vanish/>
      <w:sz w:val="16"/>
    </w:rPr>
  </w:style>
  <w:style w:type="paragraph" w:styleId="58">
    <w:name w:val="List Paragraph"/>
    <w:basedOn w:val="1"/>
    <w:autoRedefine/>
    <w:qFormat/>
    <w:uiPriority w:val="34"/>
    <w:pPr>
      <w:ind w:firstLine="420" w:firstLineChars="200"/>
    </w:pPr>
  </w:style>
  <w:style w:type="paragraph" w:customStyle="1" w:styleId="59">
    <w:name w:val=" Char Char Char Char Char Char Char"/>
    <w:basedOn w:val="1"/>
    <w:qFormat/>
    <w:uiPriority w:val="0"/>
    <w:rPr>
      <w:rFonts w:eastAsia="宋体"/>
      <w:szCs w:val="24"/>
    </w:rPr>
  </w:style>
  <w:style w:type="paragraph" w:customStyle="1" w:styleId="60">
    <w:name w:val="p0"/>
    <w:basedOn w:val="1"/>
    <w:autoRedefine/>
    <w:qFormat/>
    <w:uiPriority w:val="0"/>
    <w:pPr>
      <w:widowControl/>
    </w:pPr>
    <w:rPr>
      <w:rFonts w:eastAsia="宋体"/>
      <w:kern w:val="0"/>
    </w:rPr>
  </w:style>
  <w:style w:type="paragraph" w:customStyle="1" w:styleId="61">
    <w:name w:val="_Style 47"/>
    <w:basedOn w:val="1"/>
    <w:next w:val="1"/>
    <w:autoRedefine/>
    <w:qFormat/>
    <w:uiPriority w:val="0"/>
    <w:pPr>
      <w:pBdr>
        <w:bottom w:val="single" w:color="auto" w:sz="6" w:space="1"/>
      </w:pBdr>
      <w:jc w:val="center"/>
    </w:pPr>
    <w:rPr>
      <w:rFonts w:ascii="Arial" w:eastAsia="宋体"/>
      <w:vanish/>
      <w:sz w:val="16"/>
    </w:rPr>
  </w:style>
  <w:style w:type="paragraph" w:customStyle="1" w:styleId="62">
    <w:name w:val="_Style 48"/>
    <w:basedOn w:val="1"/>
    <w:next w:val="1"/>
    <w:autoRedefine/>
    <w:qFormat/>
    <w:uiPriority w:val="0"/>
    <w:pPr>
      <w:pBdr>
        <w:top w:val="single" w:color="auto" w:sz="6" w:space="1"/>
      </w:pBdr>
      <w:jc w:val="center"/>
    </w:pPr>
    <w:rPr>
      <w:rFonts w:ascii="Arial" w:eastAsia="宋体"/>
      <w:vanish/>
      <w:sz w:val="16"/>
    </w:rPr>
  </w:style>
  <w:style w:type="paragraph" w:customStyle="1" w:styleId="63">
    <w:name w:val="WPSOffice手动目录 1"/>
    <w:qFormat/>
    <w:uiPriority w:val="0"/>
    <w:pPr>
      <w:ind w:leftChars="0"/>
    </w:pPr>
    <w:rPr>
      <w:rFonts w:ascii="Times New Roman" w:hAnsi="Times New Roman" w:eastAsia="宋体" w:cs="Times New Roman"/>
      <w:sz w:val="20"/>
      <w:szCs w:val="20"/>
    </w:rPr>
  </w:style>
  <w:style w:type="paragraph" w:customStyle="1" w:styleId="64">
    <w:name w:val="WPSOffice手动目录 2"/>
    <w:qFormat/>
    <w:uiPriority w:val="0"/>
    <w:pPr>
      <w:ind w:leftChars="200"/>
    </w:pPr>
    <w:rPr>
      <w:rFonts w:ascii="Times New Roman" w:hAnsi="Times New Roman" w:eastAsia="宋体" w:cs="Times New Roman"/>
      <w:sz w:val="20"/>
      <w:szCs w:val="20"/>
    </w:rPr>
  </w:style>
  <w:style w:type="paragraph" w:customStyle="1" w:styleId="65">
    <w:name w:val="Body text|1"/>
    <w:basedOn w:val="1"/>
    <w:qFormat/>
    <w:uiPriority w:val="0"/>
    <w:pPr>
      <w:widowControl w:val="0"/>
      <w:shd w:val="clear" w:color="auto" w:fill="auto"/>
      <w:spacing w:line="439" w:lineRule="auto"/>
      <w:ind w:firstLine="400"/>
    </w:pPr>
    <w:rPr>
      <w:rFonts w:ascii="宋体" w:hAnsi="宋体" w:eastAsia="宋体" w:cs="宋体"/>
      <w:u w:val="none"/>
      <w:shd w:val="clear" w:color="auto" w:fill="auto"/>
      <w:lang w:val="zh-TW" w:eastAsia="zh-TW" w:bidi="zh-TW"/>
    </w:rPr>
  </w:style>
  <w:style w:type="paragraph" w:customStyle="1" w:styleId="66">
    <w:name w:val="_Style 54"/>
    <w:basedOn w:val="1"/>
    <w:next w:val="1"/>
    <w:qFormat/>
    <w:uiPriority w:val="0"/>
    <w:pPr>
      <w:pBdr>
        <w:bottom w:val="single" w:color="auto" w:sz="6" w:space="1"/>
      </w:pBdr>
      <w:jc w:val="center"/>
    </w:pPr>
    <w:rPr>
      <w:rFonts w:ascii="Arial" w:eastAsia="宋体"/>
      <w:vanish/>
      <w:sz w:val="16"/>
    </w:rPr>
  </w:style>
  <w:style w:type="paragraph" w:customStyle="1" w:styleId="67">
    <w:name w:val="_Style 55"/>
    <w:basedOn w:val="1"/>
    <w:next w:val="1"/>
    <w:autoRedefine/>
    <w:qFormat/>
    <w:uiPriority w:val="0"/>
    <w:pPr>
      <w:pBdr>
        <w:top w:val="single" w:color="auto" w:sz="6" w:space="1"/>
      </w:pBdr>
      <w:jc w:val="center"/>
    </w:pPr>
    <w:rPr>
      <w:rFonts w:ascii="Arial" w:eastAsia="宋体"/>
      <w:vanish/>
      <w:sz w:val="16"/>
    </w:rPr>
  </w:style>
  <w:style w:type="paragraph" w:customStyle="1" w:styleId="68">
    <w:name w:val="_Style 1"/>
    <w:basedOn w:val="1"/>
    <w:next w:val="1"/>
    <w:qFormat/>
    <w:uiPriority w:val="0"/>
    <w:pPr>
      <w:pBdr>
        <w:bottom w:val="single" w:color="auto" w:sz="6" w:space="1"/>
      </w:pBdr>
      <w:jc w:val="center"/>
    </w:pPr>
    <w:rPr>
      <w:rFonts w:ascii="Arial" w:eastAsia="宋体"/>
      <w:vanish/>
      <w:sz w:val="16"/>
    </w:rPr>
  </w:style>
  <w:style w:type="paragraph" w:customStyle="1" w:styleId="69">
    <w:name w:val="_Style 57"/>
    <w:basedOn w:val="1"/>
    <w:next w:val="1"/>
    <w:autoRedefine/>
    <w:qFormat/>
    <w:uiPriority w:val="0"/>
    <w:pPr>
      <w:pBdr>
        <w:bottom w:val="single" w:color="auto" w:sz="6" w:space="1"/>
      </w:pBdr>
      <w:jc w:val="center"/>
    </w:pPr>
    <w:rPr>
      <w:rFonts w:ascii="Arial" w:eastAsia="宋体"/>
      <w:vanish/>
      <w:sz w:val="16"/>
    </w:rPr>
  </w:style>
  <w:style w:type="paragraph" w:customStyle="1" w:styleId="70">
    <w:name w:val="_Style 58"/>
    <w:basedOn w:val="1"/>
    <w:next w:val="1"/>
    <w:autoRedefine/>
    <w:qFormat/>
    <w:uiPriority w:val="0"/>
    <w:pPr>
      <w:pBdr>
        <w:top w:val="single" w:color="auto" w:sz="6" w:space="1"/>
      </w:pBdr>
      <w:jc w:val="center"/>
    </w:pPr>
    <w:rPr>
      <w:rFonts w:ascii="Arial" w:eastAsia="宋体"/>
      <w:vanish/>
      <w:sz w:val="16"/>
    </w:rPr>
  </w:style>
  <w:style w:type="paragraph" w:customStyle="1" w:styleId="71">
    <w:name w:val="_Style 7"/>
    <w:basedOn w:val="1"/>
    <w:next w:val="1"/>
    <w:qFormat/>
    <w:uiPriority w:val="0"/>
    <w:pPr>
      <w:pBdr>
        <w:bottom w:val="single" w:color="auto" w:sz="6" w:space="1"/>
      </w:pBdr>
      <w:jc w:val="center"/>
    </w:pPr>
    <w:rPr>
      <w:rFonts w:ascii="Arial" w:eastAsia="宋体"/>
      <w:vanish/>
      <w:sz w:val="16"/>
    </w:rPr>
  </w:style>
  <w:style w:type="paragraph" w:customStyle="1" w:styleId="72">
    <w:name w:val="Body text|2"/>
    <w:basedOn w:val="1"/>
    <w:autoRedefine/>
    <w:qFormat/>
    <w:uiPriority w:val="0"/>
    <w:pPr>
      <w:widowControl w:val="0"/>
      <w:shd w:val="clear" w:color="auto" w:fill="auto"/>
      <w:spacing w:after="420" w:line="393" w:lineRule="exact"/>
      <w:jc w:val="center"/>
    </w:pPr>
    <w:rPr>
      <w:rFonts w:ascii="MingLiU" w:hAnsi="MingLiU" w:eastAsia="MingLiU" w:cs="MingLiU"/>
      <w:u w:val="none"/>
      <w:shd w:val="clear" w:color="auto" w:fill="auto"/>
      <w:lang w:val="zh-TW" w:eastAsia="zh-TW" w:bidi="zh-TW"/>
    </w:rPr>
  </w:style>
  <w:style w:type="paragraph" w:customStyle="1" w:styleId="73">
    <w:name w:val="普通(网站)_0"/>
    <w:basedOn w:val="46"/>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74">
    <w:name w:val="_Style 72"/>
    <w:basedOn w:val="1"/>
    <w:next w:val="1"/>
    <w:autoRedefine/>
    <w:qFormat/>
    <w:uiPriority w:val="0"/>
    <w:pPr>
      <w:pBdr>
        <w:bottom w:val="single" w:color="auto" w:sz="6" w:space="1"/>
      </w:pBdr>
      <w:jc w:val="center"/>
    </w:pPr>
    <w:rPr>
      <w:rFonts w:ascii="Arial" w:eastAsia="宋体"/>
      <w:vanish/>
      <w:sz w:val="16"/>
    </w:rPr>
  </w:style>
  <w:style w:type="paragraph" w:customStyle="1" w:styleId="75">
    <w:name w:val="_Style 73"/>
    <w:basedOn w:val="1"/>
    <w:next w:val="1"/>
    <w:autoRedefine/>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cxzb</Company>
  <Pages>74</Pages>
  <Words>25551</Words>
  <Characters>27200</Characters>
  <Lines>239</Lines>
  <Paragraphs>67</Paragraphs>
  <TotalTime>5</TotalTime>
  <ScaleCrop>false</ScaleCrop>
  <LinksUpToDate>false</LinksUpToDate>
  <CharactersWithSpaces>29420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2011-08-05T01:36:00Z</dcterms:created>
  <dc:creator>hds</dc:creator>
  <cp:lastModifiedBy>小杨</cp:lastModifiedBy>
  <cp:lastPrinted>2023-09-27T15:20:00Z</cp:lastPrinted>
  <dcterms:modified xsi:type="dcterms:W3CDTF">2023-12-29T03:14:46Z</dcterms:modified>
  <dc:title>唐河迎宾大道提升改造监理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EACF1454A69548C29C8B83CB643AFC54_13</vt:lpwstr>
  </property>
</Properties>
</file>