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eastAsia="宋体" w:cs="宋体"/>
          <w:b/>
          <w:color w:val="000000" w:themeColor="text1"/>
          <w:sz w:val="44"/>
          <w:szCs w:val="44"/>
          <w:lang w:eastAsia="zh-CN"/>
          <w14:textFill>
            <w14:solidFill>
              <w14:schemeClr w14:val="tx1"/>
            </w14:solidFill>
          </w14:textFill>
        </w:rPr>
      </w:pPr>
      <w:bookmarkStart w:id="0" w:name="_Toc2040"/>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r>
        <w:rPr>
          <w:rFonts w:hint="eastAsia" w:ascii="宋体" w:hAnsi="宋体" w:eastAsia="宋体" w:cs="宋体"/>
          <w:b/>
          <w:color w:val="000000" w:themeColor="text1"/>
          <w:sz w:val="44"/>
          <w:szCs w:val="44"/>
          <w:lang w:eastAsia="zh-CN"/>
          <w14:textFill>
            <w14:solidFill>
              <w14:schemeClr w14:val="tx1"/>
            </w14:solidFill>
          </w14:textFill>
        </w:rPr>
        <w:t>唐河县2024年高标准农田示范区建设项目（郭滩镇、黑龙镇）勘测设计、招标控制价编制</w:t>
      </w:r>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p>
    <w:p>
      <w:pPr>
        <w:pStyle w:val="2"/>
        <w:jc w:val="center"/>
        <w:rPr>
          <w:rFonts w:hint="eastAsia" w:ascii="宋体" w:hAnsi="宋体" w:eastAsia="宋体" w:cs="宋体"/>
          <w:b/>
          <w:color w:val="000000" w:themeColor="text1"/>
          <w:sz w:val="36"/>
          <w:szCs w:val="36"/>
          <w:lang w:val="en-US" w:eastAsia="zh-CN"/>
          <w14:textFill>
            <w14:solidFill>
              <w14:schemeClr w14:val="tx1"/>
            </w14:solidFill>
          </w14:textFill>
        </w:rPr>
      </w:pPr>
    </w:p>
    <w:p>
      <w:pPr>
        <w:jc w:val="center"/>
        <w:rPr>
          <w:rFonts w:hint="eastAsia" w:ascii="宋体" w:hAnsi="宋体" w:eastAsia="宋体" w:cs="宋体"/>
          <w:lang w:val="en-US" w:eastAsia="zh-CN"/>
        </w:rPr>
      </w:pPr>
    </w:p>
    <w:p>
      <w:pPr>
        <w:jc w:val="center"/>
        <w:rPr>
          <w:rFonts w:hint="eastAsia" w:ascii="宋体" w:hAnsi="宋体" w:eastAsia="宋体" w:cs="宋体"/>
          <w:lang w:val="en-US" w:eastAsia="zh-CN"/>
        </w:rPr>
      </w:pPr>
    </w:p>
    <w:p>
      <w:pPr>
        <w:jc w:val="center"/>
        <w:rPr>
          <w:rFonts w:hint="eastAsia" w:ascii="宋体" w:hAnsi="宋体" w:eastAsia="宋体" w:cs="宋体"/>
          <w:lang w:val="en-US" w:eastAsia="zh-CN"/>
        </w:rPr>
      </w:pPr>
    </w:p>
    <w:p>
      <w:pPr>
        <w:spacing w:line="360" w:lineRule="auto"/>
        <w:jc w:val="center"/>
        <w:outlineLvl w:val="0"/>
        <w:rPr>
          <w:rFonts w:hint="eastAsia" w:ascii="宋体" w:hAnsi="宋体" w:eastAsia="宋体" w:cs="宋体"/>
          <w:b/>
          <w:color w:val="000000" w:themeColor="text1"/>
          <w:sz w:val="84"/>
          <w:szCs w:val="84"/>
          <w:lang w:val="en-US" w:eastAsia="zh-CN"/>
          <w14:textFill>
            <w14:solidFill>
              <w14:schemeClr w14:val="tx1"/>
            </w14:solidFill>
          </w14:textFill>
        </w:rPr>
      </w:pPr>
      <w:r>
        <w:rPr>
          <w:rFonts w:hint="eastAsia" w:ascii="宋体" w:hAnsi="宋体" w:eastAsia="宋体" w:cs="宋体"/>
          <w:b/>
          <w:color w:val="000000" w:themeColor="text1"/>
          <w:sz w:val="84"/>
          <w:szCs w:val="84"/>
          <w:lang w:val="en-US" w:eastAsia="zh-CN"/>
          <w14:textFill>
            <w14:solidFill>
              <w14:schemeClr w14:val="tx1"/>
            </w14:solidFill>
          </w14:textFill>
        </w:rPr>
        <w:t>招 标 文 件</w:t>
      </w:r>
    </w:p>
    <w:p>
      <w:pPr>
        <w:spacing w:line="360" w:lineRule="auto"/>
        <w:jc w:val="center"/>
        <w:outlineLvl w:val="0"/>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cs="宋体"/>
          <w:b w:val="0"/>
          <w:bCs/>
          <w:color w:val="000000" w:themeColor="text1"/>
          <w:sz w:val="28"/>
          <w:szCs w:val="28"/>
          <w:lang w:val="en-US" w:eastAsia="zh-CN"/>
          <w14:textFill>
            <w14:solidFill>
              <w14:schemeClr w14:val="tx1"/>
            </w14:solidFill>
          </w14:textFill>
        </w:rPr>
        <w:t>（3标）</w:t>
      </w: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center"/>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招   标   人：</w:t>
      </w:r>
      <w:r>
        <w:rPr>
          <w:rFonts w:hint="eastAsia" w:ascii="宋体" w:hAnsi="宋体" w:eastAsia="宋体" w:cs="宋体"/>
          <w:b/>
          <w:color w:val="000000" w:themeColor="text1"/>
          <w:sz w:val="32"/>
          <w:szCs w:val="40"/>
          <w:u w:val="single"/>
          <w:lang w:val="en-US" w:eastAsia="zh-CN"/>
          <w14:textFill>
            <w14:solidFill>
              <w14:schemeClr w14:val="tx1"/>
            </w14:solidFill>
          </w14:textFill>
        </w:rPr>
        <w:t>南阳优田农业发展有限公司</w:t>
      </w:r>
      <w:r>
        <w:rPr>
          <w:rFonts w:hint="eastAsia" w:ascii="宋体" w:hAnsi="宋体" w:eastAsia="宋体" w:cs="宋体"/>
          <w:b/>
          <w:color w:val="000000" w:themeColor="text1"/>
          <w:sz w:val="32"/>
          <w:szCs w:val="40"/>
          <w:lang w:val="en-US"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招标代理机构</w:t>
      </w:r>
      <w:r>
        <w:rPr>
          <w:rFonts w:hint="eastAsia" w:ascii="宋体" w:hAnsi="宋体" w:eastAsia="宋体" w:cs="宋体"/>
          <w:b/>
          <w:color w:val="000000" w:themeColor="text1"/>
          <w:sz w:val="32"/>
          <w:szCs w:val="40"/>
          <w14:textFill>
            <w14:solidFill>
              <w14:schemeClr w14:val="tx1"/>
            </w14:solidFill>
          </w14:textFill>
        </w:rPr>
        <w:t>：</w:t>
      </w:r>
      <w:r>
        <w:rPr>
          <w:rFonts w:hint="eastAsia" w:ascii="宋体" w:hAnsi="宋体" w:eastAsia="宋体" w:cs="宋体"/>
          <w:b/>
          <w:color w:val="000000" w:themeColor="text1"/>
          <w:sz w:val="32"/>
          <w:szCs w:val="40"/>
          <w:u w:val="single"/>
          <w14:textFill>
            <w14:solidFill>
              <w14:schemeClr w14:val="tx1"/>
            </w14:solidFill>
          </w14:textFill>
        </w:rPr>
        <w:t>河南四铭工程管理有限公司</w:t>
      </w:r>
      <w:r>
        <w:rPr>
          <w:rFonts w:hint="eastAsia" w:ascii="宋体" w:hAnsi="宋体" w:eastAsia="宋体" w:cs="宋体"/>
          <w:b/>
          <w:color w:val="000000" w:themeColor="text1"/>
          <w:sz w:val="32"/>
          <w:szCs w:val="40"/>
          <w:lang w:val="en-US"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日        期：2024年4月</w:t>
      </w:r>
    </w:p>
    <w:p>
      <w:pPr>
        <w:rPr>
          <w:rFonts w:hint="eastAsia" w:ascii="宋体" w:hAnsi="宋体" w:eastAsia="宋体" w:cs="宋体"/>
        </w:rPr>
      </w:pPr>
      <w:r>
        <w:rPr>
          <w:rFonts w:hint="eastAsia" w:ascii="宋体" w:hAnsi="宋体" w:eastAsia="宋体" w:cs="宋体"/>
          <w:b/>
          <w:color w:val="000000"/>
          <w:sz w:val="32"/>
          <w:szCs w:val="32"/>
          <w:u w:val="single"/>
        </w:rPr>
        <w:br w:type="page"/>
      </w:r>
    </w:p>
    <w:p>
      <w:pPr>
        <w:spacing w:line="360" w:lineRule="auto"/>
        <w:jc w:val="center"/>
        <w:outlineLvl w:val="0"/>
        <w:rPr>
          <w:rFonts w:ascii="宋体" w:hAnsi="宋体" w:cs="宋体"/>
          <w:b/>
          <w:color w:val="000000" w:themeColor="text1"/>
          <w:sz w:val="32"/>
          <w:szCs w:val="40"/>
          <w14:textFill>
            <w14:solidFill>
              <w14:schemeClr w14:val="tx1"/>
            </w14:solidFill>
          </w14:textFill>
        </w:rPr>
      </w:pPr>
      <w:r>
        <w:rPr>
          <w:rFonts w:hint="eastAsia" w:ascii="宋体" w:hAnsi="宋体" w:cs="宋体"/>
          <w:b/>
          <w:color w:val="000000" w:themeColor="text1"/>
          <w:sz w:val="32"/>
          <w:szCs w:val="40"/>
          <w14:textFill>
            <w14:solidFill>
              <w14:schemeClr w14:val="tx1"/>
            </w14:solidFill>
          </w14:textFill>
        </w:rPr>
        <w:t>目  录</w:t>
      </w:r>
      <w:bookmarkEnd w:id="0"/>
    </w:p>
    <w:p>
      <w:pPr>
        <w:pStyle w:val="15"/>
        <w:tabs>
          <w:tab w:val="right" w:leader="dot" w:pos="9070"/>
        </w:tabs>
        <w:rPr>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fldChar w:fldCharType="begin"/>
      </w:r>
      <w:r>
        <w:rPr>
          <w:rFonts w:hint="eastAsia" w:ascii="宋体" w:hAnsi="宋体" w:cs="宋体"/>
          <w:b/>
          <w:color w:val="000000" w:themeColor="text1"/>
          <w:sz w:val="28"/>
          <w:szCs w:val="28"/>
          <w14:textFill>
            <w14:solidFill>
              <w14:schemeClr w14:val="tx1"/>
            </w14:solidFill>
          </w14:textFill>
        </w:rPr>
        <w:instrText xml:space="preserve"> TOC \o "1-3" \h \z \u </w:instrText>
      </w:r>
      <w:r>
        <w:rPr>
          <w:rFonts w:hint="eastAsia" w:ascii="宋体" w:hAnsi="宋体" w:cs="宋体"/>
          <w:b/>
          <w:color w:val="000000" w:themeColor="text1"/>
          <w:sz w:val="28"/>
          <w:szCs w:val="28"/>
          <w14:textFill>
            <w14:solidFill>
              <w14:schemeClr w14:val="tx1"/>
            </w14:solidFill>
          </w14:textFill>
        </w:rPr>
        <w:fldChar w:fldCharType="separate"/>
      </w:r>
      <w:r>
        <w:fldChar w:fldCharType="begin"/>
      </w:r>
      <w:r>
        <w:instrText xml:space="preserve"> HYPERLINK \l "_Toc25503" </w:instrText>
      </w:r>
      <w:r>
        <w:fldChar w:fldCharType="separate"/>
      </w:r>
      <w:r>
        <w:rPr>
          <w:rFonts w:hint="eastAsia" w:ascii="新宋体" w:hAnsi="新宋体" w:eastAsia="新宋体"/>
          <w:color w:val="000000" w:themeColor="text1"/>
          <w:kern w:val="2"/>
          <w:sz w:val="28"/>
          <w:szCs w:val="44"/>
          <w14:textFill>
            <w14:solidFill>
              <w14:schemeClr w14:val="tx1"/>
            </w14:solidFill>
          </w14:textFill>
        </w:rPr>
        <w:t>第一章 招标公告</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_Toc25503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"_Toc13172" </w:instrText>
      </w:r>
      <w:r>
        <w:fldChar w:fldCharType="separate"/>
      </w:r>
      <w:r>
        <w:rPr>
          <w:rFonts w:hint="eastAsia" w:ascii="宋体" w:hAnsi="宋体" w:cs="宋体"/>
          <w:bCs/>
          <w:color w:val="000000" w:themeColor="text1"/>
          <w:sz w:val="28"/>
          <w:szCs w:val="56"/>
          <w14:textFill>
            <w14:solidFill>
              <w14:schemeClr w14:val="tx1"/>
            </w14:solidFill>
          </w14:textFill>
        </w:rPr>
        <w:t>第二章  投标人须知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_Toc13172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"_Toc14909" </w:instrText>
      </w:r>
      <w:r>
        <w:fldChar w:fldCharType="separate"/>
      </w:r>
      <w:r>
        <w:rPr>
          <w:rFonts w:hint="eastAsia" w:ascii="宋体" w:hAnsi="宋体" w:cs="宋体"/>
          <w:bCs/>
          <w:color w:val="000000" w:themeColor="text1"/>
          <w:sz w:val="28"/>
          <w:szCs w:val="56"/>
          <w14:textFill>
            <w14:solidFill>
              <w14:schemeClr w14:val="tx1"/>
            </w14:solidFill>
          </w14:textFill>
        </w:rPr>
        <w:t>第三章 评标办法（综合评估法）</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_Toc14909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"_Toc8332" </w:instrText>
      </w:r>
      <w:r>
        <w:fldChar w:fldCharType="separate"/>
      </w:r>
      <w:r>
        <w:rPr>
          <w:rFonts w:hint="eastAsia" w:ascii="宋体" w:hAnsi="宋体" w:cs="宋体"/>
          <w:bCs/>
          <w:color w:val="000000" w:themeColor="text1"/>
          <w:sz w:val="28"/>
          <w:szCs w:val="72"/>
          <w14:textFill>
            <w14:solidFill>
              <w14:schemeClr w14:val="tx1"/>
            </w14:solidFill>
          </w14:textFill>
        </w:rPr>
        <w:t>第四章 合同条款及格式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_Toc8332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29</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rFonts w:hint="eastAsia" w:eastAsia="宋体"/>
          <w:color w:val="000000" w:themeColor="text1"/>
          <w:sz w:val="28"/>
          <w:szCs w:val="28"/>
          <w:lang w:val="en-US" w:eastAsia="zh-CN"/>
          <w14:textFill>
            <w14:solidFill>
              <w14:schemeClr w14:val="tx1"/>
            </w14:solidFill>
          </w14:textFill>
        </w:rPr>
      </w:pPr>
      <w:r>
        <w:fldChar w:fldCharType="begin"/>
      </w:r>
      <w:r>
        <w:instrText xml:space="preserve"> HYPERLINK \l "_Toc22706" </w:instrText>
      </w:r>
      <w:r>
        <w:fldChar w:fldCharType="separate"/>
      </w:r>
      <w:r>
        <w:rPr>
          <w:rFonts w:hint="eastAsia" w:ascii="宋体" w:hAnsi="宋体" w:cs="宋体"/>
          <w:color w:val="000000" w:themeColor="text1"/>
          <w:sz w:val="28"/>
          <w:szCs w:val="72"/>
          <w14:textFill>
            <w14:solidFill>
              <w14:schemeClr w14:val="tx1"/>
            </w14:solidFill>
          </w14:textFill>
        </w:rPr>
        <w:t>第五章 服务内容及技术要求</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3</w:t>
      </w:r>
      <w:r>
        <w:rPr>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1</w:t>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"_Toc21761" </w:instrText>
      </w:r>
      <w:r>
        <w:fldChar w:fldCharType="separate"/>
      </w:r>
      <w:r>
        <w:rPr>
          <w:rFonts w:hint="eastAsia" w:ascii="宋体" w:hAnsi="宋体" w:cs="宋体"/>
          <w:bCs/>
          <w:color w:val="000000" w:themeColor="text1"/>
          <w:sz w:val="28"/>
          <w:szCs w:val="72"/>
          <w14:textFill>
            <w14:solidFill>
              <w14:schemeClr w14:val="tx1"/>
            </w14:solidFill>
          </w14:textFill>
        </w:rPr>
        <w:t>第六章（投标文件格式）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_Toc21761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0"/>
        <w:tabs>
          <w:tab w:val="right" w:leader="dot" w:pos="9070"/>
        </w:tabs>
        <w:rPr>
          <w:color w:val="000000" w:themeColor="text1"/>
          <w14:textFill>
            <w14:solidFill>
              <w14:schemeClr w14:val="tx1"/>
            </w14:solidFill>
          </w14:textFill>
        </w:rPr>
      </w:pPr>
    </w:p>
    <w:p>
      <w:pPr>
        <w:pStyle w:val="17"/>
        <w:tabs>
          <w:tab w:val="right" w:leader="dot" w:pos="8296"/>
        </w:tabs>
        <w:spacing w:line="420" w:lineRule="exac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38"/>
        <w:numPr>
          <w:ilvl w:val="0"/>
          <w:numId w:val="4"/>
        </w:numPr>
        <w:spacing w:before="120" w:after="120" w:line="400" w:lineRule="exact"/>
        <w:jc w:val="center"/>
        <w:rPr>
          <w:rFonts w:ascii="新宋体" w:hAnsi="新宋体" w:eastAsia="新宋体" w:cs="黑体"/>
          <w:bCs w:val="0"/>
          <w:color w:val="000000" w:themeColor="text1"/>
          <w:kern w:val="2"/>
          <w:sz w:val="36"/>
          <w:szCs w:val="36"/>
          <w14:textFill>
            <w14:solidFill>
              <w14:schemeClr w14:val="tx1"/>
            </w14:solidFill>
          </w14:textFill>
        </w:rPr>
        <w:sectPr>
          <w:headerReference r:id="rId3" w:type="default"/>
          <w:pgSz w:w="11906" w:h="16838"/>
          <w:pgMar w:top="1440" w:right="1418" w:bottom="1440" w:left="1418" w:header="851" w:footer="887" w:gutter="0"/>
          <w:pgNumType w:start="1"/>
          <w:cols w:space="720" w:num="1"/>
          <w:docGrid w:type="lines" w:linePitch="312" w:charSpace="0"/>
        </w:sectPr>
      </w:pPr>
    </w:p>
    <w:p>
      <w:pPr>
        <w:pStyle w:val="38"/>
        <w:numPr>
          <w:ilvl w:val="0"/>
          <w:numId w:val="4"/>
        </w:numPr>
        <w:spacing w:before="120" w:after="120" w:line="400" w:lineRule="exact"/>
        <w:jc w:val="center"/>
        <w:rPr>
          <w:rFonts w:hint="eastAsia" w:ascii="宋体" w:hAnsi="宋体" w:eastAsia="宋体" w:cs="宋体"/>
          <w:b/>
          <w:bCs w:val="0"/>
          <w:color w:val="000000" w:themeColor="text1"/>
          <w:kern w:val="2"/>
          <w:sz w:val="36"/>
          <w:szCs w:val="36"/>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2"/>
          <w:sz w:val="36"/>
          <w:szCs w:val="36"/>
          <w:highlight w:val="none"/>
          <w:lang w:val="en-US" w:eastAsia="zh-CN" w:bidi="ar-SA"/>
          <w14:textFill>
            <w14:solidFill>
              <w14:schemeClr w14:val="tx1"/>
            </w14:solidFill>
          </w14:textFill>
        </w:rPr>
        <w:t xml:space="preserve"> </w:t>
      </w:r>
      <w:bookmarkStart w:id="1" w:name="_Toc30352"/>
      <w:bookmarkStart w:id="2" w:name="_Toc25503"/>
      <w:r>
        <w:rPr>
          <w:rFonts w:hint="eastAsia" w:ascii="宋体" w:hAnsi="宋体" w:eastAsia="宋体" w:cs="宋体"/>
          <w:b/>
          <w:bCs w:val="0"/>
          <w:color w:val="000000" w:themeColor="text1"/>
          <w:kern w:val="2"/>
          <w:sz w:val="36"/>
          <w:szCs w:val="36"/>
          <w:highlight w:val="none"/>
          <w:lang w:val="en-US" w:eastAsia="zh-CN" w:bidi="ar-SA"/>
          <w14:textFill>
            <w14:solidFill>
              <w14:schemeClr w14:val="tx1"/>
            </w14:solidFill>
          </w14:textFill>
        </w:rPr>
        <w:t>招标公告</w:t>
      </w:r>
      <w:bookmarkEnd w:id="1"/>
      <w:bookmarkEnd w:id="2"/>
      <w:bookmarkStart w:id="3" w:name="_Toc152042305"/>
      <w:bookmarkStart w:id="4" w:name="_Toc144974497"/>
      <w:bookmarkStart w:id="5" w:name="_Toc152045529"/>
      <w:bookmarkStart w:id="6" w:name="_Toc4311"/>
      <w:bookmarkStart w:id="7" w:name="_Toc144974510"/>
      <w:bookmarkStart w:id="8" w:name="_Toc29577"/>
      <w:bookmarkStart w:id="9" w:name="_Toc152042318"/>
      <w:bookmarkStart w:id="10" w:name="_Toc152045542"/>
    </w:p>
    <w:p>
      <w:pPr>
        <w:widowControl/>
        <w:autoSpaceDE w:val="0"/>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bookmarkStart w:id="11" w:name="OLE_LINK5"/>
      <w:bookmarkStart w:id="12" w:name="OLE_LINK6"/>
      <w:bookmarkStart w:id="13" w:name="OLE_LINK4"/>
      <w:r>
        <w:rPr>
          <w:rFonts w:hint="eastAsia" w:ascii="宋体" w:hAnsi="宋体" w:eastAsia="宋体" w:cs="宋体"/>
          <w:b/>
          <w:color w:val="000000" w:themeColor="text1"/>
          <w:sz w:val="36"/>
          <w:szCs w:val="36"/>
          <w:highlight w:val="none"/>
          <w:lang w:eastAsia="zh-CN"/>
          <w14:textFill>
            <w14:solidFill>
              <w14:schemeClr w14:val="tx1"/>
            </w14:solidFill>
          </w14:textFill>
        </w:rPr>
        <w:t>唐河县2024年高标准农田示范区建设项目（郭滩镇、黑龙镇）勘测设计、招标控制价编制</w:t>
      </w:r>
    </w:p>
    <w:p>
      <w:pPr>
        <w:widowControl/>
        <w:autoSpaceDE w:val="0"/>
        <w:jc w:val="center"/>
        <w:rPr>
          <w:rFonts w:hint="eastAsia" w:ascii="宋体" w:hAnsi="宋体" w:eastAsia="宋体" w:cs="宋体"/>
          <w:color w:val="000000" w:themeColor="text1"/>
          <w:kern w:val="0"/>
          <w:sz w:val="36"/>
          <w:szCs w:val="36"/>
          <w:highlight w:val="none"/>
          <w14:textFill>
            <w14:solidFill>
              <w14:schemeClr w14:val="tx1"/>
            </w14:solidFill>
          </w14:textFill>
        </w:rPr>
      </w:pPr>
      <w:r>
        <w:rPr>
          <w:rFonts w:hint="eastAsia" w:ascii="宋体" w:hAnsi="宋体" w:eastAsia="宋体" w:cs="宋体"/>
          <w:b/>
          <w:bCs/>
          <w:color w:val="000000" w:themeColor="text1"/>
          <w:kern w:val="0"/>
          <w:sz w:val="36"/>
          <w:szCs w:val="36"/>
          <w:highlight w:val="none"/>
          <w14:textFill>
            <w14:solidFill>
              <w14:schemeClr w14:val="tx1"/>
            </w14:solidFill>
          </w14:textFill>
        </w:rPr>
        <w:t>招标公告</w:t>
      </w:r>
    </w:p>
    <w:bookmarkEnd w:id="11"/>
    <w:bookmarkEnd w:id="12"/>
    <w:bookmarkEnd w:id="13"/>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一、招标条件</w:t>
      </w:r>
      <w:r>
        <w:rPr>
          <w:rFonts w:hint="eastAsia" w:ascii="宋体" w:hAnsi="宋体" w:cs="宋体"/>
          <w:b/>
          <w:bCs/>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b/>
          <w:bCs/>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eastAsia="zh-CN"/>
          <w14:textFill>
            <w14:solidFill>
              <w14:schemeClr w14:val="tx1"/>
            </w14:solidFill>
          </w14:textFill>
        </w:rPr>
        <w:t>唐河县2024年高标准农田示范区建设项目（郭滩镇、黑龙镇）勘测设计、招标控制价编制已由南阳市农业农村局（项目文号：宛农[2023]55号）</w:t>
      </w:r>
      <w:r>
        <w:rPr>
          <w:rFonts w:hint="eastAsia" w:ascii="宋体" w:hAnsi="宋体" w:cs="宋体"/>
          <w:color w:val="000000" w:themeColor="text1"/>
          <w:kern w:val="0"/>
          <w:sz w:val="28"/>
          <w:szCs w:val="28"/>
          <w:highlight w:val="none"/>
          <w:lang w:eastAsia="zh-CN"/>
          <w14:textFill>
            <w14:solidFill>
              <w14:schemeClr w14:val="tx1"/>
            </w14:solidFill>
          </w14:textFill>
        </w:rPr>
        <w:t>（</w:t>
      </w:r>
      <w:r>
        <w:rPr>
          <w:rFonts w:hint="eastAsia" w:ascii="宋体" w:hAnsi="宋体" w:cs="宋体"/>
          <w:color w:val="000000" w:themeColor="text1"/>
          <w:kern w:val="0"/>
          <w:sz w:val="28"/>
          <w:szCs w:val="28"/>
          <w:highlight w:val="none"/>
          <w:lang w:val="en-US" w:eastAsia="zh-CN"/>
          <w14:textFill>
            <w14:solidFill>
              <w14:schemeClr w14:val="tx1"/>
            </w14:solidFill>
          </w14:textFill>
        </w:rPr>
        <w:t>项目代码：2309-411328-04-01-631380</w:t>
      </w:r>
      <w:r>
        <w:rPr>
          <w:rFonts w:hint="eastAsia" w:ascii="宋体" w:hAnsi="宋体" w:cs="宋体"/>
          <w:color w:val="000000" w:themeColor="text1"/>
          <w:kern w:val="0"/>
          <w:sz w:val="28"/>
          <w:szCs w:val="28"/>
          <w:highlight w:val="none"/>
          <w:lang w:eastAsia="zh-CN"/>
          <w14:textFill>
            <w14:solidFill>
              <w14:schemeClr w14:val="tx1"/>
            </w14:solidFill>
          </w14:textFill>
        </w:rPr>
        <w:t>）</w:t>
      </w:r>
      <w:r>
        <w:rPr>
          <w:rFonts w:hint="eastAsia" w:ascii="宋体" w:hAnsi="宋体" w:eastAsia="宋体" w:cs="宋体"/>
          <w:color w:val="000000" w:themeColor="text1"/>
          <w:kern w:val="0"/>
          <w:sz w:val="28"/>
          <w:szCs w:val="28"/>
          <w:highlight w:val="none"/>
          <w:lang w:eastAsia="zh-CN"/>
          <w14:textFill>
            <w14:solidFill>
              <w14:schemeClr w14:val="tx1"/>
            </w14:solidFill>
          </w14:textFill>
        </w:rPr>
        <w:t>批准建设；资金来源为发行政府专项债券和使用政策性贷款进行融资。招标人为南阳优田农业发展有限公司，招标代理机构为河南四铭工程管理有限公司。项目已具备招标条件，现对该项目勘测设计和招标控制价编制进行国内公开招标。本次招标采用全流程电子辅助招投标。</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二、项目概况及编号</w:t>
      </w:r>
      <w:r>
        <w:rPr>
          <w:rFonts w:hint="eastAsia" w:ascii="宋体" w:hAnsi="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2.1</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项目</w:t>
      </w:r>
      <w:r>
        <w:rPr>
          <w:rFonts w:hint="eastAsia" w:ascii="宋体" w:hAnsi="宋体" w:eastAsia="宋体" w:cs="宋体"/>
          <w:color w:val="000000" w:themeColor="text1"/>
          <w:kern w:val="0"/>
          <w:sz w:val="28"/>
          <w:szCs w:val="28"/>
          <w:highlight w:val="none"/>
          <w14:textFill>
            <w14:solidFill>
              <w14:schemeClr w14:val="tx1"/>
            </w14:solidFill>
          </w14:textFill>
        </w:rPr>
        <w:t>名称：</w:t>
      </w:r>
      <w:r>
        <w:rPr>
          <w:rFonts w:hint="eastAsia" w:ascii="宋体" w:hAnsi="宋体" w:eastAsia="宋体" w:cs="宋体"/>
          <w:color w:val="000000" w:themeColor="text1"/>
          <w:kern w:val="0"/>
          <w:sz w:val="28"/>
          <w:szCs w:val="28"/>
          <w:highlight w:val="none"/>
          <w:lang w:eastAsia="zh-CN"/>
          <w14:textFill>
            <w14:solidFill>
              <w14:schemeClr w14:val="tx1"/>
            </w14:solidFill>
          </w14:textFill>
        </w:rPr>
        <w:t>唐河县2024年高标准农田示范区建设项目（郭滩镇、黑龙镇）勘测设计、招标控制价编制</w:t>
      </w:r>
    </w:p>
    <w:p>
      <w:pPr>
        <w:keepNext w:val="0"/>
        <w:keepLines w:val="0"/>
        <w:pageBreakBefore w:val="0"/>
        <w:widowControl w:val="0"/>
        <w:kinsoku/>
        <w:wordWrap/>
        <w:overflowPunct/>
        <w:topLinePunct w:val="0"/>
        <w:autoSpaceDN/>
        <w:bidi w:val="0"/>
        <w:adjustRightInd/>
        <w:snapToGrid/>
        <w:spacing w:line="240" w:lineRule="auto"/>
        <w:textAlignment w:val="auto"/>
        <w:rPr>
          <w:rFonts w:hint="default"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2.2招标编号</w:t>
      </w:r>
      <w:r>
        <w:rPr>
          <w:rFonts w:hint="eastAsia" w:ascii="宋体" w:hAnsi="宋体" w:eastAsia="宋体" w:cs="宋体"/>
          <w:color w:val="auto"/>
          <w:kern w:val="0"/>
          <w:sz w:val="28"/>
          <w:szCs w:val="28"/>
          <w:highlight w:val="none"/>
        </w:rPr>
        <w:t>：thggzygcjy-2024-</w:t>
      </w:r>
      <w:r>
        <w:rPr>
          <w:rFonts w:hint="eastAsia" w:ascii="宋体" w:hAnsi="宋体" w:cs="宋体"/>
          <w:color w:val="auto"/>
          <w:kern w:val="0"/>
          <w:sz w:val="28"/>
          <w:szCs w:val="28"/>
          <w:highlight w:val="none"/>
          <w:lang w:val="en-US" w:eastAsia="zh-CN"/>
        </w:rPr>
        <w:t>039</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2.3建设地点：唐河县郭滩镇、</w:t>
      </w:r>
      <w:r>
        <w:rPr>
          <w:rFonts w:hint="eastAsia" w:ascii="宋体" w:hAnsi="宋体" w:eastAsia="宋体" w:cs="宋体"/>
          <w:color w:val="000000" w:themeColor="text1"/>
          <w:kern w:val="0"/>
          <w:sz w:val="28"/>
          <w:szCs w:val="28"/>
          <w:highlight w:val="none"/>
          <w:lang w:eastAsia="zh-CN"/>
          <w14:textFill>
            <w14:solidFill>
              <w14:schemeClr w14:val="tx1"/>
            </w14:solidFill>
          </w14:textFill>
        </w:rPr>
        <w:t>黑龙镇</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2.4招标范围：</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rPr>
        <w:t>标段：唐河县2024年郭滩镇2.0万亩高标准农田示范区建设项目的初步设计、实施计划、概预算、施工图设计及后期设计技术问题解决、各阶段验收等服务</w:t>
      </w:r>
      <w:r>
        <w:rPr>
          <w:rFonts w:hint="eastAsia" w:ascii="宋体" w:hAnsi="宋体" w:eastAsia="宋体" w:cs="宋体"/>
          <w:color w:val="auto"/>
          <w:kern w:val="0"/>
          <w:sz w:val="28"/>
          <w:szCs w:val="28"/>
          <w:highlight w:val="none"/>
          <w:lang w:eastAsia="zh-CN"/>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标段：唐河县2024年黑龙镇1.0万亩高标准农田示范区建设项目的初步设计、实施计划、概预算、施工图设计及后期设计技术问题解决、各阶段验收等服务</w:t>
      </w:r>
      <w:r>
        <w:rPr>
          <w:rFonts w:hint="eastAsia" w:ascii="宋体" w:hAnsi="宋体" w:eastAsia="宋体" w:cs="宋体"/>
          <w:color w:val="auto"/>
          <w:kern w:val="0"/>
          <w:sz w:val="28"/>
          <w:szCs w:val="28"/>
          <w:highlight w:val="none"/>
          <w:lang w:eastAsia="zh-CN"/>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3</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标段：唐河县2024年高标准农田示范区建设项目（郭滩镇、</w:t>
      </w:r>
      <w:r>
        <w:rPr>
          <w:rFonts w:hint="eastAsia" w:ascii="宋体" w:hAnsi="宋体" w:eastAsia="宋体" w:cs="宋体"/>
          <w:color w:val="000000" w:themeColor="text1"/>
          <w:kern w:val="0"/>
          <w:sz w:val="28"/>
          <w:szCs w:val="28"/>
          <w:highlight w:val="none"/>
          <w:lang w:eastAsia="zh-CN"/>
          <w14:textFill>
            <w14:solidFill>
              <w14:schemeClr w14:val="tx1"/>
            </w14:solidFill>
          </w14:textFill>
        </w:rPr>
        <w:t>黑龙镇</w:t>
      </w:r>
      <w:r>
        <w:rPr>
          <w:rFonts w:hint="eastAsia" w:ascii="宋体" w:hAnsi="宋体" w:eastAsia="宋体" w:cs="宋体"/>
          <w:color w:val="000000" w:themeColor="text1"/>
          <w:kern w:val="0"/>
          <w:sz w:val="28"/>
          <w:szCs w:val="28"/>
          <w:highlight w:val="none"/>
          <w14:textFill>
            <w14:solidFill>
              <w14:schemeClr w14:val="tx1"/>
            </w14:solidFill>
          </w14:textFill>
        </w:rPr>
        <w:t>）的控制价编制服务。</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2.5</w:t>
      </w:r>
      <w:r>
        <w:rPr>
          <w:rFonts w:hint="eastAsia" w:ascii="宋体" w:hAnsi="宋体" w:eastAsia="宋体" w:cs="宋体"/>
          <w:color w:val="auto"/>
          <w:kern w:val="0"/>
          <w:sz w:val="28"/>
          <w:szCs w:val="28"/>
          <w:highlight w:val="none"/>
          <w:lang w:val="en-US" w:eastAsia="zh-CN"/>
        </w:rPr>
        <w:t>服务期限</w:t>
      </w:r>
      <w:r>
        <w:rPr>
          <w:rFonts w:hint="eastAsia" w:ascii="宋体" w:hAnsi="宋体" w:eastAsia="宋体" w:cs="宋体"/>
          <w:color w:val="auto"/>
          <w:kern w:val="0"/>
          <w:sz w:val="28"/>
          <w:szCs w:val="28"/>
          <w:highlight w:val="none"/>
        </w:rPr>
        <w:t>：</w:t>
      </w:r>
      <w:r>
        <w:rPr>
          <w:rFonts w:hint="eastAsia" w:ascii="宋体" w:hAnsi="宋体" w:eastAsia="宋体" w:cs="宋体"/>
          <w:color w:val="000000" w:themeColor="text1"/>
          <w:kern w:val="0"/>
          <w:sz w:val="28"/>
          <w:szCs w:val="28"/>
          <w:highlight w:val="none"/>
          <w14:textFill>
            <w14:solidFill>
              <w14:schemeClr w14:val="tx1"/>
            </w14:solidFill>
          </w14:textFill>
        </w:rPr>
        <w:t>合同签订后20日历天；</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2.6质量要求：合格，符合国家规范要求；</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2.7标段划分：本项目共划分为</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三</w:t>
      </w:r>
      <w:r>
        <w:rPr>
          <w:rFonts w:hint="eastAsia" w:ascii="宋体" w:hAnsi="宋体" w:eastAsia="宋体" w:cs="宋体"/>
          <w:color w:val="000000" w:themeColor="text1"/>
          <w:kern w:val="0"/>
          <w:sz w:val="28"/>
          <w:szCs w:val="28"/>
          <w:highlight w:val="none"/>
          <w14:textFill>
            <w14:solidFill>
              <w14:schemeClr w14:val="tx1"/>
            </w14:solidFill>
          </w14:textFill>
        </w:rPr>
        <w:t>个标段</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1</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标段：唐河县2024年郭滩镇2.0万亩高标准农田示范区建设项目勘测设计；</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2</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标段：唐河县2024年黑龙镇1.0万亩高标准农田示范区建设项目勘测设计；</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highlight w:val="none"/>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3</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标段：唐河县2024年高标准农田示范区建设项目（郭滩镇、</w:t>
      </w:r>
      <w:r>
        <w:rPr>
          <w:rFonts w:hint="eastAsia" w:ascii="宋体" w:hAnsi="宋体" w:eastAsia="宋体" w:cs="宋体"/>
          <w:color w:val="000000" w:themeColor="text1"/>
          <w:kern w:val="0"/>
          <w:sz w:val="28"/>
          <w:szCs w:val="28"/>
          <w:highlight w:val="none"/>
          <w:lang w:eastAsia="zh-CN"/>
          <w14:textFill>
            <w14:solidFill>
              <w14:schemeClr w14:val="tx1"/>
            </w14:solidFill>
          </w14:textFill>
        </w:rPr>
        <w:t>黑龙镇</w:t>
      </w:r>
      <w:r>
        <w:rPr>
          <w:rFonts w:hint="eastAsia" w:ascii="宋体" w:hAnsi="宋体" w:eastAsia="宋体" w:cs="宋体"/>
          <w:color w:val="000000" w:themeColor="text1"/>
          <w:kern w:val="0"/>
          <w:sz w:val="28"/>
          <w:szCs w:val="28"/>
          <w:highlight w:val="none"/>
          <w14:textFill>
            <w14:solidFill>
              <w14:schemeClr w14:val="tx1"/>
            </w14:solidFill>
          </w14:textFill>
        </w:rPr>
        <w:t>）招标控制价编制；</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三、投标人资格要求</w:t>
      </w:r>
      <w:r>
        <w:rPr>
          <w:rFonts w:hint="eastAsia" w:ascii="宋体" w:hAnsi="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3.1投标人须具备独立法人资格，持有有效的营业执照；</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3.2（</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1</w:t>
      </w:r>
      <w:r>
        <w:rPr>
          <w:rFonts w:hint="eastAsia" w:ascii="宋体" w:hAnsi="宋体" w:eastAsia="宋体" w:cs="宋体"/>
          <w:color w:val="000000" w:themeColor="text1"/>
          <w:kern w:val="0"/>
          <w:sz w:val="28"/>
          <w:szCs w:val="28"/>
          <w:highlight w:val="none"/>
          <w14:textFill>
            <w14:solidFill>
              <w14:schemeClr w14:val="tx1"/>
            </w14:solidFill>
          </w14:textFill>
        </w:rPr>
        <w:t>-2标段）投标人须具有行政主管部门颁发的农林行业（农业综合开发生态工程）专业工程设计乙级及以上资质或水利行业（灌溉排涝）专业乙级及以上设计资质；拟派项目负责人应具备相关专业中级及以上技术职称；</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3.3(3标段）投标人拟派项目负责人具有</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相关专业二级及以上</w:t>
      </w:r>
      <w:r>
        <w:rPr>
          <w:rFonts w:hint="eastAsia" w:ascii="宋体" w:hAnsi="宋体" w:eastAsia="宋体" w:cs="宋体"/>
          <w:color w:val="000000" w:themeColor="text1"/>
          <w:kern w:val="0"/>
          <w:sz w:val="28"/>
          <w:szCs w:val="28"/>
          <w:highlight w:val="none"/>
          <w14:textFill>
            <w14:solidFill>
              <w14:schemeClr w14:val="tx1"/>
            </w14:solidFill>
          </w14:textFill>
        </w:rPr>
        <w:t>注册造价工程师</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执业资格</w:t>
      </w:r>
      <w:r>
        <w:rPr>
          <w:rFonts w:hint="eastAsia" w:ascii="宋体" w:hAnsi="宋体" w:eastAsia="宋体" w:cs="宋体"/>
          <w:color w:val="000000" w:themeColor="text1"/>
          <w:kern w:val="0"/>
          <w:sz w:val="28"/>
          <w:szCs w:val="28"/>
          <w:highlight w:val="none"/>
          <w14:textFill>
            <w14:solidFill>
              <w14:schemeClr w14:val="tx1"/>
            </w14:solidFill>
          </w14:textFill>
        </w:rPr>
        <w:t>证书；</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3.4具有近三年任意一年经审计的财务报告，财务状况良好，信誉良好；（成立不足三年的企业，从成立之日算起）；</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3.5投标人须出具无行贿犯罪承诺（承诺对象包括：企业、法定代表人、项目负责人），并对其真实性负责。若承诺不实，所造成的一切后果由投标人自行承担；</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3.6列入失信被执行人、重大税收违法失信主体名单的投标人，拒绝参与本项目招投标活动；【查询渠道：“信用中国”网站（www.creditchina.gov.cn）；“中国裁判文书网 ”（http://wenshu.court.gov.cn/）查询投标人相关主体（企业、法定代表人、项目负责人）的查询结果（因中国裁判文书网改版，可查询“中国执行信息公开网（http://zxgk.court.gov.cn/）”替代），凡被列入重大违法案件（刑事案件、强制清算与破产）的，依法限制其参与投标和工程建设】（提供网站截图加盖公章，查询日期不得早于招标公告发布之日）；</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3.7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3.8本次招标不接受联合体投标，不允许分包和转包。</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四、招标文件的获取方法</w:t>
      </w:r>
      <w:r>
        <w:rPr>
          <w:rFonts w:hint="eastAsia" w:ascii="宋体" w:hAnsi="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4.1招标文件的获取方式：网上下载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8"/>
          <w:szCs w:val="28"/>
          <w:highlight w:val="none"/>
        </w:rPr>
      </w:pPr>
      <w:r>
        <w:rPr>
          <w:rFonts w:hint="eastAsia" w:ascii="宋体" w:hAnsi="宋体" w:eastAsia="宋体" w:cs="宋体"/>
          <w:color w:val="000000" w:themeColor="text1"/>
          <w:kern w:val="0"/>
          <w:sz w:val="28"/>
          <w:szCs w:val="28"/>
          <w:highlight w:val="none"/>
          <w14:textFill>
            <w14:solidFill>
              <w14:schemeClr w14:val="tx1"/>
            </w14:solidFill>
          </w14:textFill>
        </w:rPr>
        <w:t>4.2获取招标文件时间</w:t>
      </w:r>
      <w:r>
        <w:rPr>
          <w:rFonts w:hint="eastAsia" w:ascii="宋体" w:hAnsi="宋体" w:eastAsia="宋体" w:cs="宋体"/>
          <w:color w:val="auto"/>
          <w:kern w:val="0"/>
          <w:sz w:val="28"/>
          <w:szCs w:val="28"/>
          <w:highlight w:val="none"/>
        </w:rPr>
        <w:t>：2024年</w:t>
      </w: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月</w:t>
      </w:r>
      <w:r>
        <w:rPr>
          <w:rFonts w:hint="eastAsia" w:ascii="宋体" w:hAnsi="宋体" w:cs="宋体"/>
          <w:color w:val="auto"/>
          <w:kern w:val="0"/>
          <w:sz w:val="28"/>
          <w:szCs w:val="28"/>
          <w:highlight w:val="none"/>
          <w:lang w:val="en-US" w:eastAsia="zh-CN"/>
        </w:rPr>
        <w:t>23</w:t>
      </w:r>
      <w:r>
        <w:rPr>
          <w:rFonts w:hint="eastAsia" w:ascii="宋体" w:hAnsi="宋体" w:eastAsia="宋体" w:cs="宋体"/>
          <w:color w:val="auto"/>
          <w:kern w:val="0"/>
          <w:sz w:val="28"/>
          <w:szCs w:val="28"/>
          <w:highlight w:val="none"/>
        </w:rPr>
        <w:t>日10时00分至2024年</w:t>
      </w: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月</w:t>
      </w:r>
      <w:r>
        <w:rPr>
          <w:rFonts w:hint="eastAsia" w:ascii="宋体" w:hAnsi="宋体" w:cs="宋体"/>
          <w:color w:val="auto"/>
          <w:kern w:val="0"/>
          <w:sz w:val="28"/>
          <w:szCs w:val="28"/>
          <w:highlight w:val="none"/>
          <w:lang w:val="en-US" w:eastAsia="zh-CN"/>
        </w:rPr>
        <w:t>30</w:t>
      </w:r>
      <w:r>
        <w:rPr>
          <w:rFonts w:hint="eastAsia" w:ascii="宋体" w:hAnsi="宋体" w:eastAsia="宋体" w:cs="宋体"/>
          <w:color w:val="auto"/>
          <w:kern w:val="0"/>
          <w:sz w:val="28"/>
          <w:szCs w:val="28"/>
          <w:highlight w:val="none"/>
        </w:rPr>
        <w:t>日17时30分。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4.3招标文件售价：本项目不收取招标文件费用。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4.4成功下载本项目招标文件的投标单位为合格投标人。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rPr>
        <w:t>五、投标文件的递交时间及地点</w:t>
      </w:r>
      <w:r>
        <w:rPr>
          <w:rFonts w:hint="eastAsia" w:ascii="宋体" w:hAnsi="宋体" w:cs="宋体"/>
          <w:b/>
          <w:bCs/>
          <w:color w:val="auto"/>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color w:val="auto"/>
          <w:kern w:val="0"/>
          <w:sz w:val="28"/>
          <w:szCs w:val="28"/>
          <w:highlight w:val="none"/>
        </w:rPr>
        <w:t>5.1电子投标文件递交的截止时间及开标时间：2024年</w:t>
      </w:r>
      <w:r>
        <w:rPr>
          <w:rFonts w:hint="eastAsia" w:ascii="宋体" w:hAnsi="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rPr>
        <w:t>月</w:t>
      </w:r>
      <w:r>
        <w:rPr>
          <w:rFonts w:hint="eastAsia" w:ascii="宋体" w:hAnsi="宋体" w:cs="宋体"/>
          <w:color w:val="auto"/>
          <w:kern w:val="0"/>
          <w:sz w:val="28"/>
          <w:szCs w:val="28"/>
          <w:highlight w:val="none"/>
          <w:lang w:val="en-US" w:eastAsia="zh-CN"/>
        </w:rPr>
        <w:t>16</w:t>
      </w:r>
      <w:r>
        <w:rPr>
          <w:rFonts w:hint="eastAsia" w:ascii="宋体" w:hAnsi="宋体" w:eastAsia="宋体" w:cs="宋体"/>
          <w:color w:val="auto"/>
          <w:kern w:val="0"/>
          <w:sz w:val="28"/>
          <w:szCs w:val="28"/>
          <w:highlight w:val="none"/>
        </w:rPr>
        <w:t>日上午</w:t>
      </w:r>
      <w:r>
        <w:rPr>
          <w:rFonts w:hint="eastAsia" w:ascii="宋体" w:hAnsi="宋体" w:eastAsia="宋体" w:cs="宋体"/>
          <w:color w:val="auto"/>
          <w:kern w:val="0"/>
          <w:sz w:val="28"/>
          <w:szCs w:val="28"/>
          <w:highlight w:val="none"/>
          <w:lang w:val="en-US" w:eastAsia="zh-CN"/>
        </w:rPr>
        <w:t>9</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0整；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5.2开标地点：</w:t>
      </w:r>
      <w:r>
        <w:rPr>
          <w:rFonts w:hint="eastAsia" w:ascii="宋体" w:hAnsi="宋体" w:eastAsia="宋体" w:cs="宋体"/>
          <w:kern w:val="0"/>
          <w:sz w:val="28"/>
          <w:szCs w:val="28"/>
          <w:highlight w:val="none"/>
        </w:rPr>
        <w:t>唐河县公共资源交易</w:t>
      </w:r>
      <w:r>
        <w:rPr>
          <w:rFonts w:hint="eastAsia" w:ascii="宋体" w:hAnsi="宋体" w:eastAsia="宋体" w:cs="宋体"/>
          <w:color w:val="auto"/>
          <w:kern w:val="0"/>
          <w:sz w:val="28"/>
          <w:szCs w:val="28"/>
          <w:highlight w:val="none"/>
        </w:rPr>
        <w:t>中心第</w:t>
      </w:r>
      <w:r>
        <w:rPr>
          <w:rFonts w:hint="eastAsia" w:ascii="宋体" w:hAnsi="宋体" w:cs="宋体"/>
          <w:color w:val="auto"/>
          <w:kern w:val="0"/>
          <w:sz w:val="28"/>
          <w:szCs w:val="28"/>
          <w:highlight w:val="none"/>
          <w:lang w:val="en-US" w:eastAsia="zh-CN"/>
        </w:rPr>
        <w:t>二</w:t>
      </w:r>
      <w:r>
        <w:rPr>
          <w:rFonts w:hint="eastAsia" w:ascii="宋体" w:hAnsi="宋体" w:eastAsia="宋体" w:cs="宋体"/>
          <w:color w:val="auto"/>
          <w:kern w:val="0"/>
          <w:sz w:val="28"/>
          <w:szCs w:val="28"/>
          <w:highlight w:val="none"/>
        </w:rPr>
        <w:t>开标室</w:t>
      </w:r>
      <w:r>
        <w:rPr>
          <w:rFonts w:hint="eastAsia" w:ascii="宋体" w:hAnsi="宋体" w:eastAsia="宋体" w:cs="宋体"/>
          <w:color w:val="000000" w:themeColor="text1"/>
          <w:kern w:val="0"/>
          <w:sz w:val="28"/>
          <w:szCs w:val="28"/>
          <w:highlight w:val="none"/>
          <w14:textFill>
            <w14:solidFill>
              <w14:schemeClr w14:val="tx1"/>
            </w14:solidFill>
          </w14:textFill>
        </w:rPr>
        <w:t>（本项目采用网上不见面方式开标，投标企业无需到达开标现场）；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r>
        <w:rPr>
          <w:rFonts w:hint="eastAsia" w:ascii="宋体" w:hAnsi="宋体" w:eastAsia="宋体" w:cs="宋体"/>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5.4该项目自行上传投标文件，无需寄送和递交非加密投标文件光盘等。需提前登录不见面开标系统；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5.5因投标人无需现场参与开标，所有准备工作需要自行到位。开标过程中如遇到紧急事项，可在不见面开标大厅中进行提出异议或文字交流</w:t>
      </w:r>
      <w:r>
        <w:rPr>
          <w:rFonts w:hint="eastAsia" w:ascii="宋体" w:hAnsi="宋体" w:eastAsia="宋体" w:cs="宋体"/>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5.6不见面开标过程中，如投标人准备不到位，造成无法及时解密、网络问题等情况造成开标无法继续的，视为该投标人自动放弃投标（30分钟内），将被退回投标文件；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5.7电子投标文件应在招标文件规定的投标截止时间前到达交易系统。逾期到达交易系统的电子投标文件视为放弃本次投标。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六、本次招标项目招标人不组织踏勘现场和投标预备会。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七、发布公告的媒介：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本次招标公告同时在《中国招标投标公共服务平台》、《河南省电子招标投标公共服务平台》、《唐河县公共资源交易中心》发布。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八、联系方式</w:t>
      </w:r>
      <w:r>
        <w:rPr>
          <w:rFonts w:hint="eastAsia" w:ascii="宋体" w:hAnsi="宋体" w:eastAsia="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招标人：</w:t>
      </w:r>
      <w:r>
        <w:rPr>
          <w:rFonts w:hint="eastAsia" w:ascii="宋体" w:hAnsi="宋体" w:eastAsia="宋体" w:cs="宋体"/>
          <w:kern w:val="0"/>
          <w:sz w:val="28"/>
          <w:szCs w:val="28"/>
          <w:highlight w:val="none"/>
          <w:lang w:eastAsia="zh-CN"/>
        </w:rPr>
        <w:t>南阳优田农业发展有限公司</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联系人：张先生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话：13569261617</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地</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址：唐河县临港街道办事处龙山路1911号</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监督单位：唐河县农业农村局</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联 系 人：刘先生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话：18638953996</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地</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址：唐河县凤山大道</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招标代理机构：</w:t>
      </w:r>
      <w:r>
        <w:rPr>
          <w:rFonts w:hint="eastAsia" w:ascii="宋体" w:hAnsi="宋体" w:eastAsia="宋体" w:cs="宋体"/>
          <w:color w:val="000000" w:themeColor="text1"/>
          <w:kern w:val="0"/>
          <w:sz w:val="28"/>
          <w:szCs w:val="28"/>
          <w:highlight w:val="none"/>
          <w:lang w:eastAsia="zh-CN"/>
          <w14:textFill>
            <w14:solidFill>
              <w14:schemeClr w14:val="tx1"/>
            </w14:solidFill>
          </w14:textFill>
        </w:rPr>
        <w:t>河南四铭工程管理有限公司</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联系人：阚先生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电</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14:textFill>
            <w14:solidFill>
              <w14:schemeClr w14:val="tx1"/>
            </w14:solidFill>
          </w14:textFill>
        </w:rPr>
        <w:t>话：17656664342</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地</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14:textFill>
            <w14:solidFill>
              <w14:schemeClr w14:val="tx1"/>
            </w14:solidFill>
          </w14:textFill>
        </w:rPr>
        <w:t>址：河南自贸试验区郑州片区第二大街58号兴华大厦B座302室</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唐河县公共资源交易中心</w:t>
      </w:r>
    </w:p>
    <w:p>
      <w:pPr>
        <w:keepNext w:val="0"/>
        <w:keepLines w:val="0"/>
        <w:pageBreakBefore w:val="0"/>
        <w:widowControl w:val="0"/>
        <w:kinsoku/>
        <w:wordWrap/>
        <w:overflowPunct/>
        <w:topLinePunct w:val="0"/>
        <w:autoSpaceDN/>
        <w:bidi w:val="0"/>
        <w:adjustRightInd/>
        <w:snapToGrid/>
        <w:spacing w:line="240" w:lineRule="auto"/>
        <w:textAlignment w:val="auto"/>
        <w:rPr>
          <w:rFonts w:hint="default"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rPr>
        <w:t>联系人：</w:t>
      </w:r>
      <w:r>
        <w:rPr>
          <w:rFonts w:hint="eastAsia" w:ascii="宋体" w:hAnsi="宋体" w:cs="宋体"/>
          <w:color w:val="auto"/>
          <w:kern w:val="0"/>
          <w:sz w:val="28"/>
          <w:szCs w:val="28"/>
          <w:highlight w:val="none"/>
          <w:lang w:val="en-US" w:eastAsia="zh-CN"/>
        </w:rPr>
        <w:t>柴先生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电话：0377-68513299</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地址：唐河县和谐广场三号楼</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lang w:eastAsia="zh-CN"/>
          <w14:textFill>
            <w14:solidFill>
              <w14:schemeClr w14:val="tx1"/>
            </w14:solidFill>
          </w14:textFill>
        </w:rPr>
        <w:t>南阳优田农业发展有限公司</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lang w:eastAsia="zh-CN"/>
          <w14:textFill>
            <w14:solidFill>
              <w14:schemeClr w14:val="tx1"/>
            </w14:solidFill>
          </w14:textFill>
        </w:rPr>
        <w:t>河南四铭工程管理有限公司</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新宋体" w:hAnsi="新宋体" w:eastAsia="新宋体" w:cs="新宋体"/>
          <w:kern w:val="0"/>
          <w:sz w:val="28"/>
          <w:szCs w:val="28"/>
        </w:rPr>
      </w:pPr>
      <w:r>
        <w:rPr>
          <w:rFonts w:hint="eastAsia" w:ascii="宋体" w:hAnsi="宋体" w:eastAsia="宋体" w:cs="宋体"/>
          <w:kern w:val="0"/>
          <w:sz w:val="28"/>
          <w:szCs w:val="28"/>
          <w:highlight w:val="none"/>
        </w:rPr>
        <w:t>2024年</w:t>
      </w:r>
      <w:r>
        <w:rPr>
          <w:rFonts w:hint="eastAsia" w:ascii="宋体" w:hAnsi="宋体" w:cs="宋体"/>
          <w:kern w:val="0"/>
          <w:sz w:val="28"/>
          <w:szCs w:val="28"/>
          <w:highlight w:val="none"/>
          <w:lang w:val="en-US" w:eastAsia="zh-CN"/>
        </w:rPr>
        <w:t>4</w:t>
      </w:r>
      <w:r>
        <w:rPr>
          <w:rFonts w:hint="eastAsia" w:ascii="宋体" w:hAnsi="宋体" w:eastAsia="宋体" w:cs="宋体"/>
          <w:kern w:val="0"/>
          <w:sz w:val="28"/>
          <w:szCs w:val="28"/>
          <w:highlight w:val="none"/>
        </w:rPr>
        <w:t>月</w:t>
      </w:r>
      <w:r>
        <w:rPr>
          <w:rFonts w:hint="eastAsia" w:ascii="宋体" w:hAnsi="宋体" w:cs="宋体"/>
          <w:kern w:val="0"/>
          <w:sz w:val="28"/>
          <w:szCs w:val="28"/>
          <w:highlight w:val="none"/>
          <w:lang w:val="en-US" w:eastAsia="zh-CN"/>
        </w:rPr>
        <w:t>19</w:t>
      </w:r>
      <w:r>
        <w:rPr>
          <w:rFonts w:hint="eastAsia" w:ascii="宋体" w:hAnsi="宋体" w:eastAsia="宋体" w:cs="宋体"/>
          <w:kern w:val="0"/>
          <w:sz w:val="28"/>
          <w:szCs w:val="28"/>
          <w:highlight w:val="none"/>
        </w:rPr>
        <w:t>日</w:t>
      </w:r>
    </w:p>
    <w:p>
      <w:pPr>
        <w:rPr>
          <w:rFonts w:hint="eastAsia" w:ascii="新宋体" w:hAnsi="新宋体" w:eastAsia="新宋体" w:cs="新宋体"/>
          <w:kern w:val="0"/>
          <w:sz w:val="28"/>
          <w:szCs w:val="28"/>
        </w:rPr>
      </w:pPr>
      <w:r>
        <w:rPr>
          <w:rFonts w:hint="eastAsia" w:ascii="新宋体" w:hAnsi="新宋体" w:eastAsia="新宋体" w:cs="新宋体"/>
          <w:kern w:val="0"/>
          <w:sz w:val="28"/>
          <w:szCs w:val="28"/>
        </w:rPr>
        <w:br w:type="page"/>
      </w:r>
    </w:p>
    <w:p>
      <w:pPr>
        <w:pStyle w:val="38"/>
        <w:numPr>
          <w:ilvl w:val="0"/>
          <w:numId w:val="0"/>
        </w:numPr>
        <w:spacing w:before="120" w:after="120" w:line="400" w:lineRule="exact"/>
        <w:jc w:val="center"/>
        <w:rPr>
          <w:rFonts w:ascii="宋体" w:hAnsi="宋体" w:cs="宋体"/>
          <w:color w:val="000000" w:themeColor="text1"/>
          <w:sz w:val="36"/>
          <w:szCs w:val="48"/>
          <w14:textFill>
            <w14:solidFill>
              <w14:schemeClr w14:val="tx1"/>
            </w14:solidFill>
          </w14:textFill>
        </w:rPr>
      </w:pPr>
      <w:bookmarkStart w:id="14" w:name="_Toc13172"/>
      <w:r>
        <w:rPr>
          <w:rFonts w:hint="eastAsia" w:ascii="宋体" w:hAnsi="宋体" w:cs="宋体"/>
          <w:color w:val="000000" w:themeColor="text1"/>
          <w:sz w:val="36"/>
          <w:szCs w:val="48"/>
          <w14:textFill>
            <w14:solidFill>
              <w14:schemeClr w14:val="tx1"/>
            </w14:solidFill>
          </w14:textFill>
        </w:rPr>
        <w:t>第二章  投标人须知</w:t>
      </w:r>
      <w:bookmarkEnd w:id="14"/>
    </w:p>
    <w:p>
      <w:pPr>
        <w:pStyle w:val="5"/>
        <w:jc w:val="center"/>
        <w:rPr>
          <w:color w:val="000000" w:themeColor="text1"/>
          <w14:textFill>
            <w14:solidFill>
              <w14:schemeClr w14:val="tx1"/>
            </w14:solidFill>
          </w14:textFill>
        </w:rPr>
      </w:pPr>
      <w:bookmarkStart w:id="15" w:name="_Toc1483"/>
      <w:bookmarkStart w:id="16" w:name="_Toc277453749"/>
      <w:bookmarkStart w:id="17" w:name="_Toc199309392"/>
      <w:bookmarkStart w:id="18" w:name="_Toc277453831"/>
      <w:bookmarkStart w:id="19" w:name="_Toc15944"/>
      <w:bookmarkStart w:id="20" w:name="_Toc276979398"/>
      <w:r>
        <w:rPr>
          <w:rFonts w:hint="eastAsia"/>
          <w:color w:val="000000" w:themeColor="text1"/>
          <w14:textFill>
            <w14:solidFill>
              <w14:schemeClr w14:val="tx1"/>
            </w14:solidFill>
          </w14:textFill>
        </w:rPr>
        <w:t>1、投标须知前附表</w:t>
      </w:r>
      <w:bookmarkEnd w:id="15"/>
      <w:bookmarkEnd w:id="16"/>
      <w:bookmarkEnd w:id="17"/>
      <w:bookmarkEnd w:id="18"/>
      <w:bookmarkEnd w:id="19"/>
      <w:bookmarkEnd w:id="20"/>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1390"/>
        <w:gridCol w:w="452"/>
        <w:gridCol w:w="62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01"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条款号</w:t>
            </w:r>
          </w:p>
        </w:tc>
        <w:tc>
          <w:tcPr>
            <w:tcW w:w="1842" w:type="dxa"/>
            <w:gridSpan w:val="2"/>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 款 名 称</w:t>
            </w:r>
          </w:p>
        </w:tc>
        <w:tc>
          <w:tcPr>
            <w:tcW w:w="6210"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编 列 内 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sz w:val="24"/>
                <w:szCs w:val="28"/>
              </w:rPr>
            </w:pPr>
            <w:r>
              <w:rPr>
                <w:rFonts w:hint="eastAsia" w:cs="华文仿宋" w:asciiTheme="minorEastAsia" w:hAnsiTheme="minorEastAsia" w:eastAsiaTheme="minorEastAsia"/>
                <w:sz w:val="24"/>
                <w:szCs w:val="28"/>
              </w:rPr>
              <w:t>招标人</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招标人：</w:t>
            </w:r>
            <w:r>
              <w:rPr>
                <w:rFonts w:hint="eastAsia" w:cs="新宋体" w:asciiTheme="minorEastAsia" w:hAnsiTheme="minorEastAsia" w:eastAsiaTheme="minorEastAsia"/>
                <w:kern w:val="0"/>
                <w:sz w:val="24"/>
                <w:szCs w:val="28"/>
                <w:lang w:eastAsia="zh-CN"/>
              </w:rPr>
              <w:t>南阳优田农业发展有限公司</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联系人：张先生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话：13569261617</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地 </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址：唐河县临港街道办事处龙山路1911号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lang w:bidi="ar"/>
                <w14:textFill>
                  <w14:solidFill>
                    <w14:schemeClr w14:val="tx1"/>
                  </w14:solidFill>
                </w14:textFill>
              </w:rPr>
              <w:t>监督单位</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监督单位：唐河县农业农村局</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联系人：刘先生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话：18638953996</w:t>
            </w:r>
          </w:p>
          <w:p>
            <w:pPr>
              <w:rPr>
                <w:rFonts w:ascii="新宋体" w:hAnsi="新宋体" w:eastAsia="新宋体" w:cs="新宋体"/>
                <w:color w:val="FF0000"/>
                <w:kern w:val="0"/>
                <w:sz w:val="28"/>
                <w:szCs w:val="28"/>
              </w:rPr>
            </w:pPr>
            <w:r>
              <w:rPr>
                <w:rFonts w:hint="eastAsia" w:cs="新宋体" w:asciiTheme="minorEastAsia" w:hAnsiTheme="minorEastAsia" w:eastAsiaTheme="minorEastAsia"/>
                <w:kern w:val="0"/>
                <w:sz w:val="24"/>
                <w:szCs w:val="28"/>
              </w:rPr>
              <w:t>地</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址：唐河县凤山大道</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96"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招标代理机构</w:t>
            </w:r>
          </w:p>
        </w:tc>
        <w:tc>
          <w:tcPr>
            <w:tcW w:w="6210" w:type="dxa"/>
            <w:vAlign w:val="center"/>
          </w:tcPr>
          <w:p>
            <w:pPr>
              <w:rPr>
                <w:rFonts w:hint="eastAsia" w:cs="新宋体" w:asciiTheme="minorEastAsia" w:hAnsiTheme="minorEastAsia" w:eastAsiaTheme="minorEastAsia"/>
                <w:kern w:val="0"/>
                <w:sz w:val="24"/>
                <w:szCs w:val="28"/>
                <w:lang w:eastAsia="zh-CN"/>
              </w:rPr>
            </w:pPr>
            <w:r>
              <w:rPr>
                <w:rFonts w:hint="eastAsia" w:cs="新宋体" w:asciiTheme="minorEastAsia" w:hAnsiTheme="minorEastAsia" w:eastAsiaTheme="minorEastAsia"/>
                <w:kern w:val="0"/>
                <w:sz w:val="24"/>
                <w:szCs w:val="28"/>
              </w:rPr>
              <w:t>招标代理机构：</w:t>
            </w:r>
            <w:r>
              <w:rPr>
                <w:rFonts w:hint="eastAsia" w:cs="新宋体" w:asciiTheme="minorEastAsia" w:hAnsiTheme="minorEastAsia" w:eastAsiaTheme="minorEastAsia"/>
                <w:kern w:val="0"/>
                <w:sz w:val="24"/>
                <w:szCs w:val="28"/>
                <w:lang w:eastAsia="zh-CN"/>
              </w:rPr>
              <w:t>河南四铭工程管理有限公司</w:t>
            </w:r>
          </w:p>
          <w:p>
            <w:pPr>
              <w:rPr>
                <w:rFonts w:hint="default" w:cs="新宋体" w:asciiTheme="minorEastAsia" w:hAnsiTheme="minorEastAsia" w:eastAsiaTheme="minorEastAsia"/>
                <w:kern w:val="0"/>
                <w:sz w:val="24"/>
                <w:szCs w:val="28"/>
                <w:lang w:val="en-US" w:eastAsia="zh-CN"/>
              </w:rPr>
            </w:pPr>
            <w:r>
              <w:rPr>
                <w:rFonts w:hint="eastAsia" w:cs="新宋体" w:asciiTheme="minorEastAsia" w:hAnsiTheme="minorEastAsia" w:eastAsiaTheme="minorEastAsia"/>
                <w:kern w:val="0"/>
                <w:sz w:val="24"/>
                <w:szCs w:val="28"/>
              </w:rPr>
              <w:t>联系人：</w:t>
            </w:r>
            <w:r>
              <w:rPr>
                <w:rFonts w:hint="eastAsia" w:cs="新宋体" w:asciiTheme="minorEastAsia" w:hAnsiTheme="minorEastAsia" w:eastAsiaTheme="minorEastAsia"/>
                <w:kern w:val="0"/>
                <w:sz w:val="24"/>
                <w:szCs w:val="28"/>
                <w:lang w:val="en-US" w:eastAsia="zh-CN"/>
              </w:rPr>
              <w:t>阚先生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话：17656664342</w:t>
            </w:r>
          </w:p>
          <w:p>
            <w:pPr>
              <w:rPr>
                <w:rFonts w:cs="新宋体" w:asciiTheme="minorEastAsia" w:hAnsiTheme="minorEastAsia" w:eastAsiaTheme="minorEastAsia"/>
                <w:color w:val="FF0000"/>
                <w:kern w:val="0"/>
                <w:sz w:val="24"/>
                <w:szCs w:val="28"/>
              </w:rPr>
            </w:pPr>
            <w:r>
              <w:rPr>
                <w:rFonts w:hint="eastAsia" w:cs="新宋体" w:asciiTheme="minorEastAsia" w:hAnsiTheme="minorEastAsia" w:eastAsiaTheme="minorEastAsia"/>
                <w:kern w:val="0"/>
                <w:sz w:val="24"/>
                <w:szCs w:val="28"/>
              </w:rPr>
              <w:t>地</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址：河南自贸试验区郑州片区第二大街58号兴华大厦B座302室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1.1.4</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项目名称</w:t>
            </w:r>
          </w:p>
        </w:tc>
        <w:tc>
          <w:tcPr>
            <w:tcW w:w="6210" w:type="dxa"/>
            <w:vAlign w:val="center"/>
          </w:tcPr>
          <w:p>
            <w:pPr>
              <w:spacing w:line="360" w:lineRule="auto"/>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pP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唐河县2024年高标准农田示范区建设项目（郭滩镇、黑龙镇）勘测设计、招标控制价编制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1.1.5</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建设地点</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唐河县</w:t>
            </w:r>
            <w:r>
              <w:rPr>
                <w:rFonts w:hint="eastAsia" w:cs="华文仿宋" w:asciiTheme="minorEastAsia" w:hAnsiTheme="minorEastAsia" w:eastAsiaTheme="minorEastAsia"/>
                <w:color w:val="000000" w:themeColor="text1"/>
                <w:sz w:val="24"/>
                <w:szCs w:val="28"/>
                <w14:textFill>
                  <w14:solidFill>
                    <w14:schemeClr w14:val="tx1"/>
                  </w14:solidFill>
                </w14:textFill>
              </w:rPr>
              <w:t>境内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资金来源</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发行政府专项债券和使用政策性贷款进行融资。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资金落实情况</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招标范围</w:t>
            </w:r>
          </w:p>
        </w:tc>
        <w:tc>
          <w:tcPr>
            <w:tcW w:w="6210" w:type="dxa"/>
            <w:vAlign w:val="center"/>
          </w:tcPr>
          <w:p>
            <w:pPr>
              <w:spacing w:line="360" w:lineRule="auto"/>
              <w:jc w:val="left"/>
              <w:rPr>
                <w:rFonts w:hint="eastAsia"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1-2标段：唐河县2024年高标准农田示范区建设项目（郭滩镇、</w:t>
            </w: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黑龙镇</w:t>
            </w:r>
            <w:r>
              <w:rPr>
                <w:rFonts w:hint="eastAsia" w:cs="华文仿宋" w:asciiTheme="minorEastAsia" w:hAnsiTheme="minorEastAsia" w:eastAsiaTheme="minorEastAsia"/>
                <w:color w:val="000000" w:themeColor="text1"/>
                <w:sz w:val="24"/>
                <w:szCs w:val="28"/>
                <w14:textFill>
                  <w14:solidFill>
                    <w14:schemeClr w14:val="tx1"/>
                  </w14:solidFill>
                </w14:textFill>
              </w:rPr>
              <w:t>）的初步设计、实施计划、概预算、施工图设计及后期设计技术问题解决、各阶段验收等服务；</w:t>
            </w:r>
          </w:p>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3标段：唐河县2024年高标准农田示范区建设项目（郭滩镇、</w:t>
            </w: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黑龙镇</w:t>
            </w:r>
            <w:r>
              <w:rPr>
                <w:rFonts w:hint="eastAsia" w:cs="华文仿宋" w:asciiTheme="minorEastAsia" w:hAnsiTheme="minorEastAsia" w:eastAsiaTheme="minorEastAsia"/>
                <w:color w:val="000000" w:themeColor="text1"/>
                <w:sz w:val="24"/>
                <w:szCs w:val="28"/>
                <w14:textFill>
                  <w14:solidFill>
                    <w14:schemeClr w14:val="tx1"/>
                  </w14:solidFill>
                </w14:textFill>
              </w:rPr>
              <w:t>）的控制价编制服务。</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服务周期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合同签订后20日历天。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质量</w:t>
            </w:r>
          </w:p>
        </w:tc>
        <w:tc>
          <w:tcPr>
            <w:tcW w:w="6210" w:type="dxa"/>
            <w:vAlign w:val="center"/>
          </w:tcPr>
          <w:p>
            <w:pPr>
              <w:spacing w:line="360" w:lineRule="auto"/>
              <w:jc w:val="left"/>
              <w:rPr>
                <w:rFonts w:hint="eastAsia" w:cs="华文仿宋" w:asciiTheme="minorEastAsia" w:hAnsiTheme="minorEastAsia" w:eastAsiaTheme="minorEastAsia"/>
                <w:color w:val="000000" w:themeColor="text1"/>
                <w:sz w:val="24"/>
                <w:szCs w:val="28"/>
                <w:lang w:val="en-US" w:eastAsia="zh-CN"/>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合格，符合国家规范要求</w:t>
            </w: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pacing w:val="-8"/>
                <w:sz w:val="24"/>
                <w:szCs w:val="28"/>
                <w14:textFill>
                  <w14:solidFill>
                    <w14:schemeClr w14:val="tx1"/>
                  </w14:solidFill>
                </w14:textFill>
              </w:rPr>
            </w:pPr>
            <w:r>
              <w:rPr>
                <w:rFonts w:hint="eastAsia" w:cs="华文仿宋" w:asciiTheme="minorEastAsia" w:hAnsiTheme="minorEastAsia" w:eastAsiaTheme="minorEastAsia"/>
                <w:color w:val="000000" w:themeColor="text1"/>
                <w:spacing w:val="-8"/>
                <w:sz w:val="24"/>
                <w:szCs w:val="28"/>
                <w14:textFill>
                  <w14:solidFill>
                    <w14:schemeClr w14:val="tx1"/>
                  </w14:solidFill>
                </w14:textFill>
              </w:rPr>
              <w:t>投标人资质条件、能力和信誉</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是否接受联合体投标</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不接受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0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1.9</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踏勘现场</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组织，投标人自行踏勘现场。（由投标人自行踏勘以充分了解项目位置、现状、地质地貌、气候与水文条件、交通状况、道路状况及任何其它足以影响投标报价的情况，任何因忽视或误解工地情况而导致的失误招标人概不负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1.10</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投标预备会</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4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分包</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不允许。中标人必须承担总包责任，不得转包和擅自分包工程。否则招标人有权终止合同并追究中标人的责任。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7"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偏离</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的其他材料</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招标文件的</w:t>
            </w:r>
            <w:r>
              <w:rPr>
                <w:rFonts w:hint="eastAsia" w:cs="华文仿宋" w:asciiTheme="minorEastAsia" w:hAnsiTheme="minorEastAsia" w:eastAsiaTheme="minorEastAsia"/>
                <w:color w:val="000000" w:themeColor="text1"/>
                <w:sz w:val="24"/>
                <w:szCs w:val="28"/>
                <w14:textFill>
                  <w14:solidFill>
                    <w14:schemeClr w14:val="tx1"/>
                  </w14:solidFill>
                </w14:textFill>
              </w:rPr>
              <w:t>澄清、补充、修改。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4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投标人提出问题的截止时间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招标人书面修改的时间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递交投标文件的截止之日15日前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投标有效期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自投标截止之日起60日历天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投标保证金</w:t>
            </w:r>
          </w:p>
        </w:tc>
        <w:tc>
          <w:tcPr>
            <w:tcW w:w="6210" w:type="dxa"/>
            <w:vAlign w:val="center"/>
          </w:tcPr>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1、投标保证金的金额：</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一标段人民币：贰万元整（￥：20000.00元）；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二标段人民币：</w:t>
            </w:r>
            <w:r>
              <w:rPr>
                <w:rFonts w:hint="eastAsia" w:cs="华文仿宋" w:asciiTheme="minorEastAsia" w:hAnsiTheme="minorEastAsia" w:eastAsiaTheme="minorEastAsia"/>
                <w:kern w:val="0"/>
                <w:sz w:val="24"/>
                <w:szCs w:val="28"/>
                <w:lang w:val="en-US" w:eastAsia="zh-CN"/>
              </w:rPr>
              <w:t>壹</w:t>
            </w:r>
            <w:r>
              <w:rPr>
                <w:rFonts w:hint="eastAsia" w:cs="华文仿宋" w:asciiTheme="minorEastAsia" w:hAnsiTheme="minorEastAsia" w:eastAsiaTheme="minorEastAsia"/>
                <w:kern w:val="0"/>
                <w:sz w:val="24"/>
                <w:szCs w:val="28"/>
              </w:rPr>
              <w:t>万元整（￥：</w:t>
            </w:r>
            <w:r>
              <w:rPr>
                <w:rFonts w:hint="eastAsia" w:cs="华文仿宋" w:asciiTheme="minorEastAsia" w:hAnsiTheme="minorEastAsia" w:eastAsiaTheme="minorEastAsia"/>
                <w:kern w:val="0"/>
                <w:sz w:val="24"/>
                <w:szCs w:val="28"/>
                <w:lang w:val="en-US" w:eastAsia="zh-CN"/>
              </w:rPr>
              <w:t>1</w:t>
            </w:r>
            <w:r>
              <w:rPr>
                <w:rFonts w:hint="eastAsia" w:cs="华文仿宋" w:asciiTheme="minorEastAsia" w:hAnsiTheme="minorEastAsia" w:eastAsiaTheme="minorEastAsia"/>
                <w:kern w:val="0"/>
                <w:sz w:val="24"/>
                <w:szCs w:val="28"/>
              </w:rPr>
              <w:t>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三标段人民币：</w:t>
            </w:r>
            <w:r>
              <w:rPr>
                <w:rFonts w:hint="eastAsia" w:cs="华文仿宋" w:asciiTheme="minorEastAsia" w:hAnsiTheme="minorEastAsia" w:eastAsiaTheme="minorEastAsia"/>
                <w:kern w:val="0"/>
                <w:sz w:val="24"/>
                <w:szCs w:val="28"/>
                <w:lang w:val="en-US" w:eastAsia="zh-CN"/>
              </w:rPr>
              <w:t>贰仟</w:t>
            </w:r>
            <w:r>
              <w:rPr>
                <w:rFonts w:hint="eastAsia" w:cs="华文仿宋" w:asciiTheme="minorEastAsia" w:hAnsiTheme="minorEastAsia" w:eastAsiaTheme="minorEastAsia"/>
                <w:kern w:val="0"/>
                <w:sz w:val="24"/>
                <w:szCs w:val="28"/>
              </w:rPr>
              <w:t>元整（￥：</w:t>
            </w:r>
            <w:r>
              <w:rPr>
                <w:rFonts w:hint="eastAsia" w:cs="华文仿宋" w:asciiTheme="minorEastAsia" w:hAnsiTheme="minorEastAsia" w:eastAsiaTheme="minorEastAsia"/>
                <w:kern w:val="0"/>
                <w:sz w:val="24"/>
                <w:szCs w:val="28"/>
                <w:lang w:val="en-US" w:eastAsia="zh-CN"/>
              </w:rPr>
              <w:t>2</w:t>
            </w:r>
            <w:r>
              <w:rPr>
                <w:rFonts w:hint="eastAsia" w:cs="华文仿宋" w:asciiTheme="minorEastAsia" w:hAnsiTheme="minorEastAsia" w:eastAsiaTheme="minorEastAsia"/>
                <w:kern w:val="0"/>
                <w:sz w:val="24"/>
                <w:szCs w:val="28"/>
              </w:rPr>
              <w:t>000.00元）；</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2、本招标项目投标保证金同时允许转账、电子投标保函、银行保函和承诺函四种方式，未按以下要求将视为未交纳投标保证金，其投标文件将被拒绝，不能参加开标活动。</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A.以转账方式交纳投标保证金，具体要求如下：</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投标保证金交至：唐河县公共资源交易中心。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于</w:t>
            </w:r>
            <w:r>
              <w:rPr>
                <w:rFonts w:hint="eastAsia" w:cs="华文仿宋" w:asciiTheme="minorEastAsia" w:hAnsiTheme="minorEastAsia" w:eastAsiaTheme="minorEastAsia"/>
                <w:b/>
                <w:bCs/>
                <w:kern w:val="0"/>
                <w:sz w:val="24"/>
                <w:szCs w:val="28"/>
              </w:rPr>
              <w:t>2024年</w:t>
            </w:r>
            <w:r>
              <w:rPr>
                <w:rFonts w:hint="eastAsia" w:cs="华文仿宋" w:asciiTheme="minorEastAsia" w:hAnsiTheme="minorEastAsia" w:eastAsiaTheme="minorEastAsia"/>
                <w:b/>
                <w:bCs/>
                <w:kern w:val="0"/>
                <w:sz w:val="24"/>
                <w:szCs w:val="28"/>
                <w:lang w:val="en-US" w:eastAsia="zh-CN"/>
              </w:rPr>
              <w:t>5</w:t>
            </w:r>
            <w:r>
              <w:rPr>
                <w:rFonts w:hint="eastAsia" w:cs="华文仿宋" w:asciiTheme="minorEastAsia" w:hAnsiTheme="minorEastAsia" w:eastAsiaTheme="minorEastAsia"/>
                <w:b/>
                <w:bCs/>
                <w:kern w:val="0"/>
                <w:sz w:val="24"/>
                <w:szCs w:val="28"/>
              </w:rPr>
              <w:t>月</w:t>
            </w:r>
            <w:r>
              <w:rPr>
                <w:rFonts w:hint="eastAsia" w:cs="华文仿宋" w:asciiTheme="minorEastAsia" w:hAnsiTheme="minorEastAsia" w:eastAsiaTheme="minorEastAsia"/>
                <w:b/>
                <w:bCs/>
                <w:kern w:val="0"/>
                <w:sz w:val="24"/>
                <w:szCs w:val="28"/>
                <w:lang w:val="en-US" w:eastAsia="zh-CN"/>
              </w:rPr>
              <w:t>15</w:t>
            </w:r>
            <w:bookmarkStart w:id="311" w:name="_GoBack"/>
            <w:bookmarkEnd w:id="311"/>
            <w:r>
              <w:rPr>
                <w:rFonts w:hint="eastAsia" w:cs="华文仿宋" w:asciiTheme="minorEastAsia" w:hAnsiTheme="minorEastAsia" w:eastAsiaTheme="minorEastAsia"/>
                <w:b/>
                <w:bCs/>
                <w:kern w:val="0"/>
                <w:sz w:val="24"/>
                <w:szCs w:val="28"/>
              </w:rPr>
              <w:t>日10:00前</w:t>
            </w:r>
            <w:r>
              <w:rPr>
                <w:rFonts w:hint="eastAsia" w:cs="华文仿宋" w:asciiTheme="minorEastAsia" w:hAnsiTheme="minorEastAsia" w:eastAsiaTheme="minorEastAsia"/>
                <w:kern w:val="0"/>
                <w:sz w:val="24"/>
                <w:szCs w:val="28"/>
              </w:rPr>
              <w:t>交至下列账户（以到账时间为准）：</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账户户名：唐河县公共资源交易中心</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开户银行：中国工商银行（唐河县支行）</w:t>
            </w:r>
          </w:p>
          <w:p>
            <w:pPr>
              <w:pStyle w:val="16"/>
              <w:spacing w:line="360" w:lineRule="auto"/>
              <w:ind w:left="0" w:firstLine="0"/>
              <w:rPr>
                <w:rFonts w:cs="华文仿宋" w:asciiTheme="minorEastAsia" w:hAnsiTheme="minorEastAsia" w:eastAsiaTheme="minorEastAsia"/>
                <w:b/>
                <w:bCs/>
                <w:color w:val="auto"/>
                <w:kern w:val="0"/>
                <w:sz w:val="24"/>
                <w:szCs w:val="28"/>
              </w:rPr>
            </w:pPr>
            <w:r>
              <w:rPr>
                <w:rFonts w:hint="eastAsia" w:cs="华文仿宋" w:asciiTheme="minorEastAsia" w:hAnsiTheme="minorEastAsia" w:eastAsiaTheme="minorEastAsia"/>
                <w:b/>
                <w:bCs/>
                <w:color w:val="auto"/>
                <w:kern w:val="0"/>
                <w:sz w:val="24"/>
                <w:szCs w:val="28"/>
              </w:rPr>
              <w:t>一标段虚拟子账号：1714023538000609956</w:t>
            </w:r>
          </w:p>
          <w:p>
            <w:pPr>
              <w:pStyle w:val="16"/>
              <w:spacing w:line="360" w:lineRule="auto"/>
              <w:ind w:left="0" w:firstLine="0"/>
              <w:rPr>
                <w:rFonts w:cs="华文仿宋" w:asciiTheme="minorEastAsia" w:hAnsiTheme="minorEastAsia" w:eastAsiaTheme="minorEastAsia"/>
                <w:b/>
                <w:bCs/>
                <w:color w:val="auto"/>
                <w:kern w:val="0"/>
                <w:sz w:val="24"/>
                <w:szCs w:val="28"/>
              </w:rPr>
            </w:pPr>
            <w:r>
              <w:rPr>
                <w:rFonts w:hint="eastAsia" w:cs="华文仿宋" w:asciiTheme="minorEastAsia" w:hAnsiTheme="minorEastAsia" w:eastAsiaTheme="minorEastAsia"/>
                <w:b/>
                <w:bCs/>
                <w:color w:val="auto"/>
                <w:kern w:val="0"/>
                <w:sz w:val="24"/>
                <w:szCs w:val="28"/>
              </w:rPr>
              <w:t>二标段虚拟子账号：1714023538000609832</w:t>
            </w:r>
          </w:p>
          <w:p>
            <w:pPr>
              <w:pStyle w:val="16"/>
              <w:spacing w:line="360" w:lineRule="auto"/>
              <w:ind w:left="0" w:firstLine="0"/>
              <w:rPr>
                <w:rFonts w:cs="华文仿宋" w:asciiTheme="minorEastAsia" w:hAnsiTheme="minorEastAsia" w:eastAsiaTheme="minorEastAsia"/>
                <w:b/>
                <w:bCs/>
                <w:color w:val="auto"/>
                <w:kern w:val="0"/>
                <w:sz w:val="24"/>
                <w:szCs w:val="28"/>
              </w:rPr>
            </w:pPr>
            <w:r>
              <w:rPr>
                <w:rFonts w:hint="eastAsia" w:cs="华文仿宋" w:asciiTheme="minorEastAsia" w:hAnsiTheme="minorEastAsia" w:eastAsiaTheme="minorEastAsia"/>
                <w:b/>
                <w:bCs/>
                <w:color w:val="auto"/>
                <w:kern w:val="0"/>
                <w:sz w:val="24"/>
                <w:szCs w:val="28"/>
              </w:rPr>
              <w:t>三标段虚拟子账号：1714023538000609708</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转账判定有效性的几个条件：</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①必须从诚信库基本户转账（账户户名和账户号码和诚信库中完全一致）；</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②到账时间，必须在开标时间到达前到账，以实际到账时间为判定依据（建议投标单位提前转账）；</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③一次性足额交纳，金额可以大于等于系统设定的金额；</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④因每个标段保证金账号各不相同，以上账号仅对当前标段投标有效；</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B．以保函形式交纳投标保证金，具体要求如下：</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①投标企业必须首先确认本企业诚信库内填写的基本账户相关信息真实准确；</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②企业可以在交易中心电子交易系统业务管理“电子保函申请”功能中自主选择电子保函平台、承保机构办理电子保函业务；</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③办理电子投标保函费用必须出自投标企业基本账户；</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④投标截止时间前投标企业应按照以上要求在保函平台中申请并生成电子投标保函。否则开标现场交易系统将无法获取到该投标单位的电子投标保函。</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C、以银行保函形式交纳投标保证金：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使用银行保函的投标企业需在投标截止时间前，通过唐河县交易平台保证金缴纳系统在“银行保函和承诺函”端口上传银行保函原件电子扫描件。</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D、具备AAA级信用投标企业和建设工程服务类项目免缴投标保证金。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投标承诺函格式如下：</w:t>
            </w:r>
          </w:p>
          <w:p>
            <w:pPr>
              <w:pStyle w:val="16"/>
              <w:spacing w:line="360" w:lineRule="auto"/>
              <w:ind w:left="0" w:firstLine="2650" w:firstLineChars="110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市场主体名称：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统一社会信用代码：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主管部门：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本单位自愿作出如下承诺：</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授权委托人签字：</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授权委托人联系电话：</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企业公章：           法人签字或盖章：    </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 xml:space="preserve">       </w:t>
            </w:r>
          </w:p>
          <w:p>
            <w:pPr>
              <w:pStyle w:val="16"/>
              <w:numPr>
                <w:ilvl w:val="0"/>
                <w:numId w:val="5"/>
              </w:numPr>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缴纳投标保证金后，在规定的投标有效期内撤回投标文件或未按招标文件要求递交投标文件的，在开标结束后当日内退还保证金。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4、废标项目重新招标时，必须按修改后的招标文件重新缴纳保证金，原缴纳保证金废标后一日内退还。</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5、退还保证金：评标结果公告发布后1个工作日内系统自动退还未中标单位投标保证金；招标人与中标人在交易平台合同管理系统网上签订合同，进行合同备后2个工作日内，系统自动退还中标单位的投标保证金。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注：投标人须根据投标保证金缴纳方式将投标保证金缴纳凭证或保函或承诺函附在投标文件中。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3.6</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是否允许递交备选投标方案</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电子签名或签字要求</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所有要求投标人加盖公章或电子签章的地方都应用投标人单位的CA 密匙盖电子签章；所有要求法定代表人或其委托代理人签字或电子签章的地方都应用法定代表人或其委托代理人的 CA 密匙盖电子签章，如投标人的法定代表人或委托代理人未办理 CA 密匙的，投标人须将要求法定代表人或其委托代理人签字或盖章的地方用法定代表人或委托代理人签字或盖章后的扫描图片替换到相应格式中。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0" w:hRule="atLeast"/>
        </w:trPr>
        <w:tc>
          <w:tcPr>
            <w:tcW w:w="1101" w:type="dxa"/>
            <w:vAlign w:val="center"/>
          </w:tcPr>
          <w:p>
            <w:pPr>
              <w:widowControl/>
              <w:spacing w:line="360" w:lineRule="auto"/>
              <w:ind w:firstLine="120" w:firstLineChars="50"/>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3.7.4</w:t>
            </w:r>
          </w:p>
        </w:tc>
        <w:tc>
          <w:tcPr>
            <w:tcW w:w="1842" w:type="dxa"/>
            <w:gridSpan w:val="2"/>
            <w:vAlign w:val="center"/>
          </w:tcPr>
          <w:p>
            <w:pPr>
              <w:widowControl/>
              <w:spacing w:line="360" w:lineRule="auto"/>
              <w:jc w:val="left"/>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是否采用暗标</w:t>
            </w:r>
          </w:p>
        </w:tc>
        <w:tc>
          <w:tcPr>
            <w:tcW w:w="6210" w:type="dxa"/>
            <w:vAlign w:val="center"/>
          </w:tcPr>
          <w:p>
            <w:pPr>
              <w:widowControl/>
              <w:spacing w:line="360" w:lineRule="auto"/>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sym w:font="Wingdings" w:char="00FE"/>
            </w:r>
            <w:r>
              <w:rPr>
                <w:rFonts w:hint="eastAsia" w:cs="华文仿宋" w:asciiTheme="minorEastAsia" w:hAnsiTheme="minorEastAsia" w:eastAsiaTheme="minorEastAsia"/>
                <w:kern w:val="0"/>
                <w:sz w:val="24"/>
                <w:szCs w:val="28"/>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4.2.1</w:t>
            </w:r>
          </w:p>
        </w:tc>
        <w:tc>
          <w:tcPr>
            <w:tcW w:w="1842" w:type="dxa"/>
            <w:gridSpan w:val="2"/>
            <w:vAlign w:val="center"/>
          </w:tcPr>
          <w:p>
            <w:pPr>
              <w:spacing w:line="360" w:lineRule="auto"/>
              <w:rPr>
                <w:rFonts w:cs="华文仿宋" w:asciiTheme="minorEastAsia" w:hAnsiTheme="minorEastAsia" w:eastAsiaTheme="minorEastAsia"/>
                <w:color w:val="FF0000"/>
                <w:sz w:val="24"/>
                <w:szCs w:val="28"/>
              </w:rPr>
            </w:pPr>
            <w:r>
              <w:rPr>
                <w:rFonts w:hint="eastAsia" w:cs="华文仿宋" w:asciiTheme="minorEastAsia" w:hAnsiTheme="minorEastAsia" w:eastAsiaTheme="minorEastAsia"/>
                <w:sz w:val="24"/>
                <w:szCs w:val="28"/>
              </w:rPr>
              <w:t>投标截止时间</w:t>
            </w:r>
          </w:p>
        </w:tc>
        <w:tc>
          <w:tcPr>
            <w:tcW w:w="6210" w:type="dxa"/>
            <w:vAlign w:val="center"/>
          </w:tcPr>
          <w:p>
            <w:pPr>
              <w:widowControl/>
              <w:spacing w:line="360" w:lineRule="auto"/>
              <w:jc w:val="left"/>
              <w:rPr>
                <w:rFonts w:cs="华文仿宋" w:asciiTheme="minorEastAsia" w:hAnsiTheme="minorEastAsia" w:eastAsiaTheme="minorEastAsia"/>
                <w:color w:val="FF0000"/>
                <w:kern w:val="0"/>
                <w:sz w:val="24"/>
                <w:szCs w:val="28"/>
              </w:rPr>
            </w:pPr>
            <w:r>
              <w:rPr>
                <w:rFonts w:hint="eastAsia" w:cs="华文仿宋" w:asciiTheme="minorEastAsia" w:hAnsiTheme="minorEastAsia" w:eastAsiaTheme="minorEastAsia"/>
                <w:b/>
                <w:bCs/>
                <w:sz w:val="24"/>
                <w:szCs w:val="28"/>
              </w:rPr>
              <w:t>2024年</w:t>
            </w:r>
            <w:r>
              <w:rPr>
                <w:rFonts w:hint="eastAsia" w:cs="华文仿宋" w:asciiTheme="minorEastAsia" w:hAnsiTheme="minorEastAsia" w:eastAsiaTheme="minorEastAsia"/>
                <w:b/>
                <w:bCs/>
                <w:sz w:val="24"/>
                <w:szCs w:val="28"/>
                <w:lang w:val="en-US" w:eastAsia="zh-CN"/>
              </w:rPr>
              <w:t xml:space="preserve">  </w:t>
            </w:r>
            <w:r>
              <w:rPr>
                <w:rFonts w:hint="eastAsia" w:cs="华文仿宋" w:asciiTheme="minorEastAsia" w:hAnsiTheme="minorEastAsia" w:eastAsiaTheme="minorEastAsia"/>
                <w:b/>
                <w:bCs/>
                <w:sz w:val="24"/>
                <w:szCs w:val="28"/>
              </w:rPr>
              <w:t>月</w:t>
            </w:r>
            <w:r>
              <w:rPr>
                <w:rFonts w:hint="eastAsia" w:cs="华文仿宋" w:asciiTheme="minorEastAsia" w:hAnsiTheme="minorEastAsia" w:eastAsiaTheme="minorEastAsia"/>
                <w:b/>
                <w:bCs/>
                <w:sz w:val="24"/>
                <w:szCs w:val="28"/>
                <w:lang w:val="en-US" w:eastAsia="zh-CN"/>
              </w:rPr>
              <w:t xml:space="preserve">  </w:t>
            </w:r>
            <w:r>
              <w:rPr>
                <w:rFonts w:hint="eastAsia" w:cs="华文仿宋" w:asciiTheme="minorEastAsia" w:hAnsiTheme="minorEastAsia" w:eastAsiaTheme="minorEastAsia"/>
                <w:b/>
                <w:bCs/>
                <w:sz w:val="24"/>
                <w:szCs w:val="28"/>
              </w:rPr>
              <w:t>日</w:t>
            </w:r>
            <w:r>
              <w:rPr>
                <w:rFonts w:hint="eastAsia" w:cs="华文仿宋" w:asciiTheme="minorEastAsia" w:hAnsiTheme="minorEastAsia" w:eastAsiaTheme="minorEastAsia"/>
                <w:b/>
                <w:bCs/>
                <w:kern w:val="0"/>
                <w:sz w:val="24"/>
                <w:szCs w:val="28"/>
              </w:rPr>
              <w:t>上午10时00分（北京时间）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4.2.2</w:t>
            </w:r>
          </w:p>
        </w:tc>
        <w:tc>
          <w:tcPr>
            <w:tcW w:w="1842" w:type="dxa"/>
            <w:gridSpan w:val="2"/>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电子投标文件递交</w:t>
            </w:r>
          </w:p>
        </w:tc>
        <w:tc>
          <w:tcPr>
            <w:tcW w:w="6210" w:type="dxa"/>
            <w:vAlign w:val="center"/>
          </w:tcPr>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1、递交网址：　</w:t>
            </w:r>
            <w:r>
              <w:rPr>
                <w:rFonts w:cs="华文仿宋" w:asciiTheme="minorEastAsia" w:hAnsiTheme="minorEastAsia" w:eastAsiaTheme="minorEastAsia"/>
                <w:color w:val="000000" w:themeColor="text1"/>
                <w:kern w:val="0"/>
                <w:sz w:val="24"/>
                <w:szCs w:val="28"/>
                <w14:textFill>
                  <w14:solidFill>
                    <w14:schemeClr w14:val="tx1"/>
                  </w14:solidFill>
                </w14:textFill>
              </w:rPr>
              <w:t>http://www.thggzy.cn</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w:t>
            </w:r>
          </w:p>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2、投标人的电子投标文件应在招标文件规定的投标截止时间前到达交易系统。逾期到达交易系统的电子投标文件视为放弃本次投标。</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3、投标人所递交的电子投标文件在投标截止时间之后不予退回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开标时间和地点</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开标时间：同投标截止时间</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开标地点：唐河县公共资源交易中心（本项目采用网上不见面方式开标，投标企业无须到达开标现场）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开标程序</w:t>
            </w:r>
          </w:p>
        </w:tc>
        <w:tc>
          <w:tcPr>
            <w:tcW w:w="6210" w:type="dxa"/>
            <w:vAlign w:val="center"/>
          </w:tcPr>
          <w:p>
            <w:pPr>
              <w:pStyle w:val="19"/>
              <w:numPr>
                <w:ilvl w:val="0"/>
                <w:numId w:val="6"/>
              </w:numPr>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投标人代表持本单位CA数字证书提前登录不见面开标系统。</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2、开标时间到，在线公布投标人、招标人代表、监标人等有关名单。主持人（代理公司）根据保证金交纳情况来确定有效投标人，并退回不符合要求的投标文件。</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3、开标顺序：</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②招标人解密。目前无需招标人进行二次解密。</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③随机抽取参数（K值）并在线录入不见面系统。</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④唱标。查看唱标信息（系统不提供语音在线播放，该页面停留1分钟供投标人查看，如无异议视为同意）。招标人、监督人需要关注开标过程中，投标人随时在线提出的异议、问题沟通等信息，并做好及时回复；</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⑤招标代理机构宣布开标结束，点击“开标结束”操作按钮（系统自动进行“招标文件导入”、“控制价文件导入”）。</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⑥招标人（代理机构）、投标人等相关人员在开标记录表上进行CA签字确认。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79"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6.1.1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评标委员会的组建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本项目评标委员会由项目法人或其代表及评标专家共  5  人组成，其中：技术、经济等方面的评标专家 4 人，项目法人或其代表 1 人。评标专家拟从河南省综合评标专家库中随机抽取，并且项目法人及代理机构负责专家接送安全。</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评标专家确定方式：从</w:t>
            </w:r>
            <w:r>
              <w:rPr>
                <w:rFonts w:hint="eastAsia" w:cs="华文仿宋" w:asciiTheme="minorEastAsia" w:hAnsiTheme="minorEastAsia" w:eastAsiaTheme="minorEastAsia"/>
                <w:color w:val="000000" w:themeColor="text1"/>
                <w:sz w:val="24"/>
                <w:szCs w:val="28"/>
                <w14:textFill>
                  <w14:solidFill>
                    <w14:schemeClr w14:val="tx1"/>
                  </w14:solidFill>
                </w14:textFill>
              </w:rPr>
              <w:t>河南省综合</w:t>
            </w:r>
            <w:r>
              <w:rPr>
                <w:rFonts w:cs="华文仿宋" w:asciiTheme="minorEastAsia" w:hAnsiTheme="minorEastAsia" w:eastAsiaTheme="minorEastAsia"/>
                <w:color w:val="000000" w:themeColor="text1"/>
                <w:sz w:val="24"/>
                <w:szCs w:val="28"/>
                <w14:textFill>
                  <w14:solidFill>
                    <w14:schemeClr w14:val="tx1"/>
                  </w14:solidFill>
                </w14:textFill>
              </w:rPr>
              <w:t>评标专家库中随机抽取</w:t>
            </w:r>
            <w:r>
              <w:rPr>
                <w:rFonts w:hint="eastAsia" w:cs="华文仿宋" w:asciiTheme="minorEastAsia" w:hAnsiTheme="minorEastAsia" w:eastAsiaTheme="minorEastAsia"/>
                <w:color w:val="000000" w:themeColor="text1"/>
                <w:sz w:val="24"/>
                <w:szCs w:val="2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7.1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是否授权评标委员会确定中标人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begin"/>
            </w:r>
            <w:r>
              <w:rPr>
                <w:rFonts w:hint="eastAsia" w:cs="华文仿宋" w:asciiTheme="minorEastAsia" w:hAnsiTheme="minorEastAsia" w:eastAsiaTheme="minorEastAsia"/>
                <w:color w:val="000000" w:themeColor="text1"/>
                <w:sz w:val="24"/>
                <w:szCs w:val="28"/>
                <w14:textFill>
                  <w14:solidFill>
                    <w14:schemeClr w14:val="tx1"/>
                  </w14:solidFill>
                </w14:textFill>
              </w:rPr>
              <w:instrText xml:space="preserve"> eq \o\ac(□,√)</w:instrText>
            </w: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end"/>
            </w:r>
            <w:r>
              <w:rPr>
                <w:rFonts w:hint="eastAsia" w:cs="华文仿宋" w:asciiTheme="minorEastAsia" w:hAnsiTheme="minorEastAsia" w:eastAsiaTheme="minorEastAsia"/>
                <w:color w:val="000000" w:themeColor="text1"/>
                <w:sz w:val="24"/>
                <w:szCs w:val="28"/>
                <w14:textFill>
                  <w14:solidFill>
                    <w14:schemeClr w14:val="tx1"/>
                  </w14:solidFill>
                </w14:textFill>
              </w:rPr>
              <w:t>否，推荐的中标候选人数：1-3名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w:t>
            </w:r>
          </w:p>
        </w:tc>
        <w:tc>
          <w:tcPr>
            <w:tcW w:w="8052" w:type="dxa"/>
            <w:gridSpan w:val="3"/>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招标控制价</w:t>
            </w:r>
          </w:p>
        </w:tc>
        <w:tc>
          <w:tcPr>
            <w:tcW w:w="6662" w:type="dxa"/>
            <w:gridSpan w:val="2"/>
            <w:vAlign w:val="center"/>
          </w:tcPr>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本项目设招标控制价：</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一标段：大写：</w:t>
            </w:r>
            <w:r>
              <w:rPr>
                <w:rFonts w:hint="eastAsia" w:cs="华文仿宋" w:asciiTheme="minorEastAsia" w:hAnsiTheme="minorEastAsia" w:eastAsiaTheme="minorEastAsia"/>
                <w:b/>
                <w:bCs/>
                <w:color w:val="000000" w:themeColor="text1"/>
                <w:sz w:val="24"/>
                <w:szCs w:val="28"/>
                <w:lang w:val="en-US" w:eastAsia="zh-CN"/>
                <w14:textFill>
                  <w14:solidFill>
                    <w14:schemeClr w14:val="tx1"/>
                  </w14:solidFill>
                </w14:textFill>
              </w:rPr>
              <w:t>壹佰零捌万</w:t>
            </w: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小写：1080000元；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二标段：大写：</w:t>
            </w:r>
            <w:r>
              <w:rPr>
                <w:rFonts w:hint="eastAsia" w:cs="华文仿宋" w:asciiTheme="minorEastAsia" w:hAnsiTheme="minorEastAsia" w:eastAsiaTheme="minorEastAsia"/>
                <w:b/>
                <w:bCs/>
                <w:color w:val="000000" w:themeColor="text1"/>
                <w:sz w:val="24"/>
                <w:szCs w:val="28"/>
                <w:lang w:val="en-US" w:eastAsia="zh-CN"/>
                <w14:textFill>
                  <w14:solidFill>
                    <w14:schemeClr w14:val="tx1"/>
                  </w14:solidFill>
                </w14:textFill>
              </w:rPr>
              <w:t>伍拾肆万</w:t>
            </w:r>
            <w:r>
              <w:rPr>
                <w:rFonts w:hint="eastAsia" w:cs="华文仿宋" w:asciiTheme="minorEastAsia" w:hAnsiTheme="minorEastAsia" w:eastAsiaTheme="minorEastAsia"/>
                <w:b/>
                <w:bCs/>
                <w:color w:val="000000" w:themeColor="text1"/>
                <w:sz w:val="24"/>
                <w:szCs w:val="28"/>
                <w14:textFill>
                  <w14:solidFill>
                    <w14:schemeClr w14:val="tx1"/>
                  </w14:solidFill>
                </w14:textFill>
              </w:rPr>
              <w:t>元整</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小写：540000元；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三标段：大写：</w:t>
            </w:r>
            <w:r>
              <w:rPr>
                <w:rFonts w:hint="eastAsia" w:cs="华文仿宋" w:asciiTheme="minorEastAsia" w:hAnsiTheme="minorEastAsia" w:eastAsiaTheme="minorEastAsia"/>
                <w:b/>
                <w:bCs/>
                <w:color w:val="000000" w:themeColor="text1"/>
                <w:sz w:val="24"/>
                <w:szCs w:val="28"/>
                <w:lang w:val="en-US" w:eastAsia="zh-CN"/>
                <w14:textFill>
                  <w14:solidFill>
                    <w14:schemeClr w14:val="tx1"/>
                  </w14:solidFill>
                </w14:textFill>
              </w:rPr>
              <w:t>贰拾伍万</w:t>
            </w:r>
            <w:r>
              <w:rPr>
                <w:rFonts w:hint="eastAsia" w:cs="华文仿宋" w:asciiTheme="minorEastAsia" w:hAnsiTheme="minorEastAsia" w:eastAsiaTheme="minorEastAsia"/>
                <w:b/>
                <w:bCs/>
                <w:color w:val="000000" w:themeColor="text1"/>
                <w:sz w:val="24"/>
                <w:szCs w:val="28"/>
                <w14:textFill>
                  <w14:solidFill>
                    <w14:schemeClr w14:val="tx1"/>
                  </w14:solidFill>
                </w14:textFill>
              </w:rPr>
              <w:t>元整</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小写：250000元；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招标控制价是招标人控制招标工程造价的最高限价，投标人的投标报价高于招标控制价的视为无效报价，其投标按废标处理。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10.2</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是否实行计算机辅助评标</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10.3</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投标人代表出席开标会</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参照不见面开标手册和流程。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10.4</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中标公示</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在中标通知书发出前，招标人将中标候选人的情况在本招标项目招标公告发布的同一媒体上予以公示，公示期3日。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10.5</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知识产权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构成本招标文件各组成部分的文件，未经招标人或招标代理机构书面同意，投标人不得擅自复印和用于非招标项目所需的其他目的。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10.6</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重新招标的情形</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除投标人须知正文第八条规定的情形外，除非已产生中标候选人，在投标有效期内同意延长投标有效期的投标人少于三个的，招标人应依法组织重新招标。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10.7</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同义词语</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构成招标文件组成的“通用合同条款”、“技术标准和要求”和“工程量清单”等章节中出现的措辞“发包人”和“承包人”，在招标投标阶段应该分别按“招标人”和“投标人”理解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10.8</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监督</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本项目的招投标活动及其相关当事人应当接受有管辖权的建设工程招投标行政监督部门依法实施的监督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10.9</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解释权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编排顺序在前者为准解释；同一组成文件中就同一事项的规定或约定不一致的，以编排顺序在前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10.10</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价款支付方式按合同约定确定。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10.11</w:t>
            </w:r>
          </w:p>
        </w:tc>
        <w:tc>
          <w:tcPr>
            <w:tcW w:w="1390"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原件审查</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(1)招标文件中凡涉及到资格审查或加分项目，全部以投标单位（南阳市）诚信库中证件原件的扫描件为准，并且投标文件中所附复印件必须和企业（南阳市）诚信库中证件原件的扫描件一致。</w:t>
            </w:r>
          </w:p>
          <w:p>
            <w:pPr>
              <w:shd w:val="clear" w:color="auto" w:fill="FFFFFF"/>
              <w:autoSpaceDE w:val="0"/>
              <w:spacing w:line="360" w:lineRule="auto"/>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(2) 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10.12</w:t>
            </w:r>
          </w:p>
        </w:tc>
        <w:tc>
          <w:tcPr>
            <w:tcW w:w="1390"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 xml:space="preserve">履约担保 </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履约担保的形式：保函（电子保函、银行纸质保函等）、转账、支票、信用担保等形式，推广使用电子保函、银行纸质保函、信用担保形式缴纳。</w:t>
            </w:r>
          </w:p>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履约担保的金额：根据《中华人民共和国招标投标法实施条例》第58条规定，履约保证金不高于项目中标价的10%，按照省市优化营商环境之规定，建议项目履约保证金按中标价的3%进行缴纳。</w:t>
            </w:r>
          </w:p>
          <w:p>
            <w:pPr>
              <w:spacing w:line="360" w:lineRule="auto"/>
              <w:jc w:val="left"/>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履约保证金由招标人按照合同之约定进行收取。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9153" w:type="dxa"/>
            <w:gridSpan w:val="4"/>
            <w:vAlign w:val="center"/>
          </w:tcPr>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注：</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1、招标文件的最终解释权归招标人；其它未尽事宜，按国家有关法律、法规执行。</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2、参加多个标段投标的投标人必须分别获取相应标段的招标文件，并对每个标段单独递交投标文件。</w:t>
            </w:r>
          </w:p>
          <w:p>
            <w:pPr>
              <w:pStyle w:val="19"/>
              <w:ind w:firstLine="0" w:firstLineChars="0"/>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3、招标代理费：按照豫招协【2023】002号文规定之招标代理服务收费计算标准，由中标人向招标代理机构一次性支付招标代理服务费。</w:t>
            </w:r>
          </w:p>
          <w:p>
            <w:pPr>
              <w:pStyle w:val="20"/>
              <w:ind w:left="0" w:leftChars="0" w:firstLine="0" w:firstLineChars="0"/>
              <w:rPr>
                <w:rFonts w:asciiTheme="minorEastAsia" w:hAnsiTheme="minorEastAsia" w:eastAsiaTheme="minorEastAsia"/>
                <w:color w:val="000000" w:themeColor="text1"/>
                <w:kern w:val="2"/>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4、</w:t>
            </w:r>
            <w:r>
              <w:rPr>
                <w:rFonts w:hint="eastAsia" w:asciiTheme="minorEastAsia" w:hAnsiTheme="minorEastAsia" w:eastAsiaTheme="minorEastAsia"/>
                <w:color w:val="000000" w:themeColor="text1"/>
                <w:kern w:val="2"/>
                <w:sz w:val="24"/>
                <w:szCs w:val="28"/>
                <w14:textFill>
                  <w14:solidFill>
                    <w14:schemeClr w14:val="tx1"/>
                  </w14:solidFill>
                </w14:textFill>
              </w:rPr>
              <w:t>投标人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pStyle w:val="20"/>
              <w:ind w:left="0" w:leftChars="0" w:firstLine="0" w:firstLineChars="0"/>
              <w:rPr>
                <w:rFonts w:asciiTheme="minorEastAsia" w:hAnsiTheme="minorEastAsia" w:eastAsiaTheme="minorEastAsia"/>
                <w:b/>
                <w:bCs/>
                <w:color w:val="000000" w:themeColor="text1"/>
                <w:kern w:val="2"/>
                <w:sz w:val="24"/>
                <w:szCs w:val="28"/>
                <w14:textFill>
                  <w14:solidFill>
                    <w14:schemeClr w14:val="tx1"/>
                  </w14:solidFill>
                </w14:textFill>
              </w:rPr>
            </w:pPr>
            <w:r>
              <w:rPr>
                <w:rFonts w:hint="eastAsia" w:asciiTheme="minorEastAsia" w:hAnsiTheme="minorEastAsia" w:eastAsiaTheme="minorEastAsia"/>
                <w:b/>
                <w:bCs/>
                <w:color w:val="000000" w:themeColor="text1"/>
                <w:kern w:val="2"/>
                <w:sz w:val="24"/>
                <w:szCs w:val="28"/>
                <w14:textFill>
                  <w14:solidFill>
                    <w14:schemeClr w14:val="tx1"/>
                  </w14:solidFill>
                </w14:textFill>
              </w:rPr>
              <w:t>信用承诺书模板如下：</w:t>
            </w:r>
          </w:p>
          <w:p>
            <w:pPr>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b/>
                <w:bCs/>
                <w:color w:val="000000" w:themeColor="text1"/>
                <w:sz w:val="24"/>
                <w:szCs w:val="28"/>
                <w14:textFill>
                  <w14:solidFill>
                    <w14:schemeClr w14:val="tx1"/>
                  </w14:solidFill>
                </w14:textFill>
              </w:rPr>
              <w:t>信用承诺书（投标人范本）</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依据宛发改公管〔2022〕125号文件要求：为营造公开、公平、公正、诚实守信的公共资源交易环境，树立诚信守法的投标人形象，本人代表本单位作出以下承诺;</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（二）严格依照国家和河南省关于招标投标的法律、法规、规章、规范性文件，参加公共资源招标投标活动，不挂靠、借用、出租、出借、转让资质，积极履行社会责任，促进廉政建设。</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（三）自我约束、自我管理，守合同、重信用，不参与围标串标、弄虚作假、骗取中标、干扰评标、胁迫他人投标（放弃中标）、恶意投诉、违约毁约等行为，自觉维护公共资源招标投标的良好秩序。</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（四）本单位及项目经办人员信用状况良好，未被列为失信惩戒对象或"老赖""，符合参与公共资源交易活动的相关要求。</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（六）若中标，本单位将在规定的时间内与招标人签订合同并自觉履行合同义务，不转包或违法分包中标项目。</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（七）自觉接受政府、行业组织、社会公众、新闻舆论的监督。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（九）本人已认真阅读了上述承诺，并向本单位员工作了宣传教育。</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法定代表人或（委托代理人）签字∶</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企业名称（盖章）∶ </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项目负责人（签字）∶</w:t>
            </w:r>
          </w:p>
          <w:p>
            <w:pPr>
              <w:rPr>
                <w:rFonts w:asciiTheme="minorEastAsia" w:hAnsiTheme="minorEastAsia" w:eastAsiaTheme="minorEastAsia"/>
                <w:color w:val="000000" w:themeColor="text1"/>
                <w:sz w:val="24"/>
                <w:szCs w:val="28"/>
                <w14:textFill>
                  <w14:solidFill>
                    <w14:schemeClr w14:val="tx1"/>
                  </w14:solidFill>
                </w14:textFill>
              </w:rPr>
            </w:pPr>
          </w:p>
          <w:p>
            <w:pPr>
              <w:pStyle w:val="20"/>
              <w:ind w:left="0" w:leftChars="0" w:firstLine="0" w:firstLineChars="0"/>
              <w:rPr>
                <w:rFonts w:asciiTheme="minorEastAsia" w:hAnsiTheme="minorEastAsia" w:eastAsiaTheme="minorEastAsia"/>
                <w:b/>
                <w:bCs/>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年   月   日</w:t>
            </w:r>
          </w:p>
        </w:tc>
      </w:tr>
      <w:bookmarkEnd w:id="3"/>
      <w:bookmarkEnd w:id="4"/>
      <w:bookmarkEnd w:id="5"/>
      <w:bookmarkEnd w:id="6"/>
    </w:tbl>
    <w:p>
      <w:pPr>
        <w:pStyle w:val="43"/>
        <w:jc w:val="left"/>
        <w:outlineLvl w:val="0"/>
        <w:rPr>
          <w:color w:val="000000" w:themeColor="text1"/>
          <w:szCs w:val="24"/>
          <w14:textFill>
            <w14:solidFill>
              <w14:schemeClr w14:val="tx1"/>
            </w14:solidFill>
          </w14:textFill>
        </w:rPr>
      </w:pPr>
      <w:bookmarkStart w:id="21" w:name="_Toc1725"/>
      <w:bookmarkStart w:id="22" w:name="_Toc18140"/>
      <w:bookmarkStart w:id="23" w:name="_Toc152042306"/>
      <w:bookmarkStart w:id="24" w:name="_Toc152045530"/>
      <w:bookmarkStart w:id="25" w:name="_Toc144974498"/>
      <w:r>
        <w:rPr>
          <w:rFonts w:hint="eastAsia"/>
          <w:color w:val="000000" w:themeColor="text1"/>
          <w:szCs w:val="24"/>
          <w14:textFill>
            <w14:solidFill>
              <w14:schemeClr w14:val="tx1"/>
            </w14:solidFill>
          </w14:textFill>
        </w:rPr>
        <w:t>1.总则</w:t>
      </w:r>
      <w:bookmarkEnd w:id="21"/>
    </w:p>
    <w:p>
      <w:pPr>
        <w:pStyle w:val="43"/>
        <w:jc w:val="left"/>
        <w:outlineLvl w:val="0"/>
        <w:rPr>
          <w:color w:val="000000" w:themeColor="text1"/>
          <w:szCs w:val="24"/>
          <w14:textFill>
            <w14:solidFill>
              <w14:schemeClr w14:val="tx1"/>
            </w14:solidFill>
          </w14:textFill>
        </w:rPr>
      </w:pPr>
      <w:bookmarkStart w:id="26" w:name="_Toc10943"/>
      <w:r>
        <w:rPr>
          <w:rFonts w:hint="eastAsia"/>
          <w:color w:val="000000" w:themeColor="text1"/>
          <w:szCs w:val="24"/>
          <w14:textFill>
            <w14:solidFill>
              <w14:schemeClr w14:val="tx1"/>
            </w14:solidFill>
          </w14:textFill>
        </w:rPr>
        <w:t>1.1 项目概况</w:t>
      </w:r>
      <w:bookmarkEnd w:id="22"/>
      <w:bookmarkEnd w:id="23"/>
      <w:bookmarkEnd w:id="24"/>
      <w:bookmarkEnd w:id="25"/>
      <w:bookmarkEnd w:id="26"/>
    </w:p>
    <w:p>
      <w:pPr>
        <w:spacing w:line="40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1.1.1根据《中华人民共和国招标投标法》等有关法律、法规和规章的规定，本招标项目已具备招标条件，现对本项目设计进行公开招标。</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 本招标项目招标人：见投标人须知前附表。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 本项目招标代理机构：见投标人须知前附表。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 本招标项目名称：见投标人须知前附表。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 本项目建设地点：见投标人须知前附表。</w:t>
      </w:r>
    </w:p>
    <w:p>
      <w:pPr>
        <w:pStyle w:val="43"/>
        <w:outlineLvl w:val="0"/>
        <w:rPr>
          <w:color w:val="000000" w:themeColor="text1"/>
          <w:szCs w:val="24"/>
          <w14:textFill>
            <w14:solidFill>
              <w14:schemeClr w14:val="tx1"/>
            </w14:solidFill>
          </w14:textFill>
        </w:rPr>
      </w:pPr>
      <w:bookmarkStart w:id="27" w:name="_Toc144974499"/>
      <w:bookmarkStart w:id="28" w:name="_Toc152045531"/>
      <w:bookmarkStart w:id="29" w:name="_Toc152042307"/>
      <w:bookmarkStart w:id="30" w:name="_Toc4016"/>
      <w:bookmarkStart w:id="31" w:name="_Toc24074"/>
      <w:r>
        <w:rPr>
          <w:rFonts w:hint="eastAsia"/>
          <w:color w:val="000000" w:themeColor="text1"/>
          <w:szCs w:val="24"/>
          <w14:textFill>
            <w14:solidFill>
              <w14:schemeClr w14:val="tx1"/>
            </w14:solidFill>
          </w14:textFill>
        </w:rPr>
        <w:t>1.2 资金来源、落实情况</w:t>
      </w:r>
      <w:bookmarkEnd w:id="27"/>
      <w:bookmarkEnd w:id="28"/>
      <w:bookmarkEnd w:id="29"/>
      <w:r>
        <w:rPr>
          <w:rFonts w:hint="eastAsia"/>
          <w:color w:val="000000" w:themeColor="text1"/>
          <w:szCs w:val="24"/>
          <w14:textFill>
            <w14:solidFill>
              <w14:schemeClr w14:val="tx1"/>
            </w14:solidFill>
          </w14:textFill>
        </w:rPr>
        <w:t>和投标周期</w:t>
      </w:r>
      <w:bookmarkEnd w:id="30"/>
      <w:bookmarkEnd w:id="3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1.2.1 本招标项目的资金来源：见投标人须知前附表。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1.2.2 本招标项目的资金落实情况：见投标人须知前附表。</w:t>
      </w:r>
    </w:p>
    <w:p>
      <w:pPr>
        <w:pStyle w:val="43"/>
        <w:outlineLvl w:val="0"/>
        <w:rPr>
          <w:color w:val="000000" w:themeColor="text1"/>
          <w:szCs w:val="24"/>
          <w14:textFill>
            <w14:solidFill>
              <w14:schemeClr w14:val="tx1"/>
            </w14:solidFill>
          </w14:textFill>
        </w:rPr>
      </w:pPr>
      <w:bookmarkStart w:id="32" w:name="_Toc152045532"/>
      <w:bookmarkStart w:id="33" w:name="_Toc152042308"/>
      <w:bookmarkStart w:id="34" w:name="_Toc144974500"/>
      <w:bookmarkStart w:id="35" w:name="_Toc24545"/>
      <w:bookmarkStart w:id="36" w:name="_Toc6464"/>
      <w:r>
        <w:rPr>
          <w:rFonts w:hint="eastAsia"/>
          <w:color w:val="000000" w:themeColor="text1"/>
          <w:szCs w:val="24"/>
          <w14:textFill>
            <w14:solidFill>
              <w14:schemeClr w14:val="tx1"/>
            </w14:solidFill>
          </w14:textFill>
        </w:rPr>
        <w:t>1.3 招标范围、计划设计周期和质量要求</w:t>
      </w:r>
      <w:bookmarkEnd w:id="32"/>
      <w:bookmarkEnd w:id="33"/>
      <w:bookmarkEnd w:id="34"/>
      <w:bookmarkEnd w:id="35"/>
      <w:bookmarkEnd w:id="3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 本次招标范围：见投标人须知前附表。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 本项目设计时间：见投标人须知前附表。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1.3.3 本项目的质量要求：见投标人须知前附表。</w:t>
      </w:r>
    </w:p>
    <w:p>
      <w:pPr>
        <w:pStyle w:val="43"/>
        <w:outlineLvl w:val="0"/>
        <w:rPr>
          <w:color w:val="000000" w:themeColor="text1"/>
          <w:szCs w:val="24"/>
          <w14:textFill>
            <w14:solidFill>
              <w14:schemeClr w14:val="tx1"/>
            </w14:solidFill>
          </w14:textFill>
        </w:rPr>
      </w:pPr>
      <w:bookmarkStart w:id="37" w:name="_Toc144974502"/>
      <w:bookmarkStart w:id="38" w:name="_Toc23078"/>
      <w:bookmarkStart w:id="39" w:name="_Toc8795"/>
      <w:bookmarkStart w:id="40" w:name="_Toc152045534"/>
      <w:bookmarkStart w:id="41" w:name="_Toc152042310"/>
      <w:r>
        <w:rPr>
          <w:rFonts w:hint="eastAsia"/>
          <w:color w:val="000000" w:themeColor="text1"/>
          <w:szCs w:val="24"/>
          <w14:textFill>
            <w14:solidFill>
              <w14:schemeClr w14:val="tx1"/>
            </w14:solidFill>
          </w14:textFill>
        </w:rPr>
        <w:t>1.4 投标人资格要求</w:t>
      </w:r>
      <w:bookmarkEnd w:id="37"/>
      <w:bookmarkEnd w:id="38"/>
      <w:bookmarkEnd w:id="39"/>
      <w:bookmarkEnd w:id="40"/>
      <w:bookmarkEnd w:id="4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1.4.1投标人应具备承担本项目设计的资质条件、能力和信誉。</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（1）资质条件：见投标人须知前附表；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（2）业绩要求：见投标人须知前附表；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（3）信誉要求：见投标人须知前附表；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rFonts w:hint="eastAsia" w:ascii="宋体" w:hAnsi="宋体"/>
          <w:bCs/>
          <w:color w:val="000000" w:themeColor="text1"/>
          <w:sz w:val="24"/>
          <w14:textFill>
            <w14:solidFill>
              <w14:schemeClr w14:val="tx1"/>
            </w14:solidFill>
          </w14:textFill>
        </w:rPr>
        <w:t>项目负责人</w:t>
      </w:r>
      <w:r>
        <w:rPr>
          <w:rFonts w:hint="eastAsia"/>
          <w:color w:val="000000" w:themeColor="text1"/>
          <w:sz w:val="24"/>
          <w14:textFill>
            <w14:solidFill>
              <w14:schemeClr w14:val="tx1"/>
            </w14:solidFill>
          </w14:textFill>
        </w:rPr>
        <w:t>：见投标人须知前附表；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（5）其他要求：见投标人须知前附表。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1.4.2 投标人不得存在下列情形之一：</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（1）为招标人不具有独立法人资格的附属机构（单位）；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（2）为本项目的代建人；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（3）为本项目提供招标代理服务的；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（4）与本项目的代建人或招标代理机构同为一个法定代表人的；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（5）与本项目的代建人或招标代理机构相互控股或参股的；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（6）与本项目的代建人或招标代理机构相互任职或工作的；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（7）被责令停业的；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（8）被暂停或取消投标资格的；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（9）财产被接管或冻结的；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（10）在最近三年内没有骗取中标和严重违约及因设计原因引起的重大工程质量问题。因设计责任事故受到相关行政主管部门通报的。</w:t>
      </w:r>
    </w:p>
    <w:p>
      <w:pPr>
        <w:pStyle w:val="43"/>
        <w:outlineLvl w:val="0"/>
        <w:rPr>
          <w:color w:val="000000" w:themeColor="text1"/>
          <w:szCs w:val="24"/>
          <w14:textFill>
            <w14:solidFill>
              <w14:schemeClr w14:val="tx1"/>
            </w14:solidFill>
          </w14:textFill>
        </w:rPr>
      </w:pPr>
      <w:bookmarkStart w:id="42" w:name="_Toc152042311"/>
      <w:bookmarkStart w:id="43" w:name="_Toc144974503"/>
      <w:bookmarkStart w:id="44" w:name="_Toc152045535"/>
      <w:bookmarkStart w:id="45" w:name="_Toc13103"/>
      <w:bookmarkStart w:id="46" w:name="_Toc24532"/>
      <w:r>
        <w:rPr>
          <w:rFonts w:hint="eastAsia"/>
          <w:color w:val="000000" w:themeColor="text1"/>
          <w:szCs w:val="24"/>
          <w14:textFill>
            <w14:solidFill>
              <w14:schemeClr w14:val="tx1"/>
            </w14:solidFill>
          </w14:textFill>
        </w:rPr>
        <w:t>1.5 费用承担</w:t>
      </w:r>
      <w:bookmarkEnd w:id="42"/>
      <w:bookmarkEnd w:id="43"/>
      <w:bookmarkEnd w:id="44"/>
      <w:bookmarkEnd w:id="45"/>
      <w:bookmarkEnd w:id="4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投标人准备和参加投标活动发生的费用自理。</w:t>
      </w:r>
    </w:p>
    <w:p>
      <w:pPr>
        <w:pStyle w:val="43"/>
        <w:outlineLvl w:val="0"/>
        <w:rPr>
          <w:color w:val="000000" w:themeColor="text1"/>
          <w:szCs w:val="24"/>
          <w14:textFill>
            <w14:solidFill>
              <w14:schemeClr w14:val="tx1"/>
            </w14:solidFill>
          </w14:textFill>
        </w:rPr>
      </w:pPr>
      <w:bookmarkStart w:id="47" w:name="_Toc152045536"/>
      <w:bookmarkStart w:id="48" w:name="_Toc32381"/>
      <w:bookmarkStart w:id="49" w:name="_Toc144974504"/>
      <w:bookmarkStart w:id="50" w:name="_Toc152042312"/>
      <w:bookmarkStart w:id="51" w:name="_Toc15100"/>
      <w:r>
        <w:rPr>
          <w:rFonts w:hint="eastAsia"/>
          <w:color w:val="000000" w:themeColor="text1"/>
          <w:szCs w:val="24"/>
          <w14:textFill>
            <w14:solidFill>
              <w14:schemeClr w14:val="tx1"/>
            </w14:solidFill>
          </w14:textFill>
        </w:rPr>
        <w:t>1.6 保密</w:t>
      </w:r>
      <w:bookmarkEnd w:id="47"/>
      <w:bookmarkEnd w:id="48"/>
      <w:bookmarkEnd w:id="49"/>
      <w:bookmarkEnd w:id="50"/>
      <w:bookmarkEnd w:id="5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参与招标投标活动的各方应对招标文件和投标文件中的商业和技术等秘密保密，违者应对由此造成的后果承担法律责任。 </w:t>
      </w:r>
    </w:p>
    <w:p>
      <w:pPr>
        <w:pStyle w:val="43"/>
        <w:outlineLvl w:val="0"/>
        <w:rPr>
          <w:color w:val="000000" w:themeColor="text1"/>
          <w:szCs w:val="24"/>
          <w14:textFill>
            <w14:solidFill>
              <w14:schemeClr w14:val="tx1"/>
            </w14:solidFill>
          </w14:textFill>
        </w:rPr>
      </w:pPr>
      <w:bookmarkStart w:id="52" w:name="_Toc144974505"/>
      <w:bookmarkStart w:id="53" w:name="_Toc27530"/>
      <w:bookmarkStart w:id="54" w:name="_Toc14582"/>
      <w:bookmarkStart w:id="55" w:name="_Toc152045537"/>
      <w:bookmarkStart w:id="56" w:name="_Toc152042313"/>
      <w:r>
        <w:rPr>
          <w:rFonts w:hint="eastAsia"/>
          <w:color w:val="000000" w:themeColor="text1"/>
          <w:szCs w:val="24"/>
          <w14:textFill>
            <w14:solidFill>
              <w14:schemeClr w14:val="tx1"/>
            </w14:solidFill>
          </w14:textFill>
        </w:rPr>
        <w:t>1.7 语言</w:t>
      </w:r>
      <w:bookmarkEnd w:id="52"/>
      <w:r>
        <w:rPr>
          <w:rFonts w:hint="eastAsia"/>
          <w:color w:val="000000" w:themeColor="text1"/>
          <w:szCs w:val="24"/>
          <w14:textFill>
            <w14:solidFill>
              <w14:schemeClr w14:val="tx1"/>
            </w14:solidFill>
          </w14:textFill>
        </w:rPr>
        <w:t>文字</w:t>
      </w:r>
      <w:bookmarkEnd w:id="53"/>
      <w:bookmarkEnd w:id="54"/>
      <w:bookmarkEnd w:id="55"/>
      <w:bookmarkEnd w:id="5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除专用术语外，与招标投标有关的语言均使用中文。必要时专用术语应附有中文注释。</w:t>
      </w:r>
    </w:p>
    <w:p>
      <w:pPr>
        <w:pStyle w:val="43"/>
        <w:outlineLvl w:val="0"/>
        <w:rPr>
          <w:color w:val="000000" w:themeColor="text1"/>
          <w:szCs w:val="24"/>
          <w14:textFill>
            <w14:solidFill>
              <w14:schemeClr w14:val="tx1"/>
            </w14:solidFill>
          </w14:textFill>
        </w:rPr>
      </w:pPr>
      <w:bookmarkStart w:id="57" w:name="_Toc16365"/>
      <w:bookmarkStart w:id="58" w:name="_Toc152045538"/>
      <w:bookmarkStart w:id="59" w:name="_Toc13080"/>
      <w:bookmarkStart w:id="60" w:name="_Toc152042314"/>
      <w:bookmarkStart w:id="61" w:name="_Toc144974506"/>
      <w:r>
        <w:rPr>
          <w:rFonts w:hint="eastAsia"/>
          <w:color w:val="000000" w:themeColor="text1"/>
          <w:szCs w:val="24"/>
          <w14:textFill>
            <w14:solidFill>
              <w14:schemeClr w14:val="tx1"/>
            </w14:solidFill>
          </w14:textFill>
        </w:rPr>
        <w:t>1.8 计量单位</w:t>
      </w:r>
      <w:bookmarkEnd w:id="57"/>
      <w:bookmarkEnd w:id="58"/>
      <w:bookmarkEnd w:id="59"/>
      <w:bookmarkEnd w:id="60"/>
      <w:bookmarkEnd w:id="6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所有计量均采用中华人民共和国法定计量单位。</w:t>
      </w:r>
    </w:p>
    <w:p>
      <w:pPr>
        <w:pStyle w:val="43"/>
        <w:outlineLvl w:val="0"/>
        <w:rPr>
          <w:color w:val="000000" w:themeColor="text1"/>
          <w:szCs w:val="24"/>
          <w14:textFill>
            <w14:solidFill>
              <w14:schemeClr w14:val="tx1"/>
            </w14:solidFill>
          </w14:textFill>
        </w:rPr>
      </w:pPr>
      <w:bookmarkStart w:id="62" w:name="_Toc144974507"/>
      <w:bookmarkStart w:id="63" w:name="_Toc152042315"/>
      <w:bookmarkStart w:id="64" w:name="_Toc152045539"/>
      <w:bookmarkStart w:id="65" w:name="_Toc5841"/>
      <w:bookmarkStart w:id="66" w:name="_Toc16702"/>
      <w:r>
        <w:rPr>
          <w:rFonts w:hint="eastAsia"/>
          <w:color w:val="000000" w:themeColor="text1"/>
          <w:szCs w:val="24"/>
          <w14:textFill>
            <w14:solidFill>
              <w14:schemeClr w14:val="tx1"/>
            </w14:solidFill>
          </w14:textFill>
        </w:rPr>
        <w:t>1.9 踏勘现场</w:t>
      </w:r>
      <w:bookmarkEnd w:id="62"/>
      <w:bookmarkEnd w:id="63"/>
      <w:bookmarkEnd w:id="64"/>
      <w:bookmarkEnd w:id="65"/>
      <w:bookmarkEnd w:id="66"/>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bookmarkStart w:id="67" w:name="_Toc152042316"/>
      <w:bookmarkStart w:id="68" w:name="_Toc152045540"/>
      <w:bookmarkStart w:id="69" w:name="_Toc144974508"/>
      <w:bookmarkStart w:id="70" w:name="_Toc30109"/>
      <w:r>
        <w:rPr>
          <w:rFonts w:hint="eastAsia"/>
          <w:color w:val="000000" w:themeColor="text1"/>
          <w:sz w:val="24"/>
          <w14:textFill>
            <w14:solidFill>
              <w14:schemeClr w14:val="tx1"/>
            </w14:solidFill>
          </w14:textFill>
        </w:rPr>
        <w:t>踏勘现场</w:t>
      </w:r>
      <w:r>
        <w:rPr>
          <w:rFonts w:hint="eastAsia" w:ascii="华文仿宋" w:hAnsi="华文仿宋" w:eastAsia="华文仿宋" w:cs="华文仿宋"/>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见投标人须知前附表。</w:t>
      </w:r>
    </w:p>
    <w:p>
      <w:pPr>
        <w:pStyle w:val="43"/>
        <w:outlineLvl w:val="0"/>
        <w:rPr>
          <w:color w:val="000000" w:themeColor="text1"/>
          <w:szCs w:val="24"/>
          <w14:textFill>
            <w14:solidFill>
              <w14:schemeClr w14:val="tx1"/>
            </w14:solidFill>
          </w14:textFill>
        </w:rPr>
      </w:pPr>
      <w:bookmarkStart w:id="71" w:name="_Toc17264"/>
      <w:r>
        <w:rPr>
          <w:rFonts w:hint="eastAsia"/>
          <w:color w:val="000000" w:themeColor="text1"/>
          <w:szCs w:val="24"/>
          <w14:textFill>
            <w14:solidFill>
              <w14:schemeClr w14:val="tx1"/>
            </w14:solidFill>
          </w14:textFill>
        </w:rPr>
        <w:t>1.10 投标预备会</w:t>
      </w:r>
      <w:bookmarkEnd w:id="67"/>
      <w:bookmarkEnd w:id="68"/>
      <w:bookmarkEnd w:id="69"/>
      <w:bookmarkEnd w:id="70"/>
      <w:bookmarkEnd w:id="71"/>
    </w:p>
    <w:p>
      <w:pPr>
        <w:pStyle w:val="43"/>
        <w:ind w:firstLine="720" w:firstLineChars="300"/>
        <w:outlineLvl w:val="0"/>
        <w:rPr>
          <w:rFonts w:eastAsia="宋体" w:cs="黑体"/>
          <w:color w:val="000000" w:themeColor="text1"/>
          <w:szCs w:val="24"/>
          <w14:textFill>
            <w14:solidFill>
              <w14:schemeClr w14:val="tx1"/>
            </w14:solidFill>
          </w14:textFill>
        </w:rPr>
      </w:pPr>
      <w:bookmarkStart w:id="72" w:name="_Toc24931"/>
      <w:bookmarkStart w:id="73" w:name="_Toc152045541"/>
      <w:bookmarkStart w:id="74" w:name="_Toc152042317"/>
      <w:bookmarkStart w:id="75" w:name="_Toc144974509"/>
      <w:bookmarkStart w:id="76" w:name="_Toc32444"/>
      <w:r>
        <w:rPr>
          <w:rFonts w:hint="eastAsia" w:eastAsia="宋体" w:cs="黑体"/>
          <w:color w:val="000000" w:themeColor="text1"/>
          <w:szCs w:val="24"/>
          <w14:textFill>
            <w14:solidFill>
              <w14:schemeClr w14:val="tx1"/>
            </w14:solidFill>
          </w14:textFill>
        </w:rPr>
        <w:t>投标预备会：见投标人须知前附表。</w:t>
      </w:r>
      <w:bookmarkEnd w:id="72"/>
    </w:p>
    <w:p>
      <w:pPr>
        <w:pStyle w:val="43"/>
        <w:outlineLvl w:val="0"/>
        <w:rPr>
          <w:color w:val="000000" w:themeColor="text1"/>
          <w:szCs w:val="24"/>
          <w14:textFill>
            <w14:solidFill>
              <w14:schemeClr w14:val="tx1"/>
            </w14:solidFill>
          </w14:textFill>
        </w:rPr>
      </w:pPr>
      <w:bookmarkStart w:id="77" w:name="_Toc13573"/>
      <w:r>
        <w:rPr>
          <w:rFonts w:hint="eastAsia"/>
          <w:color w:val="000000" w:themeColor="text1"/>
          <w:szCs w:val="24"/>
          <w14:textFill>
            <w14:solidFill>
              <w14:schemeClr w14:val="tx1"/>
            </w14:solidFill>
          </w14:textFill>
        </w:rPr>
        <w:t>1.11 分包</w:t>
      </w:r>
      <w:bookmarkEnd w:id="73"/>
      <w:bookmarkEnd w:id="74"/>
      <w:bookmarkEnd w:id="75"/>
      <w:r>
        <w:rPr>
          <w:rFonts w:hint="eastAsia"/>
          <w:color w:val="000000" w:themeColor="text1"/>
          <w:szCs w:val="24"/>
          <w14:textFill>
            <w14:solidFill>
              <w14:schemeClr w14:val="tx1"/>
            </w14:solidFill>
          </w14:textFill>
        </w:rPr>
        <w:t>（不允许）</w:t>
      </w:r>
      <w:bookmarkEnd w:id="76"/>
      <w:bookmarkEnd w:id="77"/>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分包：见投标人须知前附表。</w:t>
      </w:r>
    </w:p>
    <w:p>
      <w:pPr>
        <w:pStyle w:val="43"/>
        <w:outlineLvl w:val="0"/>
        <w:rPr>
          <w:color w:val="000000" w:themeColor="text1"/>
          <w:szCs w:val="24"/>
          <w14:textFill>
            <w14:solidFill>
              <w14:schemeClr w14:val="tx1"/>
            </w14:solidFill>
          </w14:textFill>
        </w:rPr>
      </w:pPr>
      <w:bookmarkStart w:id="78" w:name="_Toc9949"/>
      <w:bookmarkStart w:id="79" w:name="_Toc26777"/>
      <w:r>
        <w:rPr>
          <w:rFonts w:hint="eastAsia"/>
          <w:color w:val="000000" w:themeColor="text1"/>
          <w:szCs w:val="24"/>
          <w14:textFill>
            <w14:solidFill>
              <w14:schemeClr w14:val="tx1"/>
            </w14:solidFill>
          </w14:textFill>
        </w:rPr>
        <w:t>1.12 偏离</w:t>
      </w:r>
      <w:bookmarkEnd w:id="78"/>
      <w:bookmarkEnd w:id="79"/>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偏离：见投标人须知前附表。</w:t>
      </w:r>
    </w:p>
    <w:p>
      <w:pPr>
        <w:pStyle w:val="41"/>
        <w:outlineLvl w:val="0"/>
        <w:rPr>
          <w:color w:val="000000" w:themeColor="text1"/>
          <w:sz w:val="24"/>
          <w:szCs w:val="24"/>
          <w14:textFill>
            <w14:solidFill>
              <w14:schemeClr w14:val="tx1"/>
            </w14:solidFill>
          </w14:textFill>
        </w:rPr>
      </w:pPr>
      <w:bookmarkStart w:id="80" w:name="_Toc27534"/>
      <w:r>
        <w:rPr>
          <w:rFonts w:hint="eastAsia"/>
          <w:color w:val="000000" w:themeColor="text1"/>
          <w:sz w:val="24"/>
          <w:szCs w:val="24"/>
          <w14:textFill>
            <w14:solidFill>
              <w14:schemeClr w14:val="tx1"/>
            </w14:solidFill>
          </w14:textFill>
        </w:rPr>
        <w:t>2. 招标文件</w:t>
      </w:r>
      <w:bookmarkEnd w:id="80"/>
    </w:p>
    <w:p>
      <w:pPr>
        <w:pStyle w:val="43"/>
        <w:outlineLvl w:val="0"/>
        <w:rPr>
          <w:color w:val="000000" w:themeColor="text1"/>
          <w:szCs w:val="24"/>
          <w14:textFill>
            <w14:solidFill>
              <w14:schemeClr w14:val="tx1"/>
            </w14:solidFill>
          </w14:textFill>
        </w:rPr>
      </w:pPr>
      <w:bookmarkStart w:id="81" w:name="_Toc28034"/>
      <w:r>
        <w:rPr>
          <w:rFonts w:hint="eastAsia"/>
          <w:color w:val="000000" w:themeColor="text1"/>
          <w:szCs w:val="24"/>
          <w14:textFill>
            <w14:solidFill>
              <w14:schemeClr w14:val="tx1"/>
            </w14:solidFill>
          </w14:textFill>
        </w:rPr>
        <w:t>2.1 招标文件的组成</w:t>
      </w:r>
      <w:bookmarkEnd w:id="81"/>
    </w:p>
    <w:p>
      <w:pPr>
        <w:spacing w:line="400" w:lineRule="exact"/>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本招标文件包括：</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（1）招标公告</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（2）投标人须知</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（3）评标办法</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（4）合同条款及格式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（5）勘测设计任务书</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（6）投标文件格式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根据本章对招标文件所作的澄清、修改，构成招标文件的组成部分。</w:t>
      </w:r>
    </w:p>
    <w:p>
      <w:pPr>
        <w:pStyle w:val="43"/>
        <w:outlineLvl w:val="0"/>
        <w:rPr>
          <w:color w:val="000000" w:themeColor="text1"/>
          <w:szCs w:val="24"/>
          <w14:textFill>
            <w14:solidFill>
              <w14:schemeClr w14:val="tx1"/>
            </w14:solidFill>
          </w14:textFill>
        </w:rPr>
      </w:pPr>
      <w:bookmarkStart w:id="82" w:name="_Toc23422"/>
      <w:r>
        <w:rPr>
          <w:rFonts w:hint="eastAsia"/>
          <w:color w:val="000000" w:themeColor="text1"/>
          <w:szCs w:val="24"/>
          <w14:textFill>
            <w14:solidFill>
              <w14:schemeClr w14:val="tx1"/>
            </w14:solidFill>
          </w14:textFill>
        </w:rPr>
        <w:t>2.2 招标文件的澄清</w:t>
      </w:r>
      <w:bookmarkEnd w:id="82"/>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2.2.1 投标人应仔细阅读和检查招标文件的全部内容。如发现缺页或附件不全，应及时向招标人提出，以便补齐。如有疑问，应在投标人须知前附表规定的时间前通过唐河县公共资源交易系统“会员平台”向招标代理机构发起，要求招标人对招标文件予以澄清。</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2.2.2 招标文件的澄清通过唐河县公共资源交易系统予以澄清，但不指明澄清问的来源。如果澄清发出的时间距投标人须知前附表规定的投标截止时间不足15天，并且澄清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2.2.3招标代理机构对已发出的招标文件进行的答疑、澄清、变更的内容将作为招标文件的组成部分。招标代理机构将通过网站“变更公告”和系统内部“答疑文件”告知投标人，对于各项目中已经成功下载招标文件的项目投标人，将不提供投标人进行查询提醒。各投标人须自行关注交易中心系统网站公示、公告，若有须重新下载最新的招标文件和答疑文件，以此编制投标文件。仅系友情提示，并不具有任何约束性和必要性，招标代理机构不承担投标人未收到提醒而引起的一切后果和法律责任。投标人在投标文件递交截止时间前须自行查看项目进展、变更通知、澄清及回复，因投标人未及时查看而造成的后果自负。</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83" w:name="_Toc277453848"/>
      <w:bookmarkStart w:id="84" w:name="_Toc275511645"/>
      <w:bookmarkStart w:id="85" w:name="_Toc276979415"/>
      <w:bookmarkStart w:id="86" w:name="_Toc18995"/>
      <w:bookmarkStart w:id="87" w:name="_Toc25943"/>
      <w:bookmarkStart w:id="88" w:name="_Toc277453766"/>
      <w:bookmarkStart w:id="89" w:name="_Toc431542579"/>
      <w:bookmarkStart w:id="90" w:name="_Toc275512422"/>
      <w:r>
        <w:rPr>
          <w:rFonts w:hint="eastAsia" w:ascii="华文仿宋" w:hAnsi="华文仿宋" w:eastAsia="华文仿宋" w:cs="华文仿宋"/>
          <w:color w:val="000000" w:themeColor="text1"/>
          <w:sz w:val="24"/>
          <w:szCs w:val="24"/>
          <w14:textFill>
            <w14:solidFill>
              <w14:schemeClr w14:val="tx1"/>
            </w14:solidFill>
          </w14:textFill>
        </w:rPr>
        <w:t>2.3 招标文件的修改</w:t>
      </w:r>
      <w:bookmarkEnd w:id="83"/>
      <w:bookmarkEnd w:id="84"/>
      <w:bookmarkEnd w:id="85"/>
      <w:bookmarkEnd w:id="86"/>
      <w:bookmarkEnd w:id="87"/>
      <w:bookmarkEnd w:id="88"/>
      <w:bookmarkEnd w:id="89"/>
      <w:bookmarkEnd w:id="90"/>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2.3.1招标人通过唐河县公共资源交易系统平台确予以修改。如果修改发出的时间距投标人须知前附表规定的投标截止时间不足15天，并且修改内容影响投标文件编制的，将相应延长投标截止时间。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2.3.2 投标人应经常登录唐河县公共资源交易系统“会员平台”查看相关内容；如因自身原因造成未及时查看招标文件修改内容，所产生后果由投标人自行承担。</w:t>
      </w:r>
    </w:p>
    <w:p>
      <w:pPr>
        <w:pStyle w:val="41"/>
        <w:outlineLvl w:val="0"/>
        <w:rPr>
          <w:color w:val="000000" w:themeColor="text1"/>
          <w:sz w:val="24"/>
          <w:szCs w:val="24"/>
          <w14:textFill>
            <w14:solidFill>
              <w14:schemeClr w14:val="tx1"/>
            </w14:solidFill>
          </w14:textFill>
        </w:rPr>
      </w:pPr>
      <w:bookmarkStart w:id="91" w:name="_Toc22407"/>
      <w:r>
        <w:rPr>
          <w:rFonts w:hint="eastAsia"/>
          <w:color w:val="000000" w:themeColor="text1"/>
          <w:sz w:val="24"/>
          <w:szCs w:val="24"/>
          <w14:textFill>
            <w14:solidFill>
              <w14:schemeClr w14:val="tx1"/>
            </w14:solidFill>
          </w14:textFill>
        </w:rPr>
        <w:t>3. 投标文件</w:t>
      </w:r>
      <w:bookmarkEnd w:id="91"/>
    </w:p>
    <w:p>
      <w:pPr>
        <w:pStyle w:val="43"/>
        <w:outlineLvl w:val="0"/>
        <w:rPr>
          <w:color w:val="000000" w:themeColor="text1"/>
          <w:szCs w:val="24"/>
          <w14:textFill>
            <w14:solidFill>
              <w14:schemeClr w14:val="tx1"/>
            </w14:solidFill>
          </w14:textFill>
        </w:rPr>
      </w:pPr>
      <w:bookmarkStart w:id="92" w:name="_Toc22757"/>
      <w:r>
        <w:rPr>
          <w:rFonts w:hint="eastAsia"/>
          <w:color w:val="000000" w:themeColor="text1"/>
          <w:szCs w:val="24"/>
          <w14:textFill>
            <w14:solidFill>
              <w14:schemeClr w14:val="tx1"/>
            </w14:solidFill>
          </w14:textFill>
        </w:rPr>
        <w:t>3.1 投标文件的组成</w:t>
      </w:r>
      <w:bookmarkEnd w:id="92"/>
    </w:p>
    <w:p>
      <w:pPr>
        <w:autoSpaceDE w:val="0"/>
        <w:autoSpaceDN w:val="0"/>
        <w:adjustRightInd w:val="0"/>
        <w:spacing w:line="460" w:lineRule="exact"/>
        <w:ind w:firstLine="616" w:firstLineChars="257"/>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详见第六章“投标文件格式”。</w:t>
      </w:r>
    </w:p>
    <w:p>
      <w:pPr>
        <w:pStyle w:val="43"/>
        <w:outlineLvl w:val="0"/>
        <w:rPr>
          <w:rFonts w:ascii="宋体" w:hAnsi="宋体" w:eastAsia="宋体"/>
          <w:b/>
          <w:bCs/>
          <w:color w:val="000000" w:themeColor="text1"/>
          <w:szCs w:val="24"/>
          <w14:textFill>
            <w14:solidFill>
              <w14:schemeClr w14:val="tx1"/>
            </w14:solidFill>
          </w14:textFill>
        </w:rPr>
      </w:pPr>
      <w:bookmarkStart w:id="93" w:name="_Toc30634"/>
      <w:r>
        <w:rPr>
          <w:rFonts w:hint="eastAsia" w:ascii="宋体" w:hAnsi="宋体" w:eastAsia="宋体"/>
          <w:b/>
          <w:bCs/>
          <w:color w:val="000000" w:themeColor="text1"/>
          <w:szCs w:val="24"/>
          <w14:textFill>
            <w14:solidFill>
              <w14:schemeClr w14:val="tx1"/>
            </w14:solidFill>
          </w14:textFill>
        </w:rPr>
        <w:t>3.2 投标报价</w:t>
      </w:r>
      <w:bookmarkEnd w:id="93"/>
    </w:p>
    <w:p>
      <w:pPr>
        <w:spacing w:line="400" w:lineRule="exact"/>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3.2.1投标人的设计费报价应包括投标人完成本招标项目设计所有工作量和提供全套设计文件及相关配合工作及服务的全部费用；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3.2.2投标人应依据相关文件计算出的设计费，结合自身综合实力、市场行情、本项目具体特点和技术要求，对设计费用给予优惠后进行报价。</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3.2.3投标人的报价应含有所投服务、税费、交付后约定期限内免费后续服务等工作所发生的一切应有费用。投标报价为签订合同的依据。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3.2.4除非招标文件另有规定，投标人只允许有一个报价，任何有选择的报价或替代方案将导致投标无效。</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3.2.5除政策性文件规定以外，投标人所报价格在合同实施期间不因市场变化因素而变动。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3.2.6投标人在投标截止时间前修改投标函中的投标报价，应同时修改的相应报价。此修改须符合本章第4.3款的有关要求。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3.2.7本项目投标报价采用的币种为</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，合同实施时亦以</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支付。</w:t>
      </w:r>
    </w:p>
    <w:p>
      <w:pPr>
        <w:pStyle w:val="43"/>
        <w:outlineLvl w:val="0"/>
        <w:rPr>
          <w:color w:val="000000" w:themeColor="text1"/>
          <w:szCs w:val="24"/>
          <w14:textFill>
            <w14:solidFill>
              <w14:schemeClr w14:val="tx1"/>
            </w14:solidFill>
          </w14:textFill>
        </w:rPr>
      </w:pPr>
      <w:bookmarkStart w:id="94" w:name="_Toc5615"/>
      <w:r>
        <w:rPr>
          <w:rFonts w:hint="eastAsia"/>
          <w:color w:val="000000" w:themeColor="text1"/>
          <w:szCs w:val="24"/>
          <w14:textFill>
            <w14:solidFill>
              <w14:schemeClr w14:val="tx1"/>
            </w14:solidFill>
          </w14:textFill>
        </w:rPr>
        <w:t>3.3 投标有效期</w:t>
      </w:r>
      <w:bookmarkEnd w:id="9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3.3.1 在投标人须知前附表规定的投标有效期内，投标人不得要求撤销或修改其投标文件。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3"/>
        <w:outlineLvl w:val="0"/>
        <w:rPr>
          <w:color w:val="000000" w:themeColor="text1"/>
          <w:szCs w:val="24"/>
          <w14:textFill>
            <w14:solidFill>
              <w14:schemeClr w14:val="tx1"/>
            </w14:solidFill>
          </w14:textFill>
        </w:rPr>
      </w:pPr>
      <w:bookmarkStart w:id="95" w:name="_Toc25046"/>
      <w:r>
        <w:rPr>
          <w:rFonts w:hint="eastAsia"/>
          <w:color w:val="000000" w:themeColor="text1"/>
          <w:szCs w:val="24"/>
          <w14:textFill>
            <w14:solidFill>
              <w14:schemeClr w14:val="tx1"/>
            </w14:solidFill>
          </w14:textFill>
        </w:rPr>
        <w:t>3.4 投标保证金</w:t>
      </w:r>
      <w:bookmarkEnd w:id="9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3.4.1 投标人在递交投标文件时，应按投标人须知前附表规定的时间、金额、担保形式和 “投标文件格式”规定的投标保证金格式递交投标保证金，并作为其投标文件的组成部分。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3.4.2 投标人不按本章要求提交投标保证金的，其投标文件作废标处理。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3.4.3 有下列情形之一的，投标保证金将不予退还：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（1）投标人在规定的投标有效期内撤销或修改其投标文件；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（2）中标人在收到中标通知书后，无正当理由拒签合同协议书或未按招标文件规定提交履约担保；</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（3）干扰和影响评审过程和结果的。</w:t>
      </w:r>
    </w:p>
    <w:p>
      <w:pPr>
        <w:pStyle w:val="43"/>
        <w:outlineLvl w:val="0"/>
        <w:rPr>
          <w:color w:val="000000" w:themeColor="text1"/>
          <w:szCs w:val="24"/>
          <w14:textFill>
            <w14:solidFill>
              <w14:schemeClr w14:val="tx1"/>
            </w14:solidFill>
          </w14:textFill>
        </w:rPr>
      </w:pPr>
      <w:bookmarkStart w:id="96" w:name="_Toc1707"/>
      <w:r>
        <w:rPr>
          <w:rFonts w:hint="eastAsia"/>
          <w:color w:val="000000" w:themeColor="text1"/>
          <w:szCs w:val="24"/>
          <w14:textFill>
            <w14:solidFill>
              <w14:schemeClr w14:val="tx1"/>
            </w14:solidFill>
          </w14:textFill>
        </w:rPr>
        <w:t>3.5 资格审查资料</w:t>
      </w:r>
      <w:bookmarkEnd w:id="96"/>
    </w:p>
    <w:p>
      <w:pPr>
        <w:pStyle w:val="43"/>
        <w:outlineLvl w:val="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rFonts w:hint="eastAsia" w:eastAsia="宋体" w:cs="Times New Roman"/>
          <w:color w:val="000000" w:themeColor="text1"/>
          <w:szCs w:val="24"/>
          <w14:textFill>
            <w14:solidFill>
              <w14:schemeClr w14:val="tx1"/>
            </w14:solidFill>
          </w14:textFill>
        </w:rPr>
        <w:t xml:space="preserve">   </w:t>
      </w:r>
      <w:bookmarkStart w:id="97" w:name="_Toc18558"/>
      <w:r>
        <w:rPr>
          <w:rFonts w:hint="eastAsia" w:eastAsia="宋体" w:cs="Times New Roman"/>
          <w:color w:val="000000" w:themeColor="text1"/>
          <w:szCs w:val="24"/>
          <w14:textFill>
            <w14:solidFill>
              <w14:schemeClr w14:val="tx1"/>
            </w14:solidFill>
          </w14:textFill>
        </w:rPr>
        <w:t>详见评标办法。</w:t>
      </w:r>
      <w:bookmarkEnd w:id="97"/>
    </w:p>
    <w:p>
      <w:pPr>
        <w:pStyle w:val="43"/>
        <w:outlineLvl w:val="0"/>
        <w:rPr>
          <w:color w:val="000000" w:themeColor="text1"/>
          <w:szCs w:val="24"/>
          <w14:textFill>
            <w14:solidFill>
              <w14:schemeClr w14:val="tx1"/>
            </w14:solidFill>
          </w14:textFill>
        </w:rPr>
      </w:pPr>
      <w:bookmarkStart w:id="98" w:name="_Toc21566"/>
      <w:r>
        <w:rPr>
          <w:rFonts w:hint="eastAsia"/>
          <w:color w:val="000000" w:themeColor="text1"/>
          <w:szCs w:val="24"/>
          <w14:textFill>
            <w14:solidFill>
              <w14:schemeClr w14:val="tx1"/>
            </w14:solidFill>
          </w14:textFill>
        </w:rPr>
        <w:t>3.6 备选投标方案</w:t>
      </w:r>
      <w:bookmarkEnd w:id="9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投标人不得递交备选投标方案。</w:t>
      </w:r>
    </w:p>
    <w:p>
      <w:pPr>
        <w:pStyle w:val="43"/>
        <w:outlineLvl w:val="0"/>
        <w:rPr>
          <w:color w:val="000000" w:themeColor="text1"/>
          <w:szCs w:val="24"/>
          <w14:textFill>
            <w14:solidFill>
              <w14:schemeClr w14:val="tx1"/>
            </w14:solidFill>
          </w14:textFill>
        </w:rPr>
      </w:pPr>
      <w:bookmarkStart w:id="99" w:name="_Toc22214"/>
      <w:r>
        <w:rPr>
          <w:rFonts w:hint="eastAsia"/>
          <w:color w:val="000000" w:themeColor="text1"/>
          <w:szCs w:val="24"/>
          <w14:textFill>
            <w14:solidFill>
              <w14:schemeClr w14:val="tx1"/>
            </w14:solidFill>
          </w14:textFill>
        </w:rPr>
        <w:t>3.7 投标文件的编制</w:t>
      </w:r>
      <w:bookmarkEnd w:id="99"/>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3.7.1投标文件应按第六章“投标文件格式”进行编写，如有必要，可以增加附页，作为投标文件的组成部分。其中，投标函附录在满足招标文件实质性要求的基础上，可以提出比招标文件要求更有利于招标人的承诺。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3.7.2投标文件应当对招标文件有关招标范围、投标有效期、设计周期、设计成果要求等实质性内容作出响应。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3.7.3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电子签名的具体要求见投标人须知前附表。  </w:t>
      </w:r>
    </w:p>
    <w:p>
      <w:pPr>
        <w:pStyle w:val="41"/>
        <w:outlineLvl w:val="0"/>
        <w:rPr>
          <w:color w:val="000000" w:themeColor="text1"/>
          <w:sz w:val="24"/>
          <w:szCs w:val="24"/>
          <w14:textFill>
            <w14:solidFill>
              <w14:schemeClr w14:val="tx1"/>
            </w14:solidFill>
          </w14:textFill>
        </w:rPr>
      </w:pPr>
      <w:bookmarkStart w:id="100" w:name="_Toc20868"/>
      <w:r>
        <w:rPr>
          <w:rFonts w:hint="eastAsia"/>
          <w:color w:val="000000" w:themeColor="text1"/>
          <w:sz w:val="24"/>
          <w:szCs w:val="24"/>
          <w14:textFill>
            <w14:solidFill>
              <w14:schemeClr w14:val="tx1"/>
            </w14:solidFill>
          </w14:textFill>
        </w:rPr>
        <w:t>4. 投标</w:t>
      </w:r>
      <w:bookmarkEnd w:id="100"/>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01" w:name="_Toc16186"/>
      <w:r>
        <w:rPr>
          <w:rFonts w:hint="eastAsia" w:ascii="宋体" w:hAnsi="宋体" w:cs="宋体"/>
          <w:color w:val="000000" w:themeColor="text1"/>
          <w:kern w:val="0"/>
          <w:sz w:val="24"/>
          <w14:textFill>
            <w14:solidFill>
              <w14:schemeClr w14:val="tx1"/>
            </w14:solidFill>
          </w14:textFill>
        </w:rPr>
        <w:t>4.1 电子投标文件递交</w:t>
      </w:r>
      <w:bookmarkEnd w:id="101"/>
    </w:p>
    <w:p>
      <w:pPr>
        <w:pStyle w:val="19"/>
        <w:ind w:firstLine="240"/>
        <w:rPr>
          <w:color w:val="000000" w:themeColor="text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见投标人须知前附表</w:t>
      </w:r>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02" w:name="_Toc28017"/>
      <w:r>
        <w:rPr>
          <w:rFonts w:hint="eastAsia" w:ascii="宋体" w:hAnsi="宋体" w:cs="宋体"/>
          <w:color w:val="000000" w:themeColor="text1"/>
          <w:kern w:val="0"/>
          <w:sz w:val="24"/>
          <w14:textFill>
            <w14:solidFill>
              <w14:schemeClr w14:val="tx1"/>
            </w14:solidFill>
          </w14:textFill>
        </w:rPr>
        <w:t>4.2 投标文件的递交</w:t>
      </w:r>
      <w:bookmarkEnd w:id="102"/>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3" w:name="_Toc2356"/>
      <w:r>
        <w:rPr>
          <w:rFonts w:hint="eastAsia" w:ascii="宋体" w:hAnsi="宋体" w:cs="宋体"/>
          <w:color w:val="000000" w:themeColor="text1"/>
          <w:kern w:val="0"/>
          <w:sz w:val="24"/>
          <w14:textFill>
            <w14:solidFill>
              <w14:schemeClr w14:val="tx1"/>
            </w14:solidFill>
          </w14:textFill>
        </w:rPr>
        <w:t>4.2.1 投标人应在“投标人须知前附表”规定的投标截止时间前递交投标文件。</w:t>
      </w:r>
      <w:bookmarkEnd w:id="10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4" w:name="_Toc23911"/>
      <w:r>
        <w:rPr>
          <w:rFonts w:hint="eastAsia" w:ascii="宋体" w:hAnsi="宋体" w:cs="宋体"/>
          <w:color w:val="000000" w:themeColor="text1"/>
          <w:kern w:val="0"/>
          <w:sz w:val="24"/>
          <w14:textFill>
            <w14:solidFill>
              <w14:schemeClr w14:val="tx1"/>
            </w14:solidFill>
          </w14:textFill>
        </w:rPr>
        <w:t>4.2.2 投标人递交投标文件的地点：见投标人须知前附表。</w:t>
      </w:r>
      <w:bookmarkEnd w:id="104"/>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5" w:name="_Toc23117"/>
      <w:r>
        <w:rPr>
          <w:rFonts w:hint="eastAsia" w:ascii="宋体" w:hAnsi="宋体" w:cs="宋体"/>
          <w:color w:val="000000" w:themeColor="text1"/>
          <w:kern w:val="0"/>
          <w:sz w:val="24"/>
          <w14:textFill>
            <w14:solidFill>
              <w14:schemeClr w14:val="tx1"/>
            </w14:solidFill>
          </w14:textFill>
        </w:rPr>
        <w:t>4.2.3 投标人所递交的投标文件不予退还。</w:t>
      </w:r>
      <w:bookmarkEnd w:id="105"/>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6" w:name="_Toc26448"/>
      <w:r>
        <w:rPr>
          <w:rFonts w:hint="eastAsia" w:ascii="宋体" w:hAnsi="宋体" w:cs="宋体"/>
          <w:color w:val="000000" w:themeColor="text1"/>
          <w:kern w:val="0"/>
          <w:sz w:val="24"/>
          <w14:textFill>
            <w14:solidFill>
              <w14:schemeClr w14:val="tx1"/>
            </w14:solidFill>
          </w14:textFill>
        </w:rPr>
        <w:t>4.2.4 逾期送达的或者未送达指定地点的投标文件，招标人不予受理。</w:t>
      </w:r>
      <w:bookmarkEnd w:id="106"/>
    </w:p>
    <w:p>
      <w:pPr>
        <w:pStyle w:val="41"/>
        <w:outlineLvl w:val="0"/>
        <w:rPr>
          <w:color w:val="000000" w:themeColor="text1"/>
          <w:sz w:val="24"/>
          <w:szCs w:val="24"/>
          <w14:textFill>
            <w14:solidFill>
              <w14:schemeClr w14:val="tx1"/>
            </w14:solidFill>
          </w14:textFill>
        </w:rPr>
      </w:pPr>
      <w:bookmarkStart w:id="107" w:name="_Toc9366"/>
      <w:r>
        <w:rPr>
          <w:rFonts w:hint="eastAsia"/>
          <w:color w:val="000000" w:themeColor="text1"/>
          <w:sz w:val="24"/>
          <w:szCs w:val="24"/>
          <w14:textFill>
            <w14:solidFill>
              <w14:schemeClr w14:val="tx1"/>
            </w14:solidFill>
          </w14:textFill>
        </w:rPr>
        <w:t>5. 开标</w:t>
      </w:r>
      <w:bookmarkEnd w:id="107"/>
    </w:p>
    <w:p>
      <w:pPr>
        <w:pStyle w:val="6"/>
        <w:numPr>
          <w:ilvl w:val="2"/>
          <w:numId w:val="0"/>
        </w:numPr>
        <w:spacing w:before="0" w:after="0" w:line="360" w:lineRule="auto"/>
        <w:jc w:val="left"/>
        <w:rPr>
          <w:color w:val="000000" w:themeColor="text1"/>
          <w14:textFill>
            <w14:solidFill>
              <w14:schemeClr w14:val="tx1"/>
            </w14:solidFill>
          </w14:textFill>
        </w:rPr>
      </w:pPr>
      <w:bookmarkStart w:id="108" w:name="_Toc277453780"/>
      <w:bookmarkStart w:id="109" w:name="_Toc275512436"/>
      <w:bookmarkStart w:id="110" w:name="_Toc6201"/>
      <w:bookmarkStart w:id="111" w:name="_Toc276979429"/>
      <w:bookmarkStart w:id="112" w:name="_Toc431542593"/>
      <w:bookmarkStart w:id="113" w:name="_Toc277453862"/>
      <w:bookmarkStart w:id="114" w:name="_Toc275511659"/>
      <w:bookmarkStart w:id="115" w:name="_Toc12675"/>
      <w:r>
        <w:rPr>
          <w:rFonts w:hint="eastAsia" w:ascii="华文仿宋" w:hAnsi="华文仿宋" w:eastAsia="华文仿宋" w:cs="华文仿宋"/>
          <w:color w:val="000000" w:themeColor="text1"/>
          <w:sz w:val="24"/>
          <w:szCs w:val="24"/>
          <w14:textFill>
            <w14:solidFill>
              <w14:schemeClr w14:val="tx1"/>
            </w14:solidFill>
          </w14:textFill>
        </w:rPr>
        <w:t>5.1 开标时间和地点</w:t>
      </w:r>
      <w:bookmarkEnd w:id="108"/>
      <w:bookmarkEnd w:id="109"/>
      <w:bookmarkEnd w:id="110"/>
      <w:bookmarkEnd w:id="111"/>
      <w:bookmarkEnd w:id="112"/>
      <w:bookmarkEnd w:id="113"/>
      <w:bookmarkEnd w:id="114"/>
      <w:r>
        <w:rPr>
          <w:rFonts w:hint="eastAsia" w:ascii="华文仿宋" w:hAnsi="华文仿宋" w:eastAsia="华文仿宋" w:cs="华文仿宋"/>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15"/>
    </w:p>
    <w:p>
      <w:pPr>
        <w:pStyle w:val="6"/>
        <w:numPr>
          <w:ilvl w:val="2"/>
          <w:numId w:val="0"/>
        </w:numPr>
        <w:spacing w:before="0" w:after="0" w:line="360" w:lineRule="auto"/>
        <w:jc w:val="left"/>
        <w:rPr>
          <w:color w:val="000000" w:themeColor="text1"/>
          <w14:textFill>
            <w14:solidFill>
              <w14:schemeClr w14:val="tx1"/>
            </w14:solidFill>
          </w14:textFill>
        </w:rPr>
      </w:pPr>
      <w:bookmarkStart w:id="116" w:name="_Toc9102"/>
      <w:bookmarkStart w:id="117" w:name="_Toc10098"/>
      <w:bookmarkStart w:id="118" w:name="_Toc275511660"/>
      <w:bookmarkStart w:id="119" w:name="_Toc275512437"/>
      <w:bookmarkStart w:id="120" w:name="_Toc277453863"/>
      <w:bookmarkStart w:id="121" w:name="_Toc276979430"/>
      <w:bookmarkStart w:id="122" w:name="_Toc277453781"/>
      <w:bookmarkStart w:id="123" w:name="_Toc431542594"/>
      <w:r>
        <w:rPr>
          <w:rFonts w:hint="eastAsia" w:ascii="华文仿宋" w:hAnsi="华文仿宋" w:eastAsia="华文仿宋" w:cs="华文仿宋"/>
          <w:bCs w:val="0"/>
          <w:color w:val="000000" w:themeColor="text1"/>
          <w:sz w:val="24"/>
          <w:szCs w:val="24"/>
          <w14:textFill>
            <w14:solidFill>
              <w14:schemeClr w14:val="tx1"/>
            </w14:solidFill>
          </w14:textFill>
        </w:rPr>
        <w:t>5.2开标程序：</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16"/>
      <w:bookmarkEnd w:id="117"/>
    </w:p>
    <w:bookmarkEnd w:id="118"/>
    <w:bookmarkEnd w:id="119"/>
    <w:bookmarkEnd w:id="120"/>
    <w:bookmarkEnd w:id="121"/>
    <w:bookmarkEnd w:id="122"/>
    <w:bookmarkEnd w:id="123"/>
    <w:p>
      <w:pPr>
        <w:pStyle w:val="41"/>
        <w:outlineLvl w:val="0"/>
        <w:rPr>
          <w:color w:val="000000" w:themeColor="text1"/>
          <w:sz w:val="24"/>
          <w:szCs w:val="24"/>
          <w14:textFill>
            <w14:solidFill>
              <w14:schemeClr w14:val="tx1"/>
            </w14:solidFill>
          </w14:textFill>
        </w:rPr>
      </w:pPr>
      <w:bookmarkStart w:id="124" w:name="_Toc28337"/>
      <w:r>
        <w:rPr>
          <w:rFonts w:hint="eastAsia"/>
          <w:color w:val="000000" w:themeColor="text1"/>
          <w:sz w:val="24"/>
          <w:szCs w:val="24"/>
          <w14:textFill>
            <w14:solidFill>
              <w14:schemeClr w14:val="tx1"/>
            </w14:solidFill>
          </w14:textFill>
        </w:rPr>
        <w:t>6. 评标</w:t>
      </w:r>
      <w:bookmarkEnd w:id="124"/>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25" w:name="_Toc277453783"/>
      <w:bookmarkStart w:id="126" w:name="_Toc275512439"/>
      <w:bookmarkStart w:id="127" w:name="_Toc19183"/>
      <w:bookmarkStart w:id="128" w:name="_Toc277453865"/>
      <w:bookmarkStart w:id="129" w:name="_Toc431542596"/>
      <w:bookmarkStart w:id="130" w:name="_Toc24636"/>
      <w:bookmarkStart w:id="131" w:name="_Toc276979432"/>
      <w:bookmarkStart w:id="132" w:name="_Toc275511662"/>
      <w:r>
        <w:rPr>
          <w:rFonts w:hint="eastAsia" w:ascii="华文仿宋" w:hAnsi="华文仿宋" w:eastAsia="华文仿宋" w:cs="华文仿宋"/>
          <w:color w:val="000000" w:themeColor="text1"/>
          <w:sz w:val="24"/>
          <w:szCs w:val="24"/>
          <w14:textFill>
            <w14:solidFill>
              <w14:schemeClr w14:val="tx1"/>
            </w14:solidFill>
          </w14:textFill>
        </w:rPr>
        <w:t>6.1 评标委员会</w:t>
      </w:r>
      <w:bookmarkEnd w:id="125"/>
      <w:bookmarkEnd w:id="126"/>
      <w:bookmarkEnd w:id="127"/>
      <w:bookmarkEnd w:id="128"/>
      <w:bookmarkEnd w:id="129"/>
      <w:bookmarkEnd w:id="130"/>
      <w:bookmarkEnd w:id="131"/>
      <w:bookmarkEnd w:id="132"/>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3" w:name="_Toc11895"/>
      <w:r>
        <w:rPr>
          <w:rFonts w:hint="eastAsia" w:ascii="宋体" w:hAnsi="宋体" w:cs="宋体"/>
          <w:color w:val="000000" w:themeColor="text1"/>
          <w:kern w:val="0"/>
          <w:sz w:val="24"/>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bookmarkEnd w:id="13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4" w:name="_Toc12576"/>
      <w:r>
        <w:rPr>
          <w:rFonts w:hint="eastAsia" w:ascii="宋体" w:hAnsi="宋体" w:cs="宋体"/>
          <w:color w:val="000000" w:themeColor="text1"/>
          <w:kern w:val="0"/>
          <w:sz w:val="24"/>
          <w14:textFill>
            <w14:solidFill>
              <w14:schemeClr w14:val="tx1"/>
            </w14:solidFill>
          </w14:textFill>
        </w:rPr>
        <w:t>6.1.2 评标委员会成员有下列情形之一的，应当回避：</w:t>
      </w:r>
      <w:bookmarkEnd w:id="134"/>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5" w:name="_Toc8009"/>
      <w:r>
        <w:rPr>
          <w:rFonts w:hint="eastAsia" w:ascii="宋体" w:hAnsi="宋体" w:cs="宋体"/>
          <w:color w:val="000000" w:themeColor="text1"/>
          <w:kern w:val="0"/>
          <w:sz w:val="24"/>
          <w14:textFill>
            <w14:solidFill>
              <w14:schemeClr w14:val="tx1"/>
            </w14:solidFill>
          </w14:textFill>
        </w:rPr>
        <w:t>（1）招标人或投标人的主要负责人的近亲属；</w:t>
      </w:r>
      <w:bookmarkEnd w:id="135"/>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6" w:name="_Toc30678"/>
      <w:r>
        <w:rPr>
          <w:rFonts w:hint="eastAsia" w:ascii="宋体" w:hAnsi="宋体" w:cs="宋体"/>
          <w:color w:val="000000" w:themeColor="text1"/>
          <w:kern w:val="0"/>
          <w:sz w:val="24"/>
          <w14:textFill>
            <w14:solidFill>
              <w14:schemeClr w14:val="tx1"/>
            </w14:solidFill>
          </w14:textFill>
        </w:rPr>
        <w:t>（2）项目主管部门或者行政监督部门的人员；</w:t>
      </w:r>
      <w:bookmarkEnd w:id="136"/>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7" w:name="_Toc13509"/>
      <w:r>
        <w:rPr>
          <w:rFonts w:hint="eastAsia" w:ascii="宋体" w:hAnsi="宋体" w:cs="宋体"/>
          <w:color w:val="000000" w:themeColor="text1"/>
          <w:kern w:val="0"/>
          <w:sz w:val="24"/>
          <w14:textFill>
            <w14:solidFill>
              <w14:schemeClr w14:val="tx1"/>
            </w14:solidFill>
          </w14:textFill>
        </w:rPr>
        <w:t>（3）与投标人有经济利益关系，可能影响对投标公正评审的；</w:t>
      </w:r>
      <w:bookmarkEnd w:id="137"/>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8" w:name="_Toc23329"/>
      <w:r>
        <w:rPr>
          <w:rFonts w:hint="eastAsia" w:ascii="宋体" w:hAnsi="宋体" w:cs="宋体"/>
          <w:color w:val="000000" w:themeColor="text1"/>
          <w:kern w:val="0"/>
          <w:sz w:val="24"/>
          <w14:textFill>
            <w14:solidFill>
              <w14:schemeClr w14:val="tx1"/>
            </w14:solidFill>
          </w14:textFill>
        </w:rPr>
        <w:t>（4）曾因在招标、评标以及其他与招标投标有关活动中从事违法行为而受过行政处罚或刑事处罚的。</w:t>
      </w:r>
      <w:bookmarkEnd w:id="138"/>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39" w:name="_Toc276979433"/>
      <w:bookmarkStart w:id="140" w:name="_Toc275511663"/>
      <w:bookmarkStart w:id="141" w:name="_Toc7112"/>
      <w:bookmarkStart w:id="142" w:name="_Toc275512440"/>
      <w:bookmarkStart w:id="143" w:name="_Toc431542597"/>
      <w:bookmarkStart w:id="144" w:name="_Toc32193"/>
      <w:bookmarkStart w:id="145" w:name="_Toc277453866"/>
      <w:bookmarkStart w:id="146" w:name="_Toc277453784"/>
      <w:r>
        <w:rPr>
          <w:rFonts w:hint="eastAsia" w:ascii="华文仿宋" w:hAnsi="华文仿宋" w:eastAsia="华文仿宋" w:cs="华文仿宋"/>
          <w:color w:val="000000" w:themeColor="text1"/>
          <w:sz w:val="24"/>
          <w:szCs w:val="24"/>
          <w14:textFill>
            <w14:solidFill>
              <w14:schemeClr w14:val="tx1"/>
            </w14:solidFill>
          </w14:textFill>
        </w:rPr>
        <w:t>6.2 评标原则</w:t>
      </w:r>
      <w:bookmarkEnd w:id="139"/>
      <w:bookmarkEnd w:id="140"/>
      <w:bookmarkEnd w:id="141"/>
      <w:bookmarkEnd w:id="142"/>
      <w:bookmarkEnd w:id="143"/>
      <w:bookmarkEnd w:id="144"/>
      <w:bookmarkEnd w:id="145"/>
      <w:bookmarkEnd w:id="146"/>
    </w:p>
    <w:p>
      <w:pPr>
        <w:spacing w:line="400" w:lineRule="exact"/>
        <w:ind w:firstLine="480" w:firstLineChars="200"/>
        <w:rPr>
          <w:color w:val="000000" w:themeColor="text1"/>
          <w:sz w:val="24"/>
          <w14:textFill>
            <w14:solidFill>
              <w14:schemeClr w14:val="tx1"/>
            </w14:solidFill>
          </w14:textFill>
        </w:rPr>
      </w:pPr>
      <w:bookmarkStart w:id="147" w:name="_Toc275512441"/>
      <w:bookmarkStart w:id="148" w:name="_Toc275511664"/>
      <w:bookmarkStart w:id="149" w:name="_Toc277453867"/>
      <w:bookmarkStart w:id="150" w:name="_Toc431542598"/>
      <w:bookmarkStart w:id="151" w:name="_Toc277453785"/>
      <w:bookmarkStart w:id="152" w:name="_Toc10991"/>
      <w:bookmarkStart w:id="153" w:name="_Toc276979434"/>
      <w:r>
        <w:rPr>
          <w:rFonts w:hint="eastAsia"/>
          <w:color w:val="000000" w:themeColor="text1"/>
          <w:sz w:val="24"/>
          <w14:textFill>
            <w14:solidFill>
              <w14:schemeClr w14:val="tx1"/>
            </w14:solidFill>
          </w14:textFill>
        </w:rPr>
        <w:t>6.2.1评标活动遵循公平、公正、科学和择优的原则。</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6.2.2设计方案必须符合国家相关行业规定、规范，满足功能要求。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6.2.3主要技术经济指标计算合理、分析准确、符合规定。</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6.2.4技术先进、经济合理、有充分的可实施性。</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54" w:name="_Toc3383"/>
      <w:r>
        <w:rPr>
          <w:rFonts w:hint="eastAsia" w:ascii="华文仿宋" w:hAnsi="华文仿宋" w:eastAsia="华文仿宋" w:cs="华文仿宋"/>
          <w:color w:val="000000" w:themeColor="text1"/>
          <w:sz w:val="24"/>
          <w:szCs w:val="24"/>
          <w14:textFill>
            <w14:solidFill>
              <w14:schemeClr w14:val="tx1"/>
            </w14:solidFill>
          </w14:textFill>
        </w:rPr>
        <w:t>6.3 评标</w:t>
      </w:r>
      <w:bookmarkEnd w:id="147"/>
      <w:bookmarkEnd w:id="148"/>
      <w:bookmarkEnd w:id="149"/>
      <w:bookmarkEnd w:id="150"/>
      <w:bookmarkEnd w:id="151"/>
      <w:bookmarkEnd w:id="152"/>
      <w:bookmarkEnd w:id="153"/>
      <w:bookmarkEnd w:id="15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评标委员会按照“评标办法”规定的方法、评审因素、标准和程序对投标文件进行评审。第三章“评标办法”没有规定的方法、评审因素和标准，不作为评标依据。</w:t>
      </w:r>
    </w:p>
    <w:p>
      <w:pPr>
        <w:pStyle w:val="41"/>
        <w:outlineLvl w:val="0"/>
        <w:rPr>
          <w:color w:val="000000" w:themeColor="text1"/>
          <w:sz w:val="24"/>
          <w:szCs w:val="24"/>
          <w14:textFill>
            <w14:solidFill>
              <w14:schemeClr w14:val="tx1"/>
            </w14:solidFill>
          </w14:textFill>
        </w:rPr>
      </w:pPr>
      <w:bookmarkStart w:id="155" w:name="_Toc3972"/>
      <w:r>
        <w:rPr>
          <w:rFonts w:hint="eastAsia"/>
          <w:color w:val="000000" w:themeColor="text1"/>
          <w:sz w:val="24"/>
          <w:szCs w:val="24"/>
          <w14:textFill>
            <w14:solidFill>
              <w14:schemeClr w14:val="tx1"/>
            </w14:solidFill>
          </w14:textFill>
        </w:rPr>
        <w:t>7. 合同授予</w:t>
      </w:r>
      <w:bookmarkEnd w:id="155"/>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56" w:name="_Toc431542600"/>
      <w:bookmarkStart w:id="157" w:name="_Toc277453787"/>
      <w:bookmarkStart w:id="158" w:name="_Toc277453869"/>
      <w:bookmarkStart w:id="159" w:name="_Toc29312"/>
      <w:bookmarkStart w:id="160" w:name="_Toc275511666"/>
      <w:bookmarkStart w:id="161" w:name="_Toc11687"/>
      <w:bookmarkStart w:id="162" w:name="_Toc276979436"/>
      <w:bookmarkStart w:id="163" w:name="_Toc275512443"/>
      <w:r>
        <w:rPr>
          <w:rFonts w:hint="eastAsia" w:ascii="华文仿宋" w:hAnsi="华文仿宋" w:eastAsia="华文仿宋" w:cs="华文仿宋"/>
          <w:color w:val="000000" w:themeColor="text1"/>
          <w:sz w:val="24"/>
          <w:szCs w:val="24"/>
          <w14:textFill>
            <w14:solidFill>
              <w14:schemeClr w14:val="tx1"/>
            </w14:solidFill>
          </w14:textFill>
        </w:rPr>
        <w:t>7.1 定标方式</w:t>
      </w:r>
      <w:bookmarkEnd w:id="156"/>
      <w:bookmarkEnd w:id="157"/>
      <w:bookmarkEnd w:id="158"/>
      <w:bookmarkEnd w:id="159"/>
      <w:bookmarkEnd w:id="160"/>
      <w:bookmarkEnd w:id="161"/>
      <w:bookmarkEnd w:id="162"/>
      <w:bookmarkEnd w:id="163"/>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招标人依据评标委员会推荐的中标候选人确定中标人，评标委员会推荐中标候选人的人数见“投标人须知前附表”。</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64" w:name="_Toc22540"/>
      <w:bookmarkStart w:id="165" w:name="_Toc277453788"/>
      <w:bookmarkStart w:id="166" w:name="_Toc276979437"/>
      <w:bookmarkStart w:id="167" w:name="_Toc431542601"/>
      <w:bookmarkStart w:id="168" w:name="_Toc14853"/>
      <w:bookmarkStart w:id="169" w:name="_Toc275511667"/>
      <w:bookmarkStart w:id="170" w:name="_Toc275512444"/>
      <w:bookmarkStart w:id="171" w:name="_Toc277453870"/>
      <w:r>
        <w:rPr>
          <w:rFonts w:hint="eastAsia" w:ascii="华文仿宋" w:hAnsi="华文仿宋" w:eastAsia="华文仿宋" w:cs="华文仿宋"/>
          <w:color w:val="000000" w:themeColor="text1"/>
          <w:sz w:val="24"/>
          <w:szCs w:val="24"/>
          <w14:textFill>
            <w14:solidFill>
              <w14:schemeClr w14:val="tx1"/>
            </w14:solidFill>
          </w14:textFill>
        </w:rPr>
        <w:t>7.2 中标通知</w:t>
      </w:r>
      <w:bookmarkEnd w:id="164"/>
      <w:bookmarkEnd w:id="165"/>
      <w:bookmarkEnd w:id="166"/>
      <w:bookmarkEnd w:id="167"/>
      <w:bookmarkEnd w:id="168"/>
      <w:bookmarkEnd w:id="169"/>
      <w:bookmarkEnd w:id="170"/>
      <w:bookmarkEnd w:id="171"/>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在本章第3.3 款规定的投标有效期内，招标人以书面形式向中标人发出中标通知书，同时将中标结果通知未中标的投标人。</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72" w:name="_Toc431542603"/>
      <w:bookmarkStart w:id="173" w:name="_Toc16715"/>
      <w:bookmarkStart w:id="174" w:name="_Toc277453872"/>
      <w:bookmarkStart w:id="175" w:name="_Toc277453790"/>
      <w:bookmarkStart w:id="176" w:name="_Toc22360"/>
      <w:bookmarkStart w:id="177" w:name="_Toc275512446"/>
      <w:bookmarkStart w:id="178" w:name="_Toc276979439"/>
      <w:bookmarkStart w:id="179" w:name="_Toc275511669"/>
      <w:r>
        <w:rPr>
          <w:rFonts w:hint="eastAsia" w:ascii="华文仿宋" w:hAnsi="华文仿宋" w:eastAsia="华文仿宋" w:cs="华文仿宋"/>
          <w:color w:val="000000" w:themeColor="text1"/>
          <w:sz w:val="24"/>
          <w:szCs w:val="24"/>
          <w14:textFill>
            <w14:solidFill>
              <w14:schemeClr w14:val="tx1"/>
            </w14:solidFill>
          </w14:textFill>
        </w:rPr>
        <w:t>7.3 签订合同</w:t>
      </w:r>
      <w:bookmarkEnd w:id="172"/>
      <w:bookmarkEnd w:id="173"/>
      <w:bookmarkEnd w:id="174"/>
      <w:bookmarkEnd w:id="175"/>
      <w:bookmarkEnd w:id="176"/>
      <w:bookmarkEnd w:id="177"/>
      <w:bookmarkEnd w:id="178"/>
      <w:bookmarkEnd w:id="179"/>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7.3.1 中标结果公告发布后，按照市、县关于优化营商环境工作要求，招标人需在五个工作日内与中标企业签署合同并进行备案。</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7.3.2中标结果公告发布后，交易中心一日内在线发放中标确认书，代理机构、招标人、中标人网上下载。</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7.3.3 发出中标通知书后，招标人无正当理由拒签合同的，招标人向中标人退还投标保证金；给中标人造成损失的，还应当赔偿损失。</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7.3.4项目招标代理机构接收到中标确认书后，在交易平台系统在线发出中标通知书至招标人，招标人在线审核签章后推送至中标人，中标人网上下载中标通知书。此流程需在二个工作日办结。</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7.3.5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p>
    <w:p>
      <w:pPr>
        <w:pStyle w:val="6"/>
        <w:numPr>
          <w:ilvl w:val="2"/>
          <w:numId w:val="0"/>
        </w:numPr>
        <w:spacing w:before="0" w:after="0" w:line="360" w:lineRule="auto"/>
        <w:jc w:val="left"/>
        <w:rPr>
          <w:rFonts w:ascii="华文仿宋" w:hAnsi="华文仿宋" w:eastAsia="华文仿宋" w:cs="华文仿宋"/>
          <w:color w:val="000000" w:themeColor="text1"/>
          <w:sz w:val="24"/>
          <w:szCs w:val="24"/>
          <w14:textFill>
            <w14:solidFill>
              <w14:schemeClr w14:val="tx1"/>
            </w14:solidFill>
          </w14:textFill>
        </w:rPr>
      </w:pPr>
      <w:bookmarkStart w:id="180" w:name="_Toc275512447"/>
      <w:bookmarkStart w:id="181" w:name="_Toc275511670"/>
      <w:bookmarkStart w:id="182" w:name="_Toc277453873"/>
      <w:bookmarkStart w:id="183" w:name="_Toc276979440"/>
      <w:bookmarkStart w:id="184" w:name="_Toc277453791"/>
      <w:bookmarkStart w:id="185" w:name="_Toc431542604"/>
      <w:bookmarkStart w:id="186" w:name="_Toc30550"/>
      <w:bookmarkStart w:id="187" w:name="_Toc11145"/>
      <w:r>
        <w:rPr>
          <w:rFonts w:hint="eastAsia" w:ascii="华文仿宋" w:hAnsi="华文仿宋" w:eastAsia="华文仿宋" w:cs="华文仿宋"/>
          <w:color w:val="000000" w:themeColor="text1"/>
          <w:sz w:val="24"/>
          <w:szCs w:val="24"/>
          <w14:textFill>
            <w14:solidFill>
              <w14:schemeClr w14:val="tx1"/>
            </w14:solidFill>
          </w14:textFill>
        </w:rPr>
        <w:t>8. 重新招标和不再招标</w:t>
      </w:r>
      <w:bookmarkEnd w:id="180"/>
      <w:bookmarkEnd w:id="181"/>
      <w:bookmarkEnd w:id="182"/>
      <w:bookmarkEnd w:id="183"/>
      <w:bookmarkEnd w:id="184"/>
      <w:bookmarkEnd w:id="185"/>
      <w:bookmarkEnd w:id="186"/>
      <w:bookmarkEnd w:id="187"/>
      <w:bookmarkStart w:id="188" w:name="_Toc277453792"/>
      <w:bookmarkStart w:id="189" w:name="_Toc275511671"/>
      <w:bookmarkStart w:id="190" w:name="_Toc275512448"/>
      <w:bookmarkStart w:id="191" w:name="_Toc276979441"/>
      <w:bookmarkStart w:id="192" w:name="_Toc277453874"/>
    </w:p>
    <w:p>
      <w:pPr>
        <w:pStyle w:val="6"/>
        <w:numPr>
          <w:ilvl w:val="2"/>
          <w:numId w:val="0"/>
        </w:numPr>
        <w:spacing w:before="0" w:after="0" w:line="360" w:lineRule="auto"/>
        <w:ind w:firstLine="482" w:firstLineChars="200"/>
        <w:rPr>
          <w:rFonts w:ascii="华文仿宋" w:hAnsi="华文仿宋" w:eastAsia="华文仿宋" w:cs="华文仿宋"/>
          <w:color w:val="000000" w:themeColor="text1"/>
          <w:sz w:val="24"/>
          <w:szCs w:val="24"/>
          <w14:textFill>
            <w14:solidFill>
              <w14:schemeClr w14:val="tx1"/>
            </w14:solidFill>
          </w14:textFill>
        </w:rPr>
      </w:pPr>
      <w:bookmarkStart w:id="193" w:name="_Toc29865"/>
      <w:bookmarkStart w:id="194" w:name="_Toc431542605"/>
      <w:bookmarkStart w:id="195" w:name="_Toc7437"/>
      <w:r>
        <w:rPr>
          <w:rFonts w:hint="eastAsia" w:ascii="华文仿宋" w:hAnsi="华文仿宋" w:eastAsia="华文仿宋" w:cs="华文仿宋"/>
          <w:color w:val="000000" w:themeColor="text1"/>
          <w:sz w:val="24"/>
          <w:szCs w:val="24"/>
          <w14:textFill>
            <w14:solidFill>
              <w14:schemeClr w14:val="tx1"/>
            </w14:solidFill>
          </w14:textFill>
        </w:rPr>
        <w:t>8.1 重新招标</w:t>
      </w:r>
      <w:bookmarkEnd w:id="188"/>
      <w:bookmarkEnd w:id="189"/>
      <w:bookmarkEnd w:id="190"/>
      <w:bookmarkEnd w:id="191"/>
      <w:bookmarkEnd w:id="192"/>
      <w:bookmarkEnd w:id="193"/>
      <w:bookmarkEnd w:id="194"/>
      <w:bookmarkEnd w:id="195"/>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有下列情形之一的，招标人将重新招标：</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（1）投标截止时间止，投标人少于3个的；</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（2）经评标委员会评审后否决所有投标的。</w:t>
      </w:r>
    </w:p>
    <w:p>
      <w:pPr>
        <w:pStyle w:val="6"/>
        <w:numPr>
          <w:ilvl w:val="2"/>
          <w:numId w:val="0"/>
        </w:numPr>
        <w:spacing w:before="0" w:after="0" w:line="360" w:lineRule="auto"/>
        <w:ind w:firstLine="482" w:firstLineChars="200"/>
        <w:rPr>
          <w:rFonts w:ascii="华文仿宋" w:hAnsi="华文仿宋" w:eastAsia="华文仿宋" w:cs="华文仿宋"/>
          <w:color w:val="000000" w:themeColor="text1"/>
          <w:sz w:val="24"/>
          <w:szCs w:val="24"/>
          <w14:textFill>
            <w14:solidFill>
              <w14:schemeClr w14:val="tx1"/>
            </w14:solidFill>
          </w14:textFill>
        </w:rPr>
      </w:pPr>
      <w:bookmarkStart w:id="196" w:name="_Toc277453875"/>
      <w:bookmarkStart w:id="197" w:name="_Toc276979442"/>
      <w:bookmarkStart w:id="198" w:name="_Toc275511672"/>
      <w:bookmarkStart w:id="199" w:name="_Toc431542606"/>
      <w:bookmarkStart w:id="200" w:name="_Toc277453793"/>
      <w:bookmarkStart w:id="201" w:name="_Toc32761"/>
      <w:bookmarkStart w:id="202" w:name="_Toc26236"/>
      <w:bookmarkStart w:id="203" w:name="_Toc275512449"/>
      <w:r>
        <w:rPr>
          <w:rFonts w:hint="eastAsia" w:ascii="华文仿宋" w:hAnsi="华文仿宋" w:eastAsia="华文仿宋" w:cs="华文仿宋"/>
          <w:color w:val="000000" w:themeColor="text1"/>
          <w:sz w:val="24"/>
          <w:szCs w:val="24"/>
          <w14:textFill>
            <w14:solidFill>
              <w14:schemeClr w14:val="tx1"/>
            </w14:solidFill>
          </w14:textFill>
        </w:rPr>
        <w:t>8.2 不再招标</w:t>
      </w:r>
      <w:bookmarkEnd w:id="196"/>
      <w:bookmarkEnd w:id="197"/>
      <w:bookmarkEnd w:id="198"/>
      <w:bookmarkEnd w:id="199"/>
      <w:bookmarkEnd w:id="200"/>
      <w:bookmarkEnd w:id="201"/>
      <w:bookmarkEnd w:id="202"/>
      <w:bookmarkEnd w:id="203"/>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重新招标后投标人仍少于3个或者所有投标被否决的，属于必须审批或核准的工程建设项目，经原审批或核准部门批准后不再进行招标。</w:t>
      </w:r>
    </w:p>
    <w:p>
      <w:pPr>
        <w:pStyle w:val="6"/>
        <w:numPr>
          <w:ilvl w:val="2"/>
          <w:numId w:val="0"/>
        </w:numPr>
        <w:spacing w:before="0" w:after="0" w:line="360" w:lineRule="auto"/>
        <w:ind w:left="525"/>
        <w:jc w:val="left"/>
        <w:rPr>
          <w:rFonts w:ascii="华文仿宋" w:hAnsi="华文仿宋" w:eastAsia="华文仿宋" w:cs="华文仿宋"/>
          <w:color w:val="000000" w:themeColor="text1"/>
          <w:sz w:val="24"/>
          <w:szCs w:val="24"/>
          <w14:textFill>
            <w14:solidFill>
              <w14:schemeClr w14:val="tx1"/>
            </w14:solidFill>
          </w14:textFill>
        </w:rPr>
      </w:pPr>
      <w:bookmarkStart w:id="204" w:name="_Toc275512450"/>
      <w:bookmarkStart w:id="205" w:name="_Toc277453876"/>
      <w:bookmarkStart w:id="206" w:name="_Toc25643"/>
      <w:bookmarkStart w:id="207" w:name="_Toc275511673"/>
      <w:bookmarkStart w:id="208" w:name="_Toc276979443"/>
      <w:bookmarkStart w:id="209" w:name="_Toc431542607"/>
      <w:bookmarkStart w:id="210" w:name="_Toc277453794"/>
      <w:bookmarkStart w:id="211" w:name="_Toc17056"/>
      <w:r>
        <w:rPr>
          <w:rFonts w:hint="eastAsia" w:ascii="华文仿宋" w:hAnsi="华文仿宋" w:eastAsia="华文仿宋" w:cs="华文仿宋"/>
          <w:color w:val="000000" w:themeColor="text1"/>
          <w:sz w:val="24"/>
          <w:szCs w:val="24"/>
          <w14:textFill>
            <w14:solidFill>
              <w14:schemeClr w14:val="tx1"/>
            </w14:solidFill>
          </w14:textFill>
        </w:rPr>
        <w:t>9. 纪律和监督</w:t>
      </w:r>
      <w:bookmarkEnd w:id="204"/>
      <w:bookmarkEnd w:id="205"/>
      <w:bookmarkEnd w:id="206"/>
      <w:bookmarkEnd w:id="207"/>
      <w:bookmarkEnd w:id="208"/>
      <w:bookmarkEnd w:id="209"/>
      <w:bookmarkEnd w:id="210"/>
      <w:bookmarkEnd w:id="211"/>
      <w:bookmarkStart w:id="212" w:name="_Toc276979444"/>
      <w:bookmarkStart w:id="213" w:name="_Toc275511674"/>
      <w:bookmarkStart w:id="214" w:name="_Toc275512451"/>
      <w:bookmarkStart w:id="215" w:name="_Toc277453795"/>
      <w:bookmarkStart w:id="216" w:name="_Toc277453877"/>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17" w:name="_Toc348"/>
      <w:bookmarkStart w:id="218" w:name="_Toc431542608"/>
      <w:bookmarkStart w:id="219" w:name="_Toc16794"/>
      <w:r>
        <w:rPr>
          <w:rFonts w:hint="eastAsia" w:ascii="华文仿宋" w:hAnsi="华文仿宋" w:eastAsia="华文仿宋" w:cs="华文仿宋"/>
          <w:color w:val="000000" w:themeColor="text1"/>
          <w:sz w:val="24"/>
          <w:szCs w:val="24"/>
          <w14:textFill>
            <w14:solidFill>
              <w14:schemeClr w14:val="tx1"/>
            </w14:solidFill>
          </w14:textFill>
        </w:rPr>
        <w:t>9.1 对招标人的纪律要求</w:t>
      </w:r>
      <w:bookmarkEnd w:id="212"/>
      <w:bookmarkEnd w:id="213"/>
      <w:bookmarkEnd w:id="214"/>
      <w:bookmarkEnd w:id="215"/>
      <w:bookmarkEnd w:id="216"/>
      <w:bookmarkEnd w:id="217"/>
      <w:bookmarkEnd w:id="218"/>
      <w:bookmarkEnd w:id="219"/>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招标人不得泄漏招标投标活动中应当保密的情况和资料，不得与投标人串通损害国家利益、社会公共利益或者他人合法权益。</w:t>
      </w:r>
    </w:p>
    <w:p>
      <w:pPr>
        <w:pStyle w:val="6"/>
        <w:numPr>
          <w:ilvl w:val="2"/>
          <w:numId w:val="0"/>
        </w:numPr>
        <w:spacing w:before="0" w:after="0" w:line="360" w:lineRule="auto"/>
        <w:ind w:firstLine="482" w:firstLineChars="200"/>
        <w:rPr>
          <w:rFonts w:ascii="华文仿宋" w:hAnsi="华文仿宋" w:eastAsia="华文仿宋" w:cs="华文仿宋"/>
          <w:color w:val="000000" w:themeColor="text1"/>
          <w:sz w:val="24"/>
          <w:szCs w:val="24"/>
          <w14:textFill>
            <w14:solidFill>
              <w14:schemeClr w14:val="tx1"/>
            </w14:solidFill>
          </w14:textFill>
        </w:rPr>
      </w:pPr>
      <w:bookmarkStart w:id="220" w:name="_Toc14973"/>
      <w:bookmarkStart w:id="221" w:name="_Toc277453878"/>
      <w:bookmarkStart w:id="222" w:name="_Toc275512452"/>
      <w:bookmarkStart w:id="223" w:name="_Toc431542609"/>
      <w:bookmarkStart w:id="224" w:name="_Toc276979445"/>
      <w:bookmarkStart w:id="225" w:name="_Toc277453796"/>
      <w:bookmarkStart w:id="226" w:name="_Toc275511675"/>
      <w:bookmarkStart w:id="227" w:name="_Toc20940"/>
      <w:r>
        <w:rPr>
          <w:rFonts w:hint="eastAsia" w:ascii="华文仿宋" w:hAnsi="华文仿宋" w:eastAsia="华文仿宋" w:cs="华文仿宋"/>
          <w:color w:val="000000" w:themeColor="text1"/>
          <w:sz w:val="24"/>
          <w:szCs w:val="24"/>
          <w14:textFill>
            <w14:solidFill>
              <w14:schemeClr w14:val="tx1"/>
            </w14:solidFill>
          </w14:textFill>
        </w:rPr>
        <w:t>9.2 对投标人的纪律要求</w:t>
      </w:r>
      <w:bookmarkEnd w:id="220"/>
      <w:bookmarkEnd w:id="221"/>
      <w:bookmarkEnd w:id="222"/>
      <w:bookmarkEnd w:id="223"/>
      <w:bookmarkEnd w:id="224"/>
      <w:bookmarkEnd w:id="225"/>
      <w:bookmarkEnd w:id="226"/>
      <w:bookmarkEnd w:id="227"/>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28" w:name="_Toc277453879"/>
      <w:bookmarkStart w:id="229" w:name="_Toc275512453"/>
      <w:bookmarkStart w:id="230" w:name="_Toc431542610"/>
      <w:bookmarkStart w:id="231" w:name="_Toc275511676"/>
      <w:bookmarkStart w:id="232" w:name="_Toc276979446"/>
      <w:bookmarkStart w:id="233" w:name="_Toc8873"/>
      <w:bookmarkStart w:id="234" w:name="_Toc5124"/>
      <w:bookmarkStart w:id="235" w:name="_Toc277453797"/>
      <w:r>
        <w:rPr>
          <w:rFonts w:hint="eastAsia" w:ascii="华文仿宋" w:hAnsi="华文仿宋" w:eastAsia="华文仿宋" w:cs="华文仿宋"/>
          <w:color w:val="000000" w:themeColor="text1"/>
          <w:sz w:val="24"/>
          <w:szCs w:val="24"/>
          <w14:textFill>
            <w14:solidFill>
              <w14:schemeClr w14:val="tx1"/>
            </w14:solidFill>
          </w14:textFill>
        </w:rPr>
        <w:t>9.3 对评标委员会成员的纪律要求</w:t>
      </w:r>
      <w:bookmarkEnd w:id="228"/>
      <w:bookmarkEnd w:id="229"/>
      <w:bookmarkEnd w:id="230"/>
      <w:bookmarkEnd w:id="231"/>
      <w:bookmarkEnd w:id="232"/>
      <w:bookmarkEnd w:id="233"/>
      <w:bookmarkEnd w:id="234"/>
      <w:bookmarkEnd w:id="235"/>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36" w:name="_Toc7786"/>
      <w:bookmarkStart w:id="237" w:name="_Toc275512454"/>
      <w:bookmarkStart w:id="238" w:name="_Toc26210"/>
      <w:bookmarkStart w:id="239" w:name="_Toc277453798"/>
      <w:bookmarkStart w:id="240" w:name="_Toc276979447"/>
      <w:bookmarkStart w:id="241" w:name="_Toc277453880"/>
      <w:bookmarkStart w:id="242" w:name="_Toc431542611"/>
      <w:bookmarkStart w:id="243" w:name="_Toc275511677"/>
      <w:r>
        <w:rPr>
          <w:rFonts w:hint="eastAsia" w:ascii="华文仿宋" w:hAnsi="华文仿宋" w:eastAsia="华文仿宋" w:cs="华文仿宋"/>
          <w:color w:val="000000" w:themeColor="text1"/>
          <w:sz w:val="24"/>
          <w:szCs w:val="24"/>
          <w14:textFill>
            <w14:solidFill>
              <w14:schemeClr w14:val="tx1"/>
            </w14:solidFill>
          </w14:textFill>
        </w:rPr>
        <w:t>9.4 对与评标活动有关的工作人员的纪律要求</w:t>
      </w:r>
      <w:bookmarkEnd w:id="236"/>
      <w:bookmarkEnd w:id="237"/>
      <w:bookmarkEnd w:id="238"/>
      <w:bookmarkEnd w:id="239"/>
      <w:bookmarkEnd w:id="240"/>
      <w:bookmarkEnd w:id="241"/>
      <w:bookmarkEnd w:id="242"/>
      <w:bookmarkEnd w:id="243"/>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44" w:name="_Toc397"/>
      <w:bookmarkStart w:id="245" w:name="_Toc277453881"/>
      <w:bookmarkStart w:id="246" w:name="_Toc276979448"/>
      <w:bookmarkStart w:id="247" w:name="_Toc275511678"/>
      <w:bookmarkStart w:id="248" w:name="_Toc4067"/>
      <w:bookmarkStart w:id="249" w:name="_Toc275512455"/>
      <w:bookmarkStart w:id="250" w:name="_Toc277453799"/>
      <w:bookmarkStart w:id="251" w:name="_Toc431542612"/>
      <w:r>
        <w:rPr>
          <w:rFonts w:hint="eastAsia" w:ascii="华文仿宋" w:hAnsi="华文仿宋" w:eastAsia="华文仿宋" w:cs="华文仿宋"/>
          <w:color w:val="000000" w:themeColor="text1"/>
          <w:sz w:val="24"/>
          <w:szCs w:val="24"/>
          <w14:textFill>
            <w14:solidFill>
              <w14:schemeClr w14:val="tx1"/>
            </w14:solidFill>
          </w14:textFill>
        </w:rPr>
        <w:t>9.5 投诉</w:t>
      </w:r>
      <w:bookmarkEnd w:id="244"/>
      <w:bookmarkEnd w:id="245"/>
      <w:bookmarkEnd w:id="246"/>
      <w:bookmarkEnd w:id="247"/>
      <w:bookmarkEnd w:id="248"/>
      <w:bookmarkEnd w:id="249"/>
      <w:bookmarkEnd w:id="250"/>
      <w:bookmarkEnd w:id="251"/>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投标人和其他利害关系人认为本次招标活动违反法律、法规和规章规定的，有权向有关行政监督部门投诉。                                                                                                                                                                                                                                                                                                                                                                                                                                                                                                                         </w:t>
      </w:r>
      <w:r>
        <w:rPr>
          <w:rFonts w:hint="eastAsia"/>
          <w:b/>
          <w:bCs/>
          <w:color w:val="000000" w:themeColor="text1"/>
          <w:sz w:val="24"/>
          <w14:textFill>
            <w14:solidFill>
              <w14:schemeClr w14:val="tx1"/>
            </w14:solidFill>
          </w14:textFill>
        </w:rPr>
        <w:t>10. 需要补充的其他内容</w:t>
      </w:r>
    </w:p>
    <w:p>
      <w:pPr>
        <w:pStyle w:val="43"/>
        <w:outlineLvl w:val="0"/>
        <w:rPr>
          <w:color w:val="000000" w:themeColor="text1"/>
          <w:szCs w:val="24"/>
          <w14:textFill>
            <w14:solidFill>
              <w14:schemeClr w14:val="tx1"/>
            </w14:solidFill>
          </w14:textFill>
        </w:rPr>
      </w:pPr>
      <w:bookmarkStart w:id="252" w:name="_Toc11906"/>
      <w:r>
        <w:rPr>
          <w:rFonts w:hint="eastAsia"/>
          <w:color w:val="000000" w:themeColor="text1"/>
          <w:szCs w:val="24"/>
          <w14:textFill>
            <w14:solidFill>
              <w14:schemeClr w14:val="tx1"/>
            </w14:solidFill>
          </w14:textFill>
        </w:rPr>
        <w:t>10.1设计方案成果的使用</w:t>
      </w:r>
      <w:bookmarkEnd w:id="252"/>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10.1.1设计方案的成果使用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（1）方案中标的投标人，按照专家和招标人要求对方案进行补充、修改、完善。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（2）招标人与中标人签署设计合同后，招标人在该建设项目中拥有中标方案的使用权。中标人应保护招标人使用其设计方案不能受到来自第三方的侵权诉讼或索赔，否则中标人应承担由此而产生的一切责任。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10.1.2.设计单位应对其提供的方案设计的安全性、可行性、经济性、合理性、真实性及合同履行承担相应的法律责任。</w:t>
      </w:r>
    </w:p>
    <w:p>
      <w:pPr>
        <w:pStyle w:val="43"/>
        <w:outlineLvl w:val="0"/>
        <w:rPr>
          <w:color w:val="000000" w:themeColor="text1"/>
          <w:szCs w:val="24"/>
          <w14:textFill>
            <w14:solidFill>
              <w14:schemeClr w14:val="tx1"/>
            </w14:solidFill>
          </w14:textFill>
        </w:rPr>
      </w:pPr>
      <w:bookmarkStart w:id="253" w:name="_Toc19058"/>
      <w:r>
        <w:rPr>
          <w:rFonts w:hint="eastAsia"/>
          <w:color w:val="000000" w:themeColor="text1"/>
          <w:szCs w:val="24"/>
          <w14:textFill>
            <w14:solidFill>
              <w14:schemeClr w14:val="tx1"/>
            </w14:solidFill>
          </w14:textFill>
        </w:rPr>
        <w:t>10.2知识产权</w:t>
      </w:r>
      <w:bookmarkEnd w:id="253"/>
    </w:p>
    <w:p>
      <w:pPr>
        <w:pStyle w:val="43"/>
        <w:outlineLvl w:val="0"/>
        <w:rPr>
          <w:color w:val="000000" w:themeColor="text1"/>
          <w:szCs w:val="24"/>
          <w14:textFill>
            <w14:solidFill>
              <w14:schemeClr w14:val="tx1"/>
            </w14:solidFill>
          </w14:textFill>
        </w:rPr>
      </w:pPr>
      <w:bookmarkStart w:id="254" w:name="_Toc29608"/>
      <w:r>
        <w:rPr>
          <w:rFonts w:hint="eastAsia"/>
          <w:color w:val="000000" w:themeColor="text1"/>
          <w:szCs w:val="24"/>
          <w14:textFill>
            <w14:solidFill>
              <w14:schemeClr w14:val="tx1"/>
            </w14:solidFill>
          </w14:textFill>
        </w:rPr>
        <w:t>10.2.1公开展示</w:t>
      </w:r>
      <w:bookmarkEnd w:id="25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10.2.1.1中标投标方案和评审结果可在监督部门、招标管理机构或交易服务机构指定媒体或刊物上免费公开展示。</w:t>
      </w:r>
    </w:p>
    <w:p>
      <w:pPr>
        <w:pStyle w:val="43"/>
        <w:outlineLvl w:val="0"/>
        <w:rPr>
          <w:color w:val="000000" w:themeColor="text1"/>
          <w:szCs w:val="24"/>
          <w14:textFill>
            <w14:solidFill>
              <w14:schemeClr w14:val="tx1"/>
            </w14:solidFill>
          </w14:textFill>
        </w:rPr>
      </w:pPr>
      <w:bookmarkStart w:id="255" w:name="_Toc5032"/>
      <w:r>
        <w:rPr>
          <w:rFonts w:hint="eastAsia"/>
          <w:color w:val="000000" w:themeColor="text1"/>
          <w:szCs w:val="24"/>
          <w14:textFill>
            <w14:solidFill>
              <w14:schemeClr w14:val="tx1"/>
            </w14:solidFill>
          </w14:textFill>
        </w:rPr>
        <w:t>10.2.2知识产权转移</w:t>
      </w:r>
      <w:bookmarkEnd w:id="25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10.2.2.1授予合同并支付定金后，中标方案的著作权、版权、专利权和使用权归招标人所有（署名权除外）。</w:t>
      </w:r>
    </w:p>
    <w:p>
      <w:pPr>
        <w:pStyle w:val="43"/>
        <w:outlineLvl w:val="0"/>
        <w:rPr>
          <w:color w:val="000000" w:themeColor="text1"/>
          <w:szCs w:val="24"/>
          <w14:textFill>
            <w14:solidFill>
              <w14:schemeClr w14:val="tx1"/>
            </w14:solidFill>
          </w14:textFill>
        </w:rPr>
      </w:pPr>
      <w:bookmarkStart w:id="256" w:name="_Toc26803"/>
      <w:r>
        <w:rPr>
          <w:rFonts w:hint="eastAsia"/>
          <w:color w:val="000000" w:themeColor="text1"/>
          <w:szCs w:val="24"/>
          <w14:textFill>
            <w14:solidFill>
              <w14:schemeClr w14:val="tx1"/>
            </w14:solidFill>
          </w14:textFill>
        </w:rPr>
        <w:t>10.2.3其他</w:t>
      </w:r>
      <w:bookmarkEnd w:id="25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10.2.3.1除特殊情况外，招标人有权在工程建设中根据需要对选定的实施方案进行任意的调整和修改。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10.2.3.2投标人保证投标文件及资料均未侵犯他人的知识产权，否则必须承担全部责任。若投标人使用了他人的专利、专有技术，涉及的费用由投标人负责。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10.2.3.3中标人未经招标人许可，不得将中标方案成果用于其他任何项目的投标和设计，不得擅自在国内外刊物、学术或技术交流会上发表该方案成果。</w:t>
      </w:r>
    </w:p>
    <w:p>
      <w:pPr>
        <w:pStyle w:val="43"/>
        <w:outlineLvl w:val="0"/>
        <w:rPr>
          <w:color w:val="000000" w:themeColor="text1"/>
          <w:szCs w:val="24"/>
          <w14:textFill>
            <w14:solidFill>
              <w14:schemeClr w14:val="tx1"/>
            </w14:solidFill>
          </w14:textFill>
        </w:rPr>
      </w:pPr>
      <w:bookmarkStart w:id="257" w:name="_Toc29341"/>
      <w:r>
        <w:rPr>
          <w:rFonts w:hint="eastAsia"/>
          <w:color w:val="000000" w:themeColor="text1"/>
          <w:szCs w:val="24"/>
          <w14:textFill>
            <w14:solidFill>
              <w14:schemeClr w14:val="tx1"/>
            </w14:solidFill>
          </w14:textFill>
        </w:rPr>
        <w:t>10.3免责条款</w:t>
      </w:r>
      <w:bookmarkEnd w:id="257"/>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10.3.1招标文件的解释权归招标人所有，招标人有权在法律允许范围内调整本次招标活动的细节及保留最终解释权。</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10.3.2招标人不受将合同授予任何投标人的约束，招标人有权接受任何一份投标文件的全部或部分内容。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10.3.3招标人向投标人提供的资料和数据，是招标人现有的能使投标人利用的资料，招标人对投标人由此而作出的推论、理解和结论概不负责。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10.3.4投标人应承担其现场考察、编制和提交投标文件有关的一切费用、损害和人身伤亡事故责任，不管投标结果如何，招标人对上述费用不负任何责任。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10.3.5招标人对投标人的失误不负任何责任，投标人应指定一名投标事务负责人，专门负责跟踪、接收、阅读和理解招标文件及随后收到的有关资料，向招标人发出质疑，检查投标文件，协助有关人员尽力克服各种投标失误。</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10.3.6如果投标人实质上不符合投标资格，即使已购买招标文件、参加投标并缴纳各种费用，招标人可以随时取消其投标或中标资格，招标人对该投标人的一切损失不负任何责任。</w:t>
      </w:r>
    </w:p>
    <w:p>
      <w:pPr>
        <w:pStyle w:val="43"/>
        <w:outlineLvl w:val="0"/>
        <w:rPr>
          <w:color w:val="000000" w:themeColor="text1"/>
          <w:szCs w:val="24"/>
          <w14:textFill>
            <w14:solidFill>
              <w14:schemeClr w14:val="tx1"/>
            </w14:solidFill>
          </w14:textFill>
        </w:rPr>
      </w:pPr>
      <w:bookmarkStart w:id="258" w:name="_Toc303"/>
      <w:r>
        <w:rPr>
          <w:rFonts w:hint="eastAsia"/>
          <w:color w:val="000000" w:themeColor="text1"/>
          <w:szCs w:val="24"/>
          <w14:textFill>
            <w14:solidFill>
              <w14:schemeClr w14:val="tx1"/>
            </w14:solidFill>
          </w14:textFill>
        </w:rPr>
        <w:t>10.4其   他</w:t>
      </w:r>
      <w:bookmarkEnd w:id="25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10.4.1招标文件的确认</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只要投标人参与投标并递交投标文件即视为已经理解并毫无保留地同意了本招标文件的所有条文。招标文件、投标文件以及投标人所做出的承诺等都将成为签订合同的依据。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10.4.2投标文件的退回</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所有投标文件均不予退回。招标人有权对中标方案使用、展览、印刷和出版等。</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10.4.3法律适用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本次招标和投标活动适用中华人民共和国建筑法、合同法和招标投标法等法律法规。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10.4.4管辖</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因设计方案合同或进一步合作合同的效力、成立或与合同履行有关的一切争议，由招标人所在地仲裁委员会根据该会的仲裁规则裁决。</w:t>
      </w:r>
      <w:bookmarkEnd w:id="7"/>
      <w:bookmarkEnd w:id="8"/>
      <w:bookmarkEnd w:id="9"/>
      <w:bookmarkEnd w:id="10"/>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sectPr>
          <w:footerReference r:id="rId4" w:type="default"/>
          <w:pgSz w:w="11906" w:h="16838"/>
          <w:pgMar w:top="1440" w:right="1418" w:bottom="1440" w:left="1418" w:header="851" w:footer="887" w:gutter="0"/>
          <w:pgNumType w:fmt="decimal" w:start="1"/>
          <w:cols w:space="720" w:num="1"/>
          <w:docGrid w:type="lines" w:linePitch="312" w:charSpace="0"/>
        </w:sectPr>
      </w:pPr>
    </w:p>
    <w:p>
      <w:pPr>
        <w:pStyle w:val="4"/>
        <w:numPr>
          <w:ilvl w:val="0"/>
          <w:numId w:val="0"/>
        </w:numPr>
        <w:spacing w:before="120" w:after="120" w:line="400" w:lineRule="exact"/>
        <w:ind w:firstLine="2168" w:firstLineChars="600"/>
        <w:rPr>
          <w:rFonts w:ascii="宋体" w:hAnsi="宋体" w:cs="宋体"/>
          <w:color w:val="000000" w:themeColor="text1"/>
          <w:sz w:val="36"/>
          <w:szCs w:val="48"/>
          <w14:textFill>
            <w14:solidFill>
              <w14:schemeClr w14:val="tx1"/>
            </w14:solidFill>
          </w14:textFill>
        </w:rPr>
      </w:pPr>
      <w:bookmarkStart w:id="259" w:name="_Toc14909"/>
      <w:bookmarkStart w:id="260" w:name="_Toc152045598"/>
      <w:bookmarkStart w:id="261" w:name="_Toc144974565"/>
      <w:bookmarkStart w:id="262" w:name="_Toc152042375"/>
      <w:bookmarkStart w:id="263" w:name="_Toc15187"/>
      <w:r>
        <w:rPr>
          <w:rFonts w:hint="eastAsia" w:ascii="宋体" w:hAnsi="宋体" w:cs="宋体"/>
          <w:color w:val="000000" w:themeColor="text1"/>
          <w:sz w:val="36"/>
          <w:szCs w:val="48"/>
          <w14:textFill>
            <w14:solidFill>
              <w14:schemeClr w14:val="tx1"/>
            </w14:solidFill>
          </w14:textFill>
        </w:rPr>
        <w:t>第三章 评标办法（综合评估法）</w:t>
      </w:r>
      <w:bookmarkEnd w:id="259"/>
      <w:bookmarkEnd w:id="260"/>
      <w:bookmarkEnd w:id="261"/>
      <w:bookmarkEnd w:id="262"/>
      <w:bookmarkEnd w:id="263"/>
    </w:p>
    <w:p>
      <w:pPr>
        <w:pStyle w:val="41"/>
        <w:spacing w:line="360" w:lineRule="auto"/>
        <w:jc w:val="center"/>
        <w:rPr>
          <w:rFonts w:ascii="宋体" w:hAnsi="宋体" w:eastAsia="宋体"/>
          <w:b/>
          <w:bCs/>
          <w:color w:val="000000" w:themeColor="text1"/>
          <w:sz w:val="32"/>
          <w:szCs w:val="21"/>
          <w14:textFill>
            <w14:solidFill>
              <w14:schemeClr w14:val="tx1"/>
            </w14:solidFill>
          </w14:textFill>
        </w:rPr>
      </w:pPr>
      <w:bookmarkStart w:id="264" w:name="_Toc4943"/>
      <w:bookmarkStart w:id="265" w:name="_Toc144974566"/>
      <w:bookmarkStart w:id="266" w:name="_Toc152045599"/>
      <w:bookmarkStart w:id="267" w:name="_Toc25527"/>
      <w:bookmarkStart w:id="268" w:name="_Toc152042376"/>
      <w:r>
        <w:rPr>
          <w:rFonts w:hint="eastAsia" w:ascii="宋体" w:hAnsi="宋体" w:eastAsia="宋体"/>
          <w:b/>
          <w:bCs/>
          <w:color w:val="000000" w:themeColor="text1"/>
          <w:sz w:val="32"/>
          <w:szCs w:val="21"/>
          <w14:textFill>
            <w14:solidFill>
              <w14:schemeClr w14:val="tx1"/>
            </w14:solidFill>
          </w14:textFill>
        </w:rPr>
        <w:t>评标办法前附表</w:t>
      </w:r>
      <w:bookmarkEnd w:id="264"/>
      <w:bookmarkEnd w:id="265"/>
      <w:bookmarkEnd w:id="266"/>
      <w:bookmarkEnd w:id="267"/>
      <w:bookmarkEnd w:id="268"/>
    </w:p>
    <w:tbl>
      <w:tblPr>
        <w:tblStyle w:val="21"/>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858"/>
        <w:gridCol w:w="1977"/>
        <w:gridCol w:w="2005"/>
        <w:gridCol w:w="37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2835" w:type="dxa"/>
            <w:gridSpan w:val="2"/>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评审因素</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75" w:type="dxa"/>
            <w:vMerge w:val="restart"/>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58"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1977"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形式评审标准</w:t>
            </w: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58"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977"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投标函签字盖章</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58"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977"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报价唯一</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75"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858"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p>
        </w:tc>
        <w:tc>
          <w:tcPr>
            <w:tcW w:w="1977"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资格评审标准</w:t>
            </w:r>
          </w:p>
        </w:tc>
        <w:tc>
          <w:tcPr>
            <w:tcW w:w="2005"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营业执照</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58"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977"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项目负责人</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75"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58"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977"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其他要求</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858"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w:t>
            </w:r>
          </w:p>
        </w:tc>
        <w:tc>
          <w:tcPr>
            <w:tcW w:w="197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响应性评审标准</w:t>
            </w: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投标范围</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58"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97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0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服务周期</w:t>
            </w:r>
          </w:p>
        </w:tc>
        <w:tc>
          <w:tcPr>
            <w:tcW w:w="372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58"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97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05" w:type="dxa"/>
            <w:tcBorders>
              <w:top w:val="single" w:color="auto" w:sz="4" w:space="0"/>
              <w:left w:val="single" w:color="auto" w:sz="4" w:space="0"/>
              <w:right w:val="single" w:color="auto" w:sz="4" w:space="0"/>
            </w:tcBorders>
            <w:vAlign w:val="center"/>
          </w:tcPr>
          <w:p>
            <w:pPr>
              <w:adjustRightInd w:val="0"/>
              <w:spacing w:line="440" w:lineRule="exact"/>
              <w:ind w:firstLine="240" w:firstLineChars="100"/>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w:t>
            </w:r>
          </w:p>
        </w:tc>
        <w:tc>
          <w:tcPr>
            <w:tcW w:w="3728" w:type="dxa"/>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58"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97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投标文件格式</w:t>
            </w:r>
          </w:p>
        </w:tc>
        <w:tc>
          <w:tcPr>
            <w:tcW w:w="37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bl>
    <w:p>
      <w:pPr>
        <w:widowControl/>
        <w:jc w:val="left"/>
        <w:rPr>
          <w:rFonts w:ascii="宋体" w:hAnsi="宋体" w:cs="宋体"/>
          <w:b/>
          <w:color w:val="000000" w:themeColor="text1"/>
          <w:kern w:val="0"/>
          <w:sz w:val="24"/>
          <w:lang w:bidi="ar"/>
          <w14:textFill>
            <w14:solidFill>
              <w14:schemeClr w14:val="tx1"/>
            </w14:solidFill>
          </w14:textFill>
        </w:rPr>
      </w:pPr>
      <w:bookmarkStart w:id="269" w:name="_Toc402034498"/>
      <w:bookmarkStart w:id="270" w:name="_Toc152042377"/>
      <w:bookmarkStart w:id="271" w:name="_Toc144974567"/>
      <w:bookmarkStart w:id="272" w:name="_Toc152045600"/>
      <w:r>
        <w:rPr>
          <w:rFonts w:hint="eastAsia" w:ascii="宋体" w:hAnsi="宋体" w:cs="宋体"/>
          <w:b/>
          <w:color w:val="000000" w:themeColor="text1"/>
          <w:kern w:val="0"/>
          <w:sz w:val="24"/>
          <w:lang w:bidi="ar"/>
          <w14:textFill>
            <w14:solidFill>
              <w14:schemeClr w14:val="tx1"/>
            </w14:solidFill>
          </w14:textFill>
        </w:rPr>
        <w:t>以上所需证件审查由评标专家依据投标企业在南阳市公共资源交易中心网站诚</w:t>
      </w:r>
      <w:r>
        <w:rPr>
          <w:rFonts w:ascii="宋体" w:hAnsi="宋体" w:cs="宋体"/>
          <w:b/>
          <w:color w:val="000000" w:themeColor="text1"/>
          <w:kern w:val="0"/>
          <w:sz w:val="24"/>
          <w:lang w:bidi="ar"/>
          <w14:textFill>
            <w14:solidFill>
              <w14:schemeClr w14:val="tx1"/>
            </w14:solidFill>
          </w14:textFill>
        </w:rPr>
        <w:t xml:space="preserve"> </w:t>
      </w:r>
    </w:p>
    <w:p>
      <w:pPr>
        <w:shd w:val="clear" w:color="auto" w:fill="FFFFFF"/>
        <w:autoSpaceDE w:val="0"/>
        <w:spacing w:line="360" w:lineRule="auto"/>
        <w:rPr>
          <w:rFonts w:ascii="宋体" w:hAnsi="宋体" w:cs="宋体"/>
          <w:b/>
          <w:color w:val="000000" w:themeColor="text1"/>
          <w:kern w:val="0"/>
          <w:sz w:val="24"/>
          <w:lang w:bidi="ar"/>
          <w14:textFill>
            <w14:solidFill>
              <w14:schemeClr w14:val="tx1"/>
            </w14:solidFill>
          </w14:textFill>
        </w:rPr>
      </w:pPr>
      <w:r>
        <w:rPr>
          <w:rFonts w:hint="eastAsia" w:ascii="宋体" w:hAnsi="宋体" w:cs="宋体"/>
          <w:b/>
          <w:color w:val="000000" w:themeColor="text1"/>
          <w:kern w:val="0"/>
          <w:sz w:val="24"/>
          <w:lang w:bidi="ar"/>
          <w14:textFill>
            <w14:solidFill>
              <w14:schemeClr w14:val="tx1"/>
            </w14:solidFill>
          </w14:textFill>
        </w:rPr>
        <w:t>信库填报的信息资料扫描件为准。（所有资质、证书、业绩、荣誉等原件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widowControl/>
        <w:jc w:val="left"/>
        <w:rPr>
          <w:rFonts w:ascii="宋体" w:hAnsi="宋体" w:cs="宋体"/>
          <w:color w:val="000000" w:themeColor="text1"/>
          <w14:textFill>
            <w14:solidFill>
              <w14:schemeClr w14:val="tx1"/>
            </w14:solidFill>
          </w14:textFill>
        </w:rPr>
      </w:pPr>
    </w:p>
    <w:p>
      <w:pPr>
        <w:pStyle w:val="5"/>
        <w:rPr>
          <w:rFonts w:ascii="宋体" w:hAnsi="宋体" w:eastAsia="宋体" w:cs="宋体"/>
          <w:color w:val="000000" w:themeColor="text1"/>
          <w14:textFill>
            <w14:solidFill>
              <w14:schemeClr w14:val="tx1"/>
            </w14:solidFill>
          </w14:textFill>
        </w:rPr>
      </w:pPr>
      <w:bookmarkStart w:id="273" w:name="_Toc16909"/>
    </w:p>
    <w:bookmarkEnd w:id="269"/>
    <w:bookmarkEnd w:id="270"/>
    <w:bookmarkEnd w:id="271"/>
    <w:bookmarkEnd w:id="272"/>
    <w:bookmarkEnd w:id="273"/>
    <w:p>
      <w:pPr>
        <w:rPr>
          <w:rFonts w:ascii="宋体" w:hAnsi="宋体" w:cs="宋体"/>
          <w:color w:val="000000" w:themeColor="text1"/>
          <w14:textFill>
            <w14:solidFill>
              <w14:schemeClr w14:val="tx1"/>
            </w14:solidFill>
          </w14:textFill>
        </w:rPr>
      </w:pPr>
      <w:bookmarkStart w:id="274" w:name="_Toc5761"/>
      <w:bookmarkStart w:id="275" w:name="_Toc256145677"/>
      <w:bookmarkStart w:id="276" w:name="_Toc248985520"/>
      <w:r>
        <w:rPr>
          <w:rFonts w:hint="eastAsia" w:ascii="宋体" w:hAnsi="宋体" w:cs="宋体"/>
          <w:color w:val="000000" w:themeColor="text1"/>
          <w14:textFill>
            <w14:solidFill>
              <w14:schemeClr w14:val="tx1"/>
            </w14:solidFill>
          </w14:textFill>
        </w:rPr>
        <w:br w:type="page"/>
      </w:r>
    </w:p>
    <w:p>
      <w:pPr>
        <w:rPr>
          <w:rFonts w:asciiTheme="minorEastAsia" w:hAnsiTheme="minorEastAsia" w:eastAsiaTheme="minorEastAsia"/>
          <w:color w:val="000000" w:themeColor="text1"/>
          <w:sz w:val="28"/>
          <w14:textFill>
            <w14:solidFill>
              <w14:schemeClr w14:val="tx1"/>
            </w14:solidFill>
          </w14:textFill>
        </w:rPr>
      </w:pPr>
      <w:r>
        <w:rPr>
          <w:rFonts w:hint="eastAsia" w:asciiTheme="minorEastAsia" w:hAnsiTheme="minorEastAsia" w:eastAsiaTheme="minorEastAsia"/>
          <w:color w:val="000000" w:themeColor="text1"/>
          <w:sz w:val="28"/>
          <w14:textFill>
            <w14:solidFill>
              <w14:schemeClr w14:val="tx1"/>
            </w14:solidFill>
          </w14:textFill>
        </w:rPr>
        <w:t>评分标准</w:t>
      </w:r>
    </w:p>
    <w:p>
      <w:pPr>
        <w:spacing w:line="40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采用综合评分法：</w:t>
      </w:r>
      <w:r>
        <w:rPr>
          <w:rFonts w:hint="eastAsia" w:ascii="宋体" w:hAnsi="宋体" w:cs="宋体"/>
          <w:color w:val="000000" w:themeColor="text1"/>
          <w:sz w:val="24"/>
          <w14:textFill>
            <w14:solidFill>
              <w14:schemeClr w14:val="tx1"/>
            </w14:solidFill>
          </w14:textFill>
        </w:rPr>
        <w:t>不满足招标文件形式、资格评审的视为无效投标，符合条件的投标人按照文件中规定的各项因素进行综合评审后，以评审总得分最高的投标人作为中标候选人。满分100分，具体评审因素和分值如下：</w:t>
      </w:r>
    </w:p>
    <w:p>
      <w:pPr>
        <w:rPr>
          <w:color w:val="000000" w:themeColor="text1"/>
          <w14:textFill>
            <w14:solidFill>
              <w14:schemeClr w14:val="tx1"/>
            </w14:solidFill>
          </w14:textFill>
        </w:rPr>
      </w:pPr>
    </w:p>
    <w:tbl>
      <w:tblPr>
        <w:tblStyle w:val="21"/>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287"/>
        <w:gridCol w:w="1775"/>
        <w:gridCol w:w="53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1287"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851"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分值组成</w:t>
            </w:r>
          </w:p>
          <w:p>
            <w:pPr>
              <w:pStyle w:val="19"/>
              <w:ind w:left="0" w:leftChars="0" w:firstLine="0" w:firstLineChars="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（总分100分）</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投标报价：</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0分</w:t>
            </w:r>
          </w:p>
          <w:p>
            <w:pPr>
              <w:adjustRightInd w:val="0"/>
              <w:spacing w:line="440" w:lineRule="exact"/>
              <w:ind w:firstLine="960" w:firstLineChars="400"/>
              <w:jc w:val="left"/>
              <w:textAlignment w:val="baseline"/>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综合情况：</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0分</w:t>
            </w:r>
          </w:p>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技术部分：</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1"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评标基准价计算方法</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w:t>
            </w:r>
            <w:r>
              <w:rPr>
                <w:rFonts w:ascii="宋体" w:hAnsi="宋体" w:cs="宋体"/>
                <w:color w:val="000000" w:themeColor="text1"/>
                <w:sz w:val="24"/>
                <w14:textFill>
                  <w14:solidFill>
                    <w14:schemeClr w14:val="tx1"/>
                  </w14:solidFill>
                </w14:textFill>
              </w:rPr>
              <w:t>各有效投标人投标报价的算术平均值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51"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2.2.3</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投标报价的偏差率计算公式</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偏差率=（投标人报价-评标基准价）/评标基准价*100%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2138" w:type="dxa"/>
            <w:gridSpan w:val="2"/>
            <w:tcBorders>
              <w:top w:val="single" w:color="auto" w:sz="4" w:space="0"/>
              <w:bottom w:val="single" w:color="auto" w:sz="4" w:space="0"/>
              <w:right w:val="single" w:color="auto" w:sz="4" w:space="0"/>
            </w:tcBorders>
          </w:tcPr>
          <w:p>
            <w:pPr>
              <w:adjustRightInd w:val="0"/>
              <w:spacing w:line="440" w:lineRule="exact"/>
              <w:ind w:firstLine="482" w:firstLineChars="20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评分因素</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851" w:type="dxa"/>
            <w:tcBorders>
              <w:top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投标报价</w:t>
            </w:r>
            <w:r>
              <w:rPr>
                <w:rFonts w:hint="eastAsia" w:ascii="宋体" w:hAnsi="宋体" w:cs="宋体"/>
                <w:b/>
                <w:bCs/>
                <w:color w:val="000000" w:themeColor="text1"/>
                <w:sz w:val="24"/>
                <w:lang w:val="en-US" w:eastAsia="zh-CN"/>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投标报价</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w:t>
            </w:r>
            <w:r>
              <w:rPr>
                <w:rFonts w:ascii="宋体" w:hAnsi="宋体" w:cs="宋体"/>
                <w:color w:val="000000" w:themeColor="text1"/>
                <w:sz w:val="24"/>
                <w14:textFill>
                  <w14:solidFill>
                    <w14:schemeClr w14:val="tx1"/>
                  </w14:solidFill>
                </w14:textFill>
              </w:rPr>
              <w:t>0分）</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以评标基准值为基准，投标人的投标报价与评标基准值相等者得满分</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0分；投标报价高于评标基准值的，按每高于评标基准值1%从</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0分基础上扣1分，扣完为止；投标报价低于评标基准值的，按每低于评标基准值1%从</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0分基础上扣0.5分，扣完为止。</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注：投标报价得分数四舍五入取两位小数。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3"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综合情况</w:t>
            </w:r>
            <w:r>
              <w:rPr>
                <w:rFonts w:hint="eastAsia" w:ascii="宋体" w:hAnsi="宋体" w:cs="宋体"/>
                <w:b/>
                <w:bCs/>
                <w:color w:val="000000" w:themeColor="text1"/>
                <w:sz w:val="24"/>
                <w:lang w:val="en-US" w:eastAsia="zh-CN"/>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1.综合评定</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c>
          <w:tcPr>
            <w:tcW w:w="5330" w:type="dxa"/>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w:t>
            </w:r>
            <w:r>
              <w:rPr>
                <w:rFonts w:hint="eastAsia" w:ascii="宋体" w:hAnsi="宋体" w:cs="宋体"/>
                <w:color w:val="000000" w:themeColor="text1"/>
                <w:sz w:val="24"/>
                <w:lang w:eastAsia="zh-CN"/>
                <w14:textFill>
                  <w14:solidFill>
                    <w14:schemeClr w14:val="tx1"/>
                  </w14:solidFill>
                </w14:textFill>
              </w:rPr>
              <w:t>投标人投标</w:t>
            </w:r>
            <w:r>
              <w:rPr>
                <w:rFonts w:hint="eastAsia" w:ascii="宋体" w:hAnsi="宋体" w:cs="宋体"/>
                <w:color w:val="000000" w:themeColor="text1"/>
                <w:sz w:val="24"/>
                <w14:textFill>
                  <w14:solidFill>
                    <w14:schemeClr w14:val="tx1"/>
                  </w14:solidFill>
                </w14:textFill>
              </w:rPr>
              <w:t>文件编制的详实、合理、符合性及响应程度等综合印象进行打分。</w:t>
            </w:r>
          </w:p>
          <w:p>
            <w:pPr>
              <w:adjustRightInd w:val="0"/>
              <w:spacing w:line="440" w:lineRule="exact"/>
              <w:jc w:val="left"/>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1、投标文件编制内容全面，完全合理得 15分；</w:t>
            </w:r>
          </w:p>
          <w:p>
            <w:pPr>
              <w:adjustRightInd w:val="0"/>
              <w:spacing w:line="440" w:lineRule="exact"/>
              <w:jc w:val="left"/>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2、投标文件编制内容全面，较合理得10 分；</w:t>
            </w:r>
          </w:p>
          <w:p>
            <w:pPr>
              <w:adjustRightInd w:val="0"/>
              <w:spacing w:line="440" w:lineRule="exact"/>
              <w:jc w:val="left"/>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3、投标文件编制内容全面，一般合理得 5 分；</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（不合理不得分）；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2.人员配置</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5分）</w:t>
            </w:r>
          </w:p>
        </w:tc>
        <w:tc>
          <w:tcPr>
            <w:tcW w:w="5330" w:type="dxa"/>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1、项目负责人具有高级职称的，得5分；</w:t>
            </w:r>
          </w:p>
          <w:p>
            <w:pPr>
              <w:adjustRightInd w:val="0"/>
              <w:spacing w:line="440" w:lineRule="exact"/>
              <w:jc w:val="left"/>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2、本项目团队成员具备相关专业（经济师、会计师、工程师、造价工程师、咨询工程师）的技术职称或执业/职业资格，每有1 人得2分，最高得10分，</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备注：需提供证书复印件和签订的劳动合同复印件；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技术部分</w:t>
            </w:r>
            <w:r>
              <w:rPr>
                <w:rFonts w:hint="eastAsia" w:ascii="宋体" w:hAnsi="宋体" w:cs="宋体"/>
                <w:b/>
                <w:bCs/>
                <w:color w:val="000000" w:themeColor="text1"/>
                <w:sz w:val="24"/>
                <w:lang w:val="en-US" w:eastAsia="zh-CN"/>
                <w14:textFill>
                  <w14:solidFill>
                    <w14:schemeClr w14:val="tx1"/>
                  </w14:solidFill>
                </w14:textFill>
              </w:rPr>
              <w:t>5</w:t>
            </w:r>
            <w:r>
              <w:rPr>
                <w:rFonts w:hint="eastAsia" w:ascii="宋体" w:hAnsi="宋体" w:cs="宋体"/>
                <w:b/>
                <w:bCs/>
                <w:color w:val="000000" w:themeColor="text1"/>
                <w:sz w:val="24"/>
                <w14:textFill>
                  <w14:solidFill>
                    <w14:schemeClr w14:val="tx1"/>
                  </w14:solidFill>
                </w14:textFill>
              </w:rPr>
              <w:t>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服务方案内容（</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0分）</w:t>
            </w:r>
          </w:p>
        </w:tc>
        <w:tc>
          <w:tcPr>
            <w:tcW w:w="5330"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服务方案内容全面、对采购人服务需求充分理解，匹配采购人咨询服务需求：</w:t>
            </w:r>
          </w:p>
          <w:p>
            <w:pPr>
              <w:pStyle w:val="18"/>
              <w:keepNext w:val="0"/>
              <w:keepLines w:val="0"/>
              <w:pageBreakBefore w:val="0"/>
              <w:widowControl w:val="0"/>
              <w:numPr>
                <w:ilvl w:val="0"/>
                <w:numId w:val="7"/>
              </w:numPr>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方案内容全面、充分理解，完全契合20分；</w:t>
            </w:r>
          </w:p>
          <w:p>
            <w:pPr>
              <w:pStyle w:val="18"/>
              <w:keepNext w:val="0"/>
              <w:keepLines w:val="0"/>
              <w:pageBreakBefore w:val="0"/>
              <w:widowControl w:val="0"/>
              <w:numPr>
                <w:ilvl w:val="0"/>
                <w:numId w:val="7"/>
              </w:numPr>
              <w:kinsoku/>
              <w:wordWrap/>
              <w:overflowPunct/>
              <w:topLinePunct w:val="0"/>
              <w:autoSpaceDE w:val="0"/>
              <w:autoSpaceDN w:val="0"/>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方案内容较全面、项目理解和契合都较好</w:t>
            </w:r>
            <w:r>
              <w:rPr>
                <w:rFonts w:hint="eastAsia" w:cs="宋体"/>
                <w:sz w:val="24"/>
                <w:szCs w:val="24"/>
                <w:highlight w:val="none"/>
                <w:lang w:val="en-US" w:eastAsia="zh-CN" w:bidi="ar-SA"/>
              </w:rPr>
              <w:t>14</w:t>
            </w:r>
            <w:r>
              <w:rPr>
                <w:rFonts w:hint="eastAsia" w:ascii="宋体" w:hAnsi="宋体" w:eastAsia="宋体" w:cs="宋体"/>
                <w:sz w:val="24"/>
                <w:szCs w:val="24"/>
                <w:highlight w:val="none"/>
                <w:lang w:val="en-US" w:eastAsia="zh-CN" w:bidi="ar-SA"/>
              </w:rPr>
              <w:t>分；</w:t>
            </w:r>
          </w:p>
          <w:p>
            <w:pPr>
              <w:pStyle w:val="18"/>
              <w:keepNext w:val="0"/>
              <w:keepLines w:val="0"/>
              <w:pageBreakBefore w:val="0"/>
              <w:widowControl w:val="0"/>
              <w:numPr>
                <w:ilvl w:val="0"/>
                <w:numId w:val="7"/>
              </w:numPr>
              <w:kinsoku/>
              <w:wordWrap/>
              <w:overflowPunct/>
              <w:topLinePunct w:val="0"/>
              <w:autoSpaceDE w:val="0"/>
              <w:autoSpaceDN w:val="0"/>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方案内容一般、项目理解和契合一般得9分。</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4、方案内容较差得4分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进度计划方案（10分）</w:t>
            </w:r>
          </w:p>
        </w:tc>
        <w:tc>
          <w:tcPr>
            <w:tcW w:w="5330"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进度计划方案安排科学合理可行情况：</w:t>
            </w:r>
          </w:p>
          <w:p>
            <w:pPr>
              <w:pStyle w:val="18"/>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1、方案思路清晰，内容全面，可操作性强，专业工具理念先进得10分；</w:t>
            </w:r>
          </w:p>
          <w:p>
            <w:pPr>
              <w:pStyle w:val="18"/>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2、方案思路基本清晰，内容基本全面，具有可操作性，专业工具理念较先进得7分；</w:t>
            </w:r>
          </w:p>
          <w:p>
            <w:pPr>
              <w:pStyle w:val="18"/>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firstLine="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3、方案思路基本清晰，内容不全面，可操作性一般，专业工具理念较差得3分。</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备注：无方案不得分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针对本项目服务方案制定的咨询质量控制、措施和方法（10分）</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项目咨询质量控制、措施、方法：措施有力、有针对性、质控体系较好10分；措施一般、质控体系一般7分；措施不详细的得3分。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针对本项目需求提出的合理化建议（5分）</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根据投标人针对本项目需求提出的合理化建议，切实可行的得5分；较可行的得4分；基本可行的得2分；不合理或未承诺的得0分。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服务承诺</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（5分）</w:t>
            </w:r>
          </w:p>
        </w:tc>
        <w:tc>
          <w:tcPr>
            <w:tcW w:w="533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eastAsia="宋体" w:cs="宋体"/>
                <w:sz w:val="24"/>
                <w:szCs w:val="24"/>
                <w:highlight w:val="none"/>
                <w:lang w:val="en-US" w:eastAsia="zh-CN" w:bidi="ar-SA"/>
              </w:rPr>
              <w:t>承诺不更换团队成员、数据保密、数据整理的成果满足采购人要求并及时调整措施可行的，得5分；承诺数据保密、数据整理的成果基本符合要求得2分；不提供不得分。</w:t>
            </w:r>
          </w:p>
        </w:tc>
      </w:tr>
    </w:tbl>
    <w:p>
      <w:pPr>
        <w:numPr>
          <w:ilvl w:val="0"/>
          <w:numId w:val="8"/>
        </w:num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评标方法</w:t>
      </w:r>
      <w:bookmarkEnd w:id="274"/>
      <w:bookmarkEnd w:id="275"/>
      <w:bookmarkEnd w:id="276"/>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1.1根据招标文件、投标文件，按照评分办法，得出每个评委对投标人的评标分数。投标人的最终得分为所有评委对其打分的算术平均值。计分过程按四舍五入取至小数点后三位，最终得分取至小数点后两位。</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1.2投标人的排名按得分顺序从高到低排列；得分相同的，按投标报价由低到高顺序排列；得分且投标报价相同的，按技术指标优劣顺序排列。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授权评标委员会推荐中标候选人，推荐1-3名中标候选人。若招标人确定的中标候选人放弃中标、因不可抗力提出不能履行合同的，则招标人可以按评标委员会推荐中标候选人的顺序依次顺延第二中标候选人为中标人或重新组织招标活动。</w:t>
      </w:r>
    </w:p>
    <w:p>
      <w:pPr>
        <w:spacing w:line="400" w:lineRule="exact"/>
        <w:rPr>
          <w:rFonts w:ascii="宋体" w:hAnsi="宋体" w:cs="宋体"/>
          <w:b/>
          <w:bCs/>
          <w:color w:val="000000" w:themeColor="text1"/>
          <w:sz w:val="24"/>
          <w14:textFill>
            <w14:solidFill>
              <w14:schemeClr w14:val="tx1"/>
            </w14:solidFill>
          </w14:textFill>
        </w:rPr>
      </w:pPr>
      <w:bookmarkStart w:id="277" w:name="_Toc256145678"/>
      <w:bookmarkStart w:id="278" w:name="_Toc248985521"/>
      <w:bookmarkStart w:id="279" w:name="_Toc32098"/>
      <w:r>
        <w:rPr>
          <w:rFonts w:hint="eastAsia" w:ascii="宋体" w:hAnsi="宋体" w:cs="宋体"/>
          <w:b/>
          <w:bCs/>
          <w:color w:val="000000" w:themeColor="text1"/>
          <w:sz w:val="24"/>
          <w14:textFill>
            <w14:solidFill>
              <w14:schemeClr w14:val="tx1"/>
            </w14:solidFill>
          </w14:textFill>
        </w:rPr>
        <w:t>2．评审标准</w:t>
      </w:r>
      <w:bookmarkEnd w:id="277"/>
      <w:bookmarkEnd w:id="278"/>
      <w:bookmarkEnd w:id="279"/>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 初步评审标准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形式评审标准：见评标办法前附表；</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2.1.2资格评审标准：见评标办法前附表；</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 分值构成与评分标准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2.11分值构成：商务标满分</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0分，技术标满分</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0分，总分100分；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2.22评分标准：见具体评分标准。</w:t>
      </w:r>
    </w:p>
    <w:p>
      <w:pPr>
        <w:spacing w:line="400" w:lineRule="exact"/>
        <w:rPr>
          <w:rFonts w:ascii="宋体" w:hAnsi="宋体" w:cs="宋体"/>
          <w:b/>
          <w:bCs/>
          <w:color w:val="000000" w:themeColor="text1"/>
          <w:sz w:val="24"/>
          <w14:textFill>
            <w14:solidFill>
              <w14:schemeClr w14:val="tx1"/>
            </w14:solidFill>
          </w14:textFill>
        </w:rPr>
      </w:pPr>
      <w:bookmarkStart w:id="280" w:name="_Toc248985522"/>
      <w:bookmarkStart w:id="281" w:name="_Toc7602"/>
      <w:bookmarkStart w:id="282" w:name="_Toc256145679"/>
      <w:r>
        <w:rPr>
          <w:rFonts w:hint="eastAsia" w:ascii="宋体" w:hAnsi="宋体" w:cs="宋体"/>
          <w:b/>
          <w:bCs/>
          <w:color w:val="000000" w:themeColor="text1"/>
          <w:sz w:val="24"/>
          <w14:textFill>
            <w14:solidFill>
              <w14:schemeClr w14:val="tx1"/>
            </w14:solidFill>
          </w14:textFill>
        </w:rPr>
        <w:t>3．评标程序</w:t>
      </w:r>
      <w:bookmarkEnd w:id="280"/>
      <w:bookmarkEnd w:id="281"/>
      <w:bookmarkEnd w:id="282"/>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3.1 初步评审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3.1.1评标委员会依据本章第2.1.1 项、2.1.2项规定的评审标准对投标文件进行初步评审。有一项不符合评审标准的，不进行详细评审。当投标人资格预审申请文件的内容发生重大变化时，评标委员会依据本章第2.1 项规定的标准对其更新资料进行评审。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3.1.2评标委员会应全面复核投标人投标报价，投标报价有算术错误的，评标委员会按以下原则对投标报价进行修正，修正的价格经投标人书面确认后具有约束力，修正原则如下：</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（1）投标文件中的大写金额与小写金额不一致的，以大写金额为准；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（2）总价金额与依据单价计算出的结果不一致的，以单价金额为准修正总价，但单价金额小数点有明显错误的除外；</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（3）仅该投标人按照不利于自己的原则进行修正并计算投标报价，其余投标人报价得分不变。</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3.1.3 投标人有以下情形之一的，其投标文件作废标处理：</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（1）有串通投标或弄虚作假或有其他违法行为的。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（2）投标文件制作机器码一致的。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（3）在形式评审、资格评审(适用于未进行资格预审的)、响应性评审中，评标委员会认定投标人的投标不符合评标办法前附表中规定的评审标准的。</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3.2 详细评审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 评标委员会每一成员均须按本章规定的量化因素和分值进行打分，并计算出综合评估得分；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3.2.2计算过程及结果均保留小数点后2位，小数点后第3位“四舍五入”；</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 投标人得分：计算办法见评分标准。</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3.3 投标文件的澄清和补正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3.3.2 澄清、说明和补正不得改变投标文件的实质性内容（算术性错误修正的除外）。投标人的书面澄清、说明和补正属于投标文件的组成部分。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 评标委员会对投标人提交的澄清、说明或补正有疑问的，可以要求投标人进一步澄清、说明或补正，直至满足评标委员会的要求。</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3.4 评标结果</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3.4.1评标委员会完成评标后，应向招标人提出书面评标报告，评标委员会按照得分由高到低的顺序推荐3名中标候选人。</w:t>
      </w:r>
    </w:p>
    <w:p>
      <w:pPr>
        <w:pStyle w:val="4"/>
        <w:numPr>
          <w:ilvl w:val="0"/>
          <w:numId w:val="0"/>
        </w:numPr>
        <w:spacing w:before="120" w:after="120" w:line="400" w:lineRule="exact"/>
        <w:jc w:val="center"/>
        <w:rPr>
          <w:rFonts w:ascii="宋体" w:hAnsi="宋体" w:cs="宋体"/>
          <w:color w:val="000000" w:themeColor="text1"/>
          <w:sz w:val="40"/>
          <w:szCs w:val="52"/>
          <w14:textFill>
            <w14:solidFill>
              <w14:schemeClr w14:val="tx1"/>
            </w14:solidFill>
          </w14:textFill>
        </w:rPr>
      </w:pPr>
      <w:bookmarkStart w:id="283" w:name="_Toc152042387"/>
      <w:bookmarkStart w:id="284" w:name="_Toc144974577"/>
      <w:bookmarkStart w:id="285" w:name="_Toc2224"/>
      <w:bookmarkStart w:id="286" w:name="_Toc152045609"/>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pStyle w:val="2"/>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r>
        <w:rPr>
          <w:rFonts w:hint="eastAsia" w:ascii="宋体" w:hAnsi="宋体" w:cs="宋体"/>
          <w:b/>
          <w:bCs/>
          <w:color w:val="000000" w:themeColor="text1"/>
          <w:sz w:val="40"/>
          <w:szCs w:val="52"/>
          <w14:textFill>
            <w14:solidFill>
              <w14:schemeClr w14:val="tx1"/>
            </w14:solidFill>
          </w14:textFill>
        </w:rPr>
        <w:br w:type="page"/>
      </w:r>
    </w:p>
    <w:p>
      <w:pPr>
        <w:pStyle w:val="4"/>
        <w:numPr>
          <w:ilvl w:val="0"/>
          <w:numId w:val="0"/>
        </w:numPr>
        <w:spacing w:before="120" w:after="120" w:line="240" w:lineRule="auto"/>
        <w:jc w:val="center"/>
        <w:rPr>
          <w:rFonts w:ascii="宋体" w:hAnsi="宋体" w:cs="宋体"/>
          <w:color w:val="000000" w:themeColor="text1"/>
          <w:sz w:val="40"/>
          <w:szCs w:val="52"/>
          <w14:textFill>
            <w14:solidFill>
              <w14:schemeClr w14:val="tx1"/>
            </w14:solidFill>
          </w14:textFill>
        </w:rPr>
      </w:pPr>
      <w:bookmarkStart w:id="287" w:name="_Toc8332"/>
      <w:r>
        <w:rPr>
          <w:rFonts w:hint="eastAsia" w:ascii="宋体" w:hAnsi="宋体" w:cs="宋体"/>
          <w:color w:val="000000" w:themeColor="text1"/>
          <w:sz w:val="40"/>
          <w:szCs w:val="52"/>
          <w14:textFill>
            <w14:solidFill>
              <w14:schemeClr w14:val="tx1"/>
            </w14:solidFill>
          </w14:textFill>
        </w:rPr>
        <w:t>第四章 合同条款及格式</w:t>
      </w:r>
      <w:bookmarkEnd w:id="283"/>
      <w:bookmarkEnd w:id="284"/>
      <w:bookmarkEnd w:id="285"/>
      <w:bookmarkEnd w:id="286"/>
      <w:bookmarkEnd w:id="287"/>
    </w:p>
    <w:p>
      <w:pPr>
        <w:spacing w:before="7" w:line="360" w:lineRule="auto"/>
        <w:ind w:left="24" w:right="17"/>
        <w:jc w:val="center"/>
        <w:rPr>
          <w:rFonts w:ascii="新宋体" w:eastAsia="新宋体"/>
          <w:b/>
          <w:sz w:val="28"/>
          <w:highlight w:val="none"/>
        </w:rPr>
      </w:pPr>
      <w:r>
        <w:rPr>
          <w:rFonts w:hint="eastAsia" w:ascii="新宋体" w:eastAsia="新宋体"/>
          <w:b/>
          <w:spacing w:val="-24"/>
          <w:sz w:val="28"/>
          <w:highlight w:val="none"/>
        </w:rPr>
        <w:t>（仅为招标阶段参照文本格式，以最终签订合同为准</w:t>
      </w:r>
      <w:r>
        <w:rPr>
          <w:rFonts w:hint="eastAsia" w:ascii="新宋体" w:eastAsia="新宋体"/>
          <w:b/>
          <w:sz w:val="28"/>
          <w:highlight w:val="none"/>
        </w:rPr>
        <w:t>）</w:t>
      </w:r>
    </w:p>
    <w:p>
      <w:pPr>
        <w:spacing w:before="10" w:line="360" w:lineRule="auto"/>
        <w:ind w:right="16"/>
        <w:jc w:val="center"/>
        <w:rPr>
          <w:sz w:val="36"/>
          <w:highlight w:val="none"/>
        </w:rPr>
      </w:pPr>
      <w:r>
        <w:rPr>
          <w:spacing w:val="-1"/>
          <w:sz w:val="36"/>
          <w:highlight w:val="none"/>
        </w:rPr>
        <w:t>第一部分 合同协议书</w:t>
      </w:r>
    </w:p>
    <w:p>
      <w:pPr>
        <w:spacing w:before="155" w:line="388" w:lineRule="auto"/>
        <w:ind w:left="220" w:right="237" w:firstLine="480"/>
        <w:rPr>
          <w:sz w:val="24"/>
          <w:highlight w:val="none"/>
        </w:rPr>
      </w:pPr>
      <w:r>
        <w:rPr>
          <w:rFonts w:hint="eastAsia"/>
          <w:spacing w:val="-3"/>
          <w:sz w:val="24"/>
          <w:highlight w:val="none"/>
          <w:lang w:val="en-US" w:eastAsia="zh-CN"/>
        </w:rPr>
        <w:t>根据</w:t>
      </w:r>
      <w:r>
        <w:rPr>
          <w:spacing w:val="-3"/>
          <w:sz w:val="24"/>
          <w:highlight w:val="none"/>
        </w:rPr>
        <w:t>《</w:t>
      </w:r>
      <w:r>
        <w:rPr>
          <w:rFonts w:hint="eastAsia"/>
          <w:spacing w:val="-3"/>
          <w:sz w:val="24"/>
          <w:highlight w:val="none"/>
        </w:rPr>
        <w:t>中华人民共和国合同法</w:t>
      </w:r>
      <w:r>
        <w:rPr>
          <w:spacing w:val="-3"/>
          <w:sz w:val="24"/>
          <w:highlight w:val="none"/>
        </w:rPr>
        <w:t>》和其他法律、法规的规</w:t>
      </w:r>
      <w:r>
        <w:rPr>
          <w:sz w:val="24"/>
          <w:highlight w:val="none"/>
        </w:rPr>
        <w:t>定，并按照公正、平等、自愿、诚实信用的原则，同意按照以下条款和条件，签署本合同。</w:t>
      </w:r>
    </w:p>
    <w:p>
      <w:pPr>
        <w:spacing w:before="5"/>
        <w:ind w:left="700"/>
        <w:rPr>
          <w:sz w:val="24"/>
          <w:highlight w:val="none"/>
        </w:rPr>
      </w:pPr>
      <w:r>
        <w:rPr>
          <w:sz w:val="24"/>
          <w:highlight w:val="none"/>
        </w:rPr>
        <w:t>一、合同文件</w:t>
      </w:r>
    </w:p>
    <w:p>
      <w:pPr>
        <w:spacing w:before="194"/>
        <w:ind w:left="700"/>
        <w:rPr>
          <w:sz w:val="24"/>
          <w:highlight w:val="none"/>
        </w:rPr>
      </w:pPr>
      <w:r>
        <w:rPr>
          <w:sz w:val="24"/>
          <w:highlight w:val="none"/>
        </w:rPr>
        <w:t>本合同所附下列文件是构成本合同不可分割的部分：</w:t>
      </w:r>
    </w:p>
    <w:p>
      <w:pPr>
        <w:spacing w:before="196"/>
        <w:ind w:left="700"/>
        <w:rPr>
          <w:sz w:val="24"/>
          <w:highlight w:val="none"/>
        </w:rPr>
      </w:pPr>
      <w:r>
        <w:rPr>
          <w:sz w:val="24"/>
          <w:highlight w:val="none"/>
        </w:rPr>
        <w:t>（一）本项目</w:t>
      </w:r>
      <w:r>
        <w:rPr>
          <w:rFonts w:hint="eastAsia"/>
          <w:sz w:val="24"/>
          <w:highlight w:val="none"/>
          <w:lang w:val="en-US" w:eastAsia="zh-CN"/>
        </w:rPr>
        <w:t>招标</w:t>
      </w:r>
      <w:r>
        <w:rPr>
          <w:sz w:val="24"/>
          <w:highlight w:val="none"/>
        </w:rPr>
        <w:t>文件</w:t>
      </w:r>
    </w:p>
    <w:p>
      <w:pPr>
        <w:spacing w:before="195"/>
        <w:ind w:left="700"/>
        <w:rPr>
          <w:sz w:val="24"/>
          <w:highlight w:val="none"/>
        </w:rPr>
      </w:pPr>
      <w:r>
        <w:rPr>
          <w:sz w:val="24"/>
          <w:highlight w:val="none"/>
        </w:rPr>
        <w:t>（二）</w:t>
      </w:r>
      <w:r>
        <w:rPr>
          <w:rFonts w:hint="eastAsia"/>
          <w:sz w:val="24"/>
          <w:highlight w:val="none"/>
          <w:lang w:val="en-US" w:eastAsia="zh-CN"/>
        </w:rPr>
        <w:t>投标单位</w:t>
      </w:r>
      <w:r>
        <w:rPr>
          <w:sz w:val="24"/>
          <w:highlight w:val="none"/>
        </w:rPr>
        <w:t>的</w:t>
      </w:r>
      <w:r>
        <w:rPr>
          <w:rFonts w:hint="eastAsia"/>
          <w:sz w:val="24"/>
          <w:highlight w:val="none"/>
          <w:lang w:val="en-US" w:eastAsia="zh-CN"/>
        </w:rPr>
        <w:t>投标</w:t>
      </w:r>
      <w:r>
        <w:rPr>
          <w:sz w:val="24"/>
          <w:highlight w:val="none"/>
        </w:rPr>
        <w:t>文件</w:t>
      </w:r>
    </w:p>
    <w:p>
      <w:pPr>
        <w:spacing w:before="194"/>
        <w:ind w:left="700"/>
        <w:rPr>
          <w:sz w:val="24"/>
          <w:highlight w:val="none"/>
        </w:rPr>
      </w:pPr>
      <w:r>
        <w:rPr>
          <w:sz w:val="24"/>
          <w:highlight w:val="none"/>
        </w:rPr>
        <w:t>（三）合同格式、合同条款</w:t>
      </w:r>
    </w:p>
    <w:p>
      <w:pPr>
        <w:spacing w:before="194"/>
        <w:ind w:left="700"/>
        <w:rPr>
          <w:sz w:val="24"/>
          <w:highlight w:val="none"/>
        </w:rPr>
      </w:pPr>
      <w:r>
        <w:rPr>
          <w:sz w:val="24"/>
          <w:highlight w:val="none"/>
        </w:rPr>
        <w:t>（四）中标人在评标过程中做出的有关澄清、说明或者补正文件</w:t>
      </w:r>
    </w:p>
    <w:p>
      <w:pPr>
        <w:spacing w:before="194"/>
        <w:ind w:left="700"/>
        <w:rPr>
          <w:sz w:val="24"/>
          <w:highlight w:val="none"/>
        </w:rPr>
      </w:pPr>
      <w:r>
        <w:rPr>
          <w:sz w:val="24"/>
          <w:highlight w:val="none"/>
        </w:rPr>
        <w:t>（五）中标通知书</w:t>
      </w:r>
    </w:p>
    <w:p>
      <w:pPr>
        <w:spacing w:before="195"/>
        <w:ind w:left="700"/>
        <w:rPr>
          <w:sz w:val="24"/>
          <w:highlight w:val="none"/>
        </w:rPr>
      </w:pPr>
      <w:r>
        <w:rPr>
          <w:sz w:val="24"/>
          <w:highlight w:val="none"/>
        </w:rPr>
        <w:t>（六）本合同附件</w:t>
      </w:r>
    </w:p>
    <w:p>
      <w:pPr>
        <w:spacing w:before="196"/>
        <w:ind w:left="700"/>
        <w:rPr>
          <w:sz w:val="24"/>
          <w:highlight w:val="none"/>
        </w:rPr>
      </w:pPr>
      <w:r>
        <w:rPr>
          <w:sz w:val="24"/>
          <w:highlight w:val="none"/>
        </w:rPr>
        <w:t>二、合同的范围和条件</w:t>
      </w:r>
    </w:p>
    <w:p>
      <w:pPr>
        <w:spacing w:before="194" w:line="391" w:lineRule="auto"/>
        <w:ind w:left="820" w:right="3743" w:hanging="120"/>
        <w:rPr>
          <w:sz w:val="24"/>
          <w:highlight w:val="none"/>
        </w:rPr>
      </w:pPr>
      <w:r>
        <w:rPr>
          <w:spacing w:val="-1"/>
          <w:sz w:val="24"/>
          <w:highlight w:val="none"/>
        </w:rPr>
        <w:t>本合同的范围和条件应与上述合同文件的规定相一致。</w:t>
      </w:r>
      <w:r>
        <w:rPr>
          <w:sz w:val="24"/>
          <w:highlight w:val="none"/>
        </w:rPr>
        <w:t>三、合同金额</w:t>
      </w:r>
    </w:p>
    <w:p>
      <w:pPr>
        <w:tabs>
          <w:tab w:val="left" w:pos="3580"/>
        </w:tabs>
        <w:spacing w:before="1" w:line="391" w:lineRule="auto"/>
        <w:ind w:left="700" w:right="2903"/>
        <w:rPr>
          <w:sz w:val="24"/>
          <w:highlight w:val="none"/>
        </w:rPr>
      </w:pPr>
      <w:r>
        <w:rPr>
          <w:sz w:val="24"/>
          <w:highlight w:val="none"/>
        </w:rPr>
        <w:t>合同总金额：人民币：</w:t>
      </w:r>
      <w:r>
        <w:rPr>
          <w:sz w:val="24"/>
          <w:highlight w:val="none"/>
        </w:rPr>
        <w:tab/>
      </w:r>
      <w:r>
        <w:rPr>
          <w:sz w:val="24"/>
          <w:highlight w:val="none"/>
        </w:rPr>
        <w:t>元（大写）</w:t>
      </w:r>
      <w:r>
        <w:rPr>
          <w:spacing w:val="-6"/>
          <w:sz w:val="24"/>
          <w:highlight w:val="none"/>
        </w:rPr>
        <w:t xml:space="preserve"> </w:t>
      </w:r>
      <w:r>
        <w:rPr>
          <w:sz w:val="24"/>
          <w:highlight w:val="none"/>
        </w:rPr>
        <w:t>人民币：</w:t>
      </w:r>
      <w:r>
        <w:rPr>
          <w:spacing w:val="110"/>
          <w:sz w:val="24"/>
          <w:highlight w:val="none"/>
        </w:rPr>
        <w:t xml:space="preserve"> </w:t>
      </w:r>
      <w:r>
        <w:rPr>
          <w:sz w:val="24"/>
          <w:highlight w:val="none"/>
        </w:rPr>
        <w:t>元（小写）</w:t>
      </w:r>
      <w:r>
        <w:rPr>
          <w:spacing w:val="-117"/>
          <w:sz w:val="24"/>
          <w:highlight w:val="none"/>
        </w:rPr>
        <w:t xml:space="preserve"> </w:t>
      </w:r>
      <w:r>
        <w:rPr>
          <w:sz w:val="24"/>
          <w:highlight w:val="none"/>
        </w:rPr>
        <w:t>四、质量要求：</w:t>
      </w:r>
    </w:p>
    <w:p>
      <w:pPr>
        <w:spacing w:before="1" w:line="393" w:lineRule="auto"/>
        <w:ind w:left="700" w:right="8064"/>
        <w:rPr>
          <w:sz w:val="24"/>
          <w:highlight w:val="none"/>
        </w:rPr>
      </w:pPr>
      <w:r>
        <w:rPr>
          <w:spacing w:val="-1"/>
          <w:sz w:val="24"/>
          <w:highlight w:val="none"/>
        </w:rPr>
        <w:t>五、付款方式</w:t>
      </w:r>
      <w:r>
        <w:rPr>
          <w:sz w:val="24"/>
          <w:highlight w:val="none"/>
        </w:rPr>
        <w:t>付款方式：</w:t>
      </w:r>
    </w:p>
    <w:p>
      <w:pPr>
        <w:spacing w:line="304" w:lineRule="exact"/>
        <w:ind w:left="700"/>
        <w:rPr>
          <w:sz w:val="24"/>
          <w:highlight w:val="none"/>
        </w:rPr>
      </w:pPr>
      <w:r>
        <w:rPr>
          <w:sz w:val="24"/>
          <w:highlight w:val="none"/>
        </w:rPr>
        <w:t>六、服务日期、地点</w:t>
      </w:r>
    </w:p>
    <w:p>
      <w:pPr>
        <w:spacing w:before="194"/>
        <w:ind w:left="640"/>
        <w:rPr>
          <w:sz w:val="24"/>
          <w:highlight w:val="none"/>
        </w:rPr>
      </w:pPr>
      <w:r>
        <w:rPr>
          <w:sz w:val="24"/>
          <w:highlight w:val="none"/>
        </w:rPr>
        <w:t>1</w:t>
      </w:r>
      <w:r>
        <w:rPr>
          <w:spacing w:val="13"/>
          <w:sz w:val="24"/>
          <w:highlight w:val="none"/>
        </w:rPr>
        <w:t>、服务时间：于 年 月 日以前完成。</w:t>
      </w:r>
    </w:p>
    <w:p>
      <w:pPr>
        <w:spacing w:before="194" w:line="391" w:lineRule="auto"/>
        <w:ind w:left="700" w:right="6803" w:hanging="60"/>
        <w:rPr>
          <w:sz w:val="24"/>
          <w:highlight w:val="none"/>
        </w:rPr>
      </w:pPr>
      <w:r>
        <w:rPr>
          <w:spacing w:val="-1"/>
          <w:sz w:val="24"/>
          <w:highlight w:val="none"/>
        </w:rPr>
        <w:t>2</w:t>
      </w:r>
      <w:r>
        <w:rPr>
          <w:sz w:val="24"/>
          <w:highlight w:val="none"/>
        </w:rPr>
        <w:t>、地点：甲方指定地点。七、合同保存</w:t>
      </w:r>
    </w:p>
    <w:p>
      <w:pPr>
        <w:tabs>
          <w:tab w:val="left" w:pos="2320"/>
          <w:tab w:val="left" w:pos="3580"/>
        </w:tabs>
        <w:spacing w:before="2" w:line="393" w:lineRule="auto"/>
        <w:ind w:left="700" w:right="2783" w:hanging="60"/>
        <w:rPr>
          <w:sz w:val="24"/>
          <w:highlight w:val="none"/>
        </w:rPr>
      </w:pPr>
      <w:r>
        <w:rPr>
          <w:sz w:val="24"/>
          <w:highlight w:val="none"/>
        </w:rPr>
        <w:t>本合同一式</w:t>
      </w:r>
      <w:r>
        <w:rPr>
          <w:sz w:val="24"/>
          <w:highlight w:val="none"/>
        </w:rPr>
        <w:tab/>
      </w:r>
      <w:r>
        <w:rPr>
          <w:sz w:val="24"/>
          <w:highlight w:val="none"/>
        </w:rPr>
        <w:t>份，甲方</w:t>
      </w:r>
      <w:r>
        <w:rPr>
          <w:sz w:val="24"/>
          <w:highlight w:val="none"/>
        </w:rPr>
        <w:tab/>
      </w:r>
      <w:r>
        <w:rPr>
          <w:sz w:val="24"/>
          <w:highlight w:val="none"/>
        </w:rPr>
        <w:t>份，乙方</w:t>
      </w:r>
      <w:r>
        <w:rPr>
          <w:spacing w:val="51"/>
          <w:sz w:val="24"/>
          <w:highlight w:val="none"/>
        </w:rPr>
        <w:t xml:space="preserve"> </w:t>
      </w:r>
      <w:r>
        <w:rPr>
          <w:sz w:val="24"/>
          <w:highlight w:val="none"/>
        </w:rPr>
        <w:t>份，采购代理机构</w:t>
      </w:r>
      <w:r>
        <w:rPr>
          <w:spacing w:val="54"/>
          <w:sz w:val="24"/>
          <w:highlight w:val="none"/>
        </w:rPr>
        <w:t xml:space="preserve"> </w:t>
      </w:r>
      <w:r>
        <w:rPr>
          <w:sz w:val="24"/>
          <w:highlight w:val="none"/>
        </w:rPr>
        <w:t>份。八、违约条款</w:t>
      </w:r>
    </w:p>
    <w:p>
      <w:pPr>
        <w:pStyle w:val="48"/>
        <w:numPr>
          <w:ilvl w:val="0"/>
          <w:numId w:val="9"/>
        </w:numPr>
        <w:tabs>
          <w:tab w:val="left" w:pos="1242"/>
        </w:tabs>
        <w:spacing w:line="388" w:lineRule="auto"/>
        <w:ind w:right="116" w:firstLine="0"/>
        <w:rPr>
          <w:sz w:val="7"/>
          <w:highlight w:val="none"/>
        </w:rPr>
      </w:pPr>
      <w:r>
        <w:rPr>
          <w:spacing w:val="-2"/>
          <w:sz w:val="24"/>
          <w:highlight w:val="none"/>
        </w:rPr>
        <w:t xml:space="preserve">合同一方违约，违约方向对方支付违约金，违约金额为中标金额的 </w:t>
      </w:r>
      <w:r>
        <w:rPr>
          <w:sz w:val="24"/>
          <w:highlight w:val="none"/>
        </w:rPr>
        <w:t>10%。乙方违约，</w:t>
      </w:r>
      <w:r>
        <w:rPr>
          <w:spacing w:val="-117"/>
          <w:sz w:val="24"/>
          <w:highlight w:val="none"/>
        </w:rPr>
        <w:t xml:space="preserve"> </w:t>
      </w:r>
      <w:r>
        <w:rPr>
          <w:sz w:val="24"/>
          <w:highlight w:val="none"/>
        </w:rPr>
        <w:t>直接从进度款或履约保金中扣除；甲方违约，从合同款项中扣除。</w:t>
      </w:r>
    </w:p>
    <w:p>
      <w:pPr>
        <w:pStyle w:val="48"/>
        <w:numPr>
          <w:ilvl w:val="0"/>
          <w:numId w:val="9"/>
        </w:numPr>
        <w:tabs>
          <w:tab w:val="left" w:pos="1302"/>
        </w:tabs>
        <w:spacing w:before="66" w:line="388" w:lineRule="auto"/>
        <w:ind w:left="220" w:right="263" w:firstLine="480"/>
        <w:rPr>
          <w:sz w:val="24"/>
          <w:highlight w:val="none"/>
        </w:rPr>
      </w:pPr>
      <w:r>
        <w:rPr>
          <w:spacing w:val="-1"/>
          <w:sz w:val="24"/>
          <w:highlight w:val="none"/>
        </w:rPr>
        <w:t>乙方给用户造成的实际损失高于违约金的，乙方应给用户对高出违约金的部分予以</w:t>
      </w:r>
      <w:r>
        <w:rPr>
          <w:sz w:val="24"/>
          <w:highlight w:val="none"/>
        </w:rPr>
        <w:t>赔偿。</w:t>
      </w:r>
    </w:p>
    <w:p>
      <w:pPr>
        <w:pStyle w:val="48"/>
        <w:numPr>
          <w:ilvl w:val="0"/>
          <w:numId w:val="9"/>
        </w:numPr>
        <w:tabs>
          <w:tab w:val="left" w:pos="1302"/>
        </w:tabs>
        <w:spacing w:before="8" w:line="388" w:lineRule="auto"/>
        <w:ind w:left="220" w:right="263" w:firstLine="480"/>
        <w:rPr>
          <w:sz w:val="24"/>
          <w:highlight w:val="none"/>
        </w:rPr>
      </w:pPr>
      <w:r>
        <w:rPr>
          <w:spacing w:val="-1"/>
          <w:sz w:val="24"/>
          <w:highlight w:val="none"/>
        </w:rPr>
        <w:t>乙方迟延履行合同、不完全履行合同或提供的服务不符合</w:t>
      </w:r>
      <w:r>
        <w:rPr>
          <w:rFonts w:hint="eastAsia"/>
          <w:spacing w:val="-1"/>
          <w:sz w:val="24"/>
          <w:highlight w:val="none"/>
          <w:lang w:val="en-US" w:eastAsia="zh-CN"/>
        </w:rPr>
        <w:t>招标文件</w:t>
      </w:r>
      <w:r>
        <w:rPr>
          <w:spacing w:val="-1"/>
          <w:sz w:val="24"/>
          <w:highlight w:val="none"/>
        </w:rPr>
        <w:t>的要求，除支付</w:t>
      </w:r>
      <w:r>
        <w:rPr>
          <w:sz w:val="24"/>
          <w:highlight w:val="none"/>
        </w:rPr>
        <w:t>违约金外，仍应实际履行合同或重新提供符合要求的服务。</w:t>
      </w:r>
    </w:p>
    <w:p>
      <w:pPr>
        <w:pStyle w:val="48"/>
        <w:numPr>
          <w:ilvl w:val="0"/>
          <w:numId w:val="9"/>
        </w:numPr>
        <w:tabs>
          <w:tab w:val="left" w:pos="1302"/>
        </w:tabs>
        <w:spacing w:before="4"/>
        <w:ind w:left="1301" w:hanging="602"/>
        <w:rPr>
          <w:sz w:val="24"/>
          <w:highlight w:val="none"/>
        </w:rPr>
      </w:pPr>
      <w:r>
        <w:rPr>
          <w:sz w:val="24"/>
          <w:highlight w:val="none"/>
        </w:rPr>
        <w:t>由于乙方原因造成的延期，每延期一天，需支付甲方损失为合同总价款的 1‰。</w:t>
      </w:r>
    </w:p>
    <w:p>
      <w:pPr>
        <w:pStyle w:val="48"/>
        <w:numPr>
          <w:ilvl w:val="0"/>
          <w:numId w:val="9"/>
        </w:numPr>
        <w:tabs>
          <w:tab w:val="left" w:pos="1302"/>
        </w:tabs>
        <w:spacing w:before="194"/>
        <w:ind w:left="1301" w:hanging="602"/>
        <w:rPr>
          <w:sz w:val="24"/>
          <w:highlight w:val="none"/>
        </w:rPr>
      </w:pPr>
      <w:r>
        <w:rPr>
          <w:sz w:val="24"/>
          <w:highlight w:val="none"/>
        </w:rPr>
        <w:t>甲方和乙方若需签订补充协议，补充协议与该合同具有同等法律效力。</w:t>
      </w:r>
    </w:p>
    <w:p>
      <w:pPr>
        <w:pStyle w:val="48"/>
        <w:numPr>
          <w:ilvl w:val="0"/>
          <w:numId w:val="9"/>
        </w:numPr>
        <w:tabs>
          <w:tab w:val="left" w:pos="1302"/>
        </w:tabs>
        <w:spacing w:before="194"/>
        <w:ind w:left="1301" w:hanging="602"/>
        <w:jc w:val="both"/>
        <w:rPr>
          <w:sz w:val="24"/>
          <w:highlight w:val="none"/>
        </w:rPr>
      </w:pPr>
      <w:r>
        <w:rPr>
          <w:sz w:val="24"/>
          <w:highlight w:val="none"/>
        </w:rPr>
        <w:t>其它未尽事宜，以《中华人民共和国合同法》规定为准。</w:t>
      </w:r>
    </w:p>
    <w:p>
      <w:pPr>
        <w:pStyle w:val="48"/>
        <w:numPr>
          <w:ilvl w:val="0"/>
          <w:numId w:val="0"/>
        </w:numPr>
        <w:tabs>
          <w:tab w:val="left" w:pos="1302"/>
        </w:tabs>
        <w:spacing w:before="194"/>
        <w:ind w:left="699" w:leftChars="0"/>
        <w:jc w:val="both"/>
        <w:rPr>
          <w:sz w:val="24"/>
          <w:highlight w:val="none"/>
        </w:rPr>
      </w:pPr>
      <w:r>
        <w:rPr>
          <w:sz w:val="24"/>
          <w:highlight w:val="none"/>
        </w:rPr>
        <w:t>九、合同生效及其它</w:t>
      </w:r>
    </w:p>
    <w:p>
      <w:pPr>
        <w:pStyle w:val="48"/>
        <w:numPr>
          <w:ilvl w:val="0"/>
          <w:numId w:val="10"/>
        </w:numPr>
        <w:tabs>
          <w:tab w:val="left" w:pos="1302"/>
        </w:tabs>
        <w:spacing w:before="197" w:line="388" w:lineRule="auto"/>
        <w:ind w:right="236" w:firstLine="480"/>
        <w:jc w:val="both"/>
        <w:rPr>
          <w:sz w:val="24"/>
          <w:highlight w:val="none"/>
        </w:rPr>
      </w:pPr>
      <w:r>
        <w:rPr>
          <w:sz w:val="24"/>
          <w:highlight w:val="none"/>
        </w:rPr>
        <w:t>合同签订后供需双方即直接产生权利与义务的关系，合同执行过程中出现的问题应</w:t>
      </w:r>
      <w:r>
        <w:rPr>
          <w:spacing w:val="-3"/>
          <w:sz w:val="24"/>
          <w:highlight w:val="none"/>
        </w:rPr>
        <w:t>按照《合同法》的规定办理；在合同履行过程中，双方如有争议，经协商无效，任何一方可向</w:t>
      </w:r>
      <w:r>
        <w:rPr>
          <w:sz w:val="24"/>
          <w:highlight w:val="none"/>
        </w:rPr>
        <w:t>需方所在地人民法院提起诉讼。</w:t>
      </w:r>
    </w:p>
    <w:p>
      <w:pPr>
        <w:pStyle w:val="48"/>
        <w:numPr>
          <w:ilvl w:val="0"/>
          <w:numId w:val="10"/>
        </w:numPr>
        <w:tabs>
          <w:tab w:val="left" w:pos="1302"/>
        </w:tabs>
        <w:spacing w:before="6" w:line="391" w:lineRule="auto"/>
        <w:ind w:right="263" w:firstLine="480"/>
        <w:rPr>
          <w:sz w:val="24"/>
          <w:highlight w:val="none"/>
        </w:rPr>
      </w:pPr>
      <w:r>
        <w:rPr>
          <w:spacing w:val="-1"/>
          <w:sz w:val="24"/>
          <w:highlight w:val="none"/>
        </w:rPr>
        <w:t>合同在执行过程中出现的未尽事宜，双方在不违背本合同和</w:t>
      </w:r>
      <w:r>
        <w:rPr>
          <w:rFonts w:hint="eastAsia"/>
          <w:spacing w:val="-1"/>
          <w:sz w:val="24"/>
          <w:highlight w:val="none"/>
          <w:lang w:eastAsia="zh-CN"/>
        </w:rPr>
        <w:t>招标文件</w:t>
      </w:r>
      <w:r>
        <w:rPr>
          <w:spacing w:val="-1"/>
          <w:sz w:val="24"/>
          <w:highlight w:val="none"/>
        </w:rPr>
        <w:t>的原则下协商</w:t>
      </w:r>
      <w:r>
        <w:rPr>
          <w:sz w:val="24"/>
          <w:highlight w:val="none"/>
        </w:rPr>
        <w:t>解决，协商结果以书面形式盖章记录在案，作为本合同的附件，与本合同具有同等效力。</w:t>
      </w:r>
    </w:p>
    <w:p>
      <w:pPr>
        <w:tabs>
          <w:tab w:val="left" w:pos="4720"/>
        </w:tabs>
        <w:spacing w:before="15"/>
        <w:ind w:left="940"/>
        <w:rPr>
          <w:sz w:val="24"/>
          <w:highlight w:val="none"/>
        </w:rPr>
      </w:pPr>
      <w:r>
        <w:rPr>
          <w:sz w:val="24"/>
          <w:highlight w:val="none"/>
        </w:rPr>
        <w:t>甲</w:t>
      </w:r>
      <w:r>
        <w:rPr>
          <w:spacing w:val="179"/>
          <w:sz w:val="24"/>
          <w:highlight w:val="none"/>
        </w:rPr>
        <w:t xml:space="preserve"> </w:t>
      </w:r>
      <w:r>
        <w:rPr>
          <w:sz w:val="24"/>
          <w:highlight w:val="none"/>
        </w:rPr>
        <w:t>方（公章）：</w:t>
      </w:r>
      <w:r>
        <w:rPr>
          <w:sz w:val="24"/>
          <w:highlight w:val="none"/>
        </w:rPr>
        <w:tab/>
      </w:r>
      <w:r>
        <w:rPr>
          <w:rFonts w:hint="eastAsia"/>
          <w:sz w:val="24"/>
          <w:highlight w:val="none"/>
          <w:lang w:val="en-US" w:eastAsia="zh-CN"/>
        </w:rPr>
        <w:t xml:space="preserve"> </w:t>
      </w:r>
      <w:r>
        <w:rPr>
          <w:sz w:val="24"/>
          <w:highlight w:val="none"/>
        </w:rPr>
        <w:t>乙</w:t>
      </w:r>
      <w:r>
        <w:rPr>
          <w:spacing w:val="180"/>
          <w:sz w:val="24"/>
          <w:highlight w:val="none"/>
        </w:rPr>
        <w:t xml:space="preserve"> </w:t>
      </w:r>
      <w:r>
        <w:rPr>
          <w:sz w:val="24"/>
          <w:highlight w:val="none"/>
        </w:rPr>
        <w:t>方（公章）：</w:t>
      </w:r>
    </w:p>
    <w:p>
      <w:pPr>
        <w:tabs>
          <w:tab w:val="left" w:pos="4500"/>
        </w:tabs>
        <w:spacing w:before="214" w:line="408" w:lineRule="auto"/>
        <w:ind w:left="779" w:right="1523"/>
        <w:rPr>
          <w:sz w:val="24"/>
          <w:highlight w:val="none"/>
        </w:rPr>
      </w:pPr>
      <w:r>
        <w:rPr>
          <w:sz w:val="24"/>
          <w:highlight w:val="none"/>
        </w:rPr>
        <w:t>法定代表人或授权代理人：（签字）</w:t>
      </w:r>
      <w:r>
        <w:rPr>
          <w:spacing w:val="86"/>
          <w:sz w:val="24"/>
          <w:highlight w:val="none"/>
        </w:rPr>
        <w:t xml:space="preserve"> </w:t>
      </w:r>
      <w:r>
        <w:rPr>
          <w:sz w:val="24"/>
          <w:highlight w:val="none"/>
        </w:rPr>
        <w:t>法定代表人或授权代理人：（签字）</w:t>
      </w:r>
      <w:r>
        <w:rPr>
          <w:spacing w:val="-117"/>
          <w:sz w:val="24"/>
          <w:highlight w:val="none"/>
        </w:rPr>
        <w:t xml:space="preserve"> </w:t>
      </w:r>
      <w:r>
        <w:rPr>
          <w:sz w:val="24"/>
          <w:highlight w:val="none"/>
        </w:rPr>
        <w:t>开户单位：</w:t>
      </w:r>
      <w:r>
        <w:rPr>
          <w:rFonts w:hint="eastAsia"/>
          <w:sz w:val="24"/>
          <w:highlight w:val="none"/>
        </w:rPr>
        <w:tab/>
      </w:r>
      <w:r>
        <w:rPr>
          <w:rFonts w:hint="eastAsia"/>
          <w:sz w:val="24"/>
          <w:highlight w:val="none"/>
          <w:lang w:val="en-US" w:eastAsia="zh-CN"/>
        </w:rPr>
        <w:t xml:space="preserve">   </w:t>
      </w:r>
      <w:r>
        <w:rPr>
          <w:sz w:val="24"/>
          <w:highlight w:val="none"/>
        </w:rPr>
        <w:t>开户单位：</w:t>
      </w:r>
    </w:p>
    <w:p>
      <w:pPr>
        <w:tabs>
          <w:tab w:val="left" w:pos="4600"/>
        </w:tabs>
        <w:spacing w:line="360" w:lineRule="auto"/>
        <w:ind w:left="697"/>
        <w:rPr>
          <w:sz w:val="24"/>
          <w:highlight w:val="none"/>
        </w:rPr>
      </w:pPr>
      <w:r>
        <w:rPr>
          <w:sz w:val="24"/>
          <w:highlight w:val="none"/>
        </w:rPr>
        <w:t>开户银行：</w:t>
      </w:r>
      <w:r>
        <w:rPr>
          <w:rFonts w:hint="eastAsia"/>
          <w:sz w:val="24"/>
          <w:highlight w:val="none"/>
        </w:rPr>
        <w:tab/>
      </w:r>
      <w:r>
        <w:rPr>
          <w:rFonts w:hint="eastAsia"/>
          <w:sz w:val="24"/>
          <w:highlight w:val="none"/>
          <w:lang w:val="en-US" w:eastAsia="zh-CN"/>
        </w:rPr>
        <w:t xml:space="preserve">  </w:t>
      </w:r>
      <w:r>
        <w:rPr>
          <w:sz w:val="24"/>
          <w:highlight w:val="none"/>
        </w:rPr>
        <w:t>开户银行：</w:t>
      </w:r>
    </w:p>
    <w:p>
      <w:pPr>
        <w:tabs>
          <w:tab w:val="left" w:pos="4600"/>
        </w:tabs>
        <w:spacing w:line="360" w:lineRule="auto"/>
        <w:ind w:left="697"/>
        <w:rPr>
          <w:sz w:val="24"/>
          <w:highlight w:val="none"/>
        </w:rPr>
      </w:pPr>
      <w:r>
        <w:rPr>
          <w:sz w:val="24"/>
          <w:highlight w:val="none"/>
        </w:rPr>
        <w:t>帐 号：</w:t>
      </w:r>
      <w:r>
        <w:rPr>
          <w:sz w:val="24"/>
          <w:highlight w:val="none"/>
        </w:rPr>
        <w:tab/>
      </w:r>
      <w:r>
        <w:rPr>
          <w:rFonts w:hint="eastAsia"/>
          <w:sz w:val="24"/>
          <w:highlight w:val="none"/>
          <w:lang w:val="en-US" w:eastAsia="zh-CN"/>
        </w:rPr>
        <w:t xml:space="preserve">  </w:t>
      </w:r>
      <w:r>
        <w:rPr>
          <w:sz w:val="24"/>
          <w:highlight w:val="none"/>
        </w:rPr>
        <w:t>帐 号：</w:t>
      </w:r>
    </w:p>
    <w:p>
      <w:pPr>
        <w:tabs>
          <w:tab w:val="left" w:pos="4600"/>
        </w:tabs>
        <w:spacing w:line="360" w:lineRule="auto"/>
        <w:ind w:left="697"/>
        <w:rPr>
          <w:sz w:val="24"/>
          <w:highlight w:val="none"/>
        </w:rPr>
      </w:pPr>
      <w:r>
        <w:rPr>
          <w:sz w:val="24"/>
          <w:highlight w:val="none"/>
        </w:rPr>
        <w:t>地 址：</w:t>
      </w:r>
      <w:r>
        <w:rPr>
          <w:sz w:val="24"/>
          <w:highlight w:val="none"/>
        </w:rPr>
        <w:tab/>
      </w:r>
      <w:r>
        <w:rPr>
          <w:rFonts w:hint="eastAsia"/>
          <w:sz w:val="24"/>
          <w:highlight w:val="none"/>
          <w:lang w:val="en-US" w:eastAsia="zh-CN"/>
        </w:rPr>
        <w:t xml:space="preserve">  </w:t>
      </w:r>
      <w:r>
        <w:rPr>
          <w:sz w:val="24"/>
          <w:highlight w:val="none"/>
        </w:rPr>
        <w:t>地 址：</w:t>
      </w:r>
    </w:p>
    <w:p>
      <w:pPr>
        <w:tabs>
          <w:tab w:val="left" w:pos="4600"/>
        </w:tabs>
        <w:spacing w:line="360" w:lineRule="auto"/>
        <w:ind w:left="697"/>
        <w:rPr>
          <w:sz w:val="24"/>
          <w:highlight w:val="none"/>
        </w:rPr>
      </w:pPr>
      <w:r>
        <w:rPr>
          <w:sz w:val="24"/>
          <w:highlight w:val="none"/>
        </w:rPr>
        <w:t>电 话：</w:t>
      </w:r>
      <w:r>
        <w:rPr>
          <w:sz w:val="24"/>
          <w:highlight w:val="none"/>
        </w:rPr>
        <w:tab/>
      </w:r>
      <w:r>
        <w:rPr>
          <w:rFonts w:hint="eastAsia"/>
          <w:sz w:val="24"/>
          <w:highlight w:val="none"/>
          <w:lang w:val="en-US" w:eastAsia="zh-CN"/>
        </w:rPr>
        <w:t xml:space="preserve">  </w:t>
      </w:r>
      <w:r>
        <w:rPr>
          <w:sz w:val="24"/>
          <w:highlight w:val="none"/>
        </w:rPr>
        <w:t>电 话：</w:t>
      </w:r>
    </w:p>
    <w:p>
      <w:pPr>
        <w:tabs>
          <w:tab w:val="left" w:pos="4480"/>
        </w:tabs>
        <w:spacing w:before="214" w:line="360" w:lineRule="auto"/>
        <w:ind w:left="697"/>
        <w:rPr>
          <w:sz w:val="24"/>
          <w:highlight w:val="none"/>
        </w:rPr>
      </w:pPr>
      <w:r>
        <w:rPr>
          <w:sz w:val="24"/>
          <w:highlight w:val="none"/>
        </w:rPr>
        <w:t>签订时间：</w:t>
      </w:r>
      <w:r>
        <w:rPr>
          <w:sz w:val="24"/>
          <w:highlight w:val="none"/>
        </w:rPr>
        <w:tab/>
      </w:r>
      <w:r>
        <w:rPr>
          <w:rFonts w:hint="eastAsia"/>
          <w:sz w:val="24"/>
          <w:highlight w:val="none"/>
          <w:lang w:val="en-US" w:eastAsia="zh-CN"/>
        </w:rPr>
        <w:t xml:space="preserve">   </w:t>
      </w:r>
      <w:r>
        <w:rPr>
          <w:sz w:val="24"/>
          <w:highlight w:val="none"/>
        </w:rPr>
        <w:t>签订时间：</w:t>
      </w:r>
    </w:p>
    <w:p>
      <w:pPr>
        <w:jc w:val="both"/>
        <w:rPr>
          <w:sz w:val="24"/>
          <w:highlight w:val="none"/>
        </w:rPr>
        <w:sectPr>
          <w:headerReference r:id="rId5" w:type="default"/>
          <w:footerReference r:id="rId6" w:type="default"/>
          <w:pgSz w:w="11910" w:h="16840"/>
          <w:pgMar w:top="1320" w:right="840" w:bottom="1000" w:left="860" w:header="1131" w:footer="805" w:gutter="0"/>
          <w:cols w:space="720" w:num="1"/>
        </w:sectPr>
      </w:pPr>
    </w:p>
    <w:p>
      <w:pPr>
        <w:pStyle w:val="4"/>
        <w:numPr>
          <w:ilvl w:val="0"/>
          <w:numId w:val="0"/>
        </w:numPr>
        <w:spacing w:before="120" w:after="120" w:line="480" w:lineRule="auto"/>
        <w:jc w:val="center"/>
        <w:rPr>
          <w:rFonts w:ascii="宋体" w:hAnsi="宋体" w:cs="宋体"/>
          <w:sz w:val="40"/>
          <w:szCs w:val="52"/>
        </w:rPr>
      </w:pPr>
      <w:r>
        <w:rPr>
          <w:rFonts w:hint="eastAsia" w:ascii="宋体" w:hAnsi="宋体" w:cs="宋体"/>
          <w:sz w:val="40"/>
          <w:szCs w:val="52"/>
        </w:rPr>
        <w:t xml:space="preserve">第五章 </w:t>
      </w:r>
      <w:bookmarkStart w:id="288" w:name="_Toc237255770"/>
      <w:bookmarkEnd w:id="288"/>
      <w:bookmarkStart w:id="289" w:name="_Toc237256717"/>
      <w:bookmarkEnd w:id="289"/>
      <w:bookmarkStart w:id="290" w:name="_Toc237256024"/>
      <w:bookmarkEnd w:id="290"/>
      <w:bookmarkStart w:id="291" w:name="_Toc237256184"/>
      <w:bookmarkEnd w:id="291"/>
      <w:bookmarkStart w:id="292" w:name="_Toc237255847"/>
      <w:bookmarkEnd w:id="292"/>
      <w:bookmarkStart w:id="293" w:name="_Toc237256361"/>
      <w:bookmarkEnd w:id="293"/>
      <w:bookmarkStart w:id="294" w:name="_Toc237323344"/>
      <w:bookmarkEnd w:id="294"/>
      <w:bookmarkStart w:id="295" w:name="_Toc237332414"/>
      <w:bookmarkEnd w:id="295"/>
      <w:bookmarkStart w:id="296" w:name="_Toc237260262"/>
      <w:bookmarkEnd w:id="296"/>
      <w:bookmarkStart w:id="297" w:name="_Toc237256467"/>
      <w:bookmarkEnd w:id="297"/>
      <w:r>
        <w:rPr>
          <w:rFonts w:hint="eastAsia" w:ascii="宋体" w:hAnsi="宋体" w:cs="宋体"/>
          <w:sz w:val="40"/>
          <w:szCs w:val="52"/>
        </w:rPr>
        <w:t>服务内容及技术要求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1、招标范围：唐河县2024年高标准农田示范区建设项目（郭滩镇、黑龙镇）的</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招标控制价编制</w:t>
      </w:r>
      <w:r>
        <w:rPr>
          <w:rFonts w:hint="eastAsia" w:ascii="新宋体" w:hAnsi="新宋体" w:eastAsia="新宋体" w:cs="新宋体"/>
          <w:color w:val="000000" w:themeColor="text1"/>
          <w:kern w:val="0"/>
          <w:sz w:val="28"/>
          <w:szCs w:val="28"/>
          <w14:textFill>
            <w14:solidFill>
              <w14:schemeClr w14:val="tx1"/>
            </w14:solidFill>
          </w14:textFill>
        </w:rPr>
        <w:t>服务；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服务期限</w:t>
      </w:r>
      <w:r>
        <w:rPr>
          <w:rFonts w:hint="eastAsia" w:ascii="新宋体" w:hAnsi="新宋体" w:eastAsia="新宋体" w:cs="新宋体"/>
          <w:color w:val="000000" w:themeColor="text1"/>
          <w:kern w:val="0"/>
          <w:sz w:val="28"/>
          <w:szCs w:val="28"/>
          <w14:textFill>
            <w14:solidFill>
              <w14:schemeClr w14:val="tx1"/>
            </w14:solidFill>
          </w14:textFill>
        </w:rPr>
        <w:t>：合同签订后20日历天</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完成编制任务</w:t>
      </w:r>
      <w:r>
        <w:rPr>
          <w:rFonts w:hint="eastAsia" w:ascii="新宋体" w:hAnsi="新宋体" w:eastAsia="新宋体" w:cs="新宋体"/>
          <w:color w:val="000000" w:themeColor="text1"/>
          <w:kern w:val="0"/>
          <w:sz w:val="28"/>
          <w:szCs w:val="28"/>
          <w14:textFill>
            <w14:solidFill>
              <w14:schemeClr w14:val="tx1"/>
            </w14:solidFill>
          </w14:textFill>
        </w:rPr>
        <w:t>；</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3、质量要求：合格，符合国家规范要求；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4、标段划分：本项目共划分为</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三</w:t>
      </w:r>
      <w:r>
        <w:rPr>
          <w:rFonts w:hint="eastAsia" w:ascii="新宋体" w:hAnsi="新宋体" w:eastAsia="新宋体" w:cs="新宋体"/>
          <w:color w:val="000000" w:themeColor="text1"/>
          <w:kern w:val="0"/>
          <w:sz w:val="28"/>
          <w:szCs w:val="28"/>
          <w14:textFill>
            <w14:solidFill>
              <w14:schemeClr w14:val="tx1"/>
            </w14:solidFill>
          </w14:textFill>
        </w:rPr>
        <w:t>个标段</w:t>
      </w:r>
    </w:p>
    <w:p>
      <w:pPr>
        <w:rPr>
          <w:rFonts w:hint="eastAsia"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一标段：唐河县2024年郭滩镇2.0万亩高标准农田示范区建设项目勘测设计；</w:t>
      </w:r>
    </w:p>
    <w:p>
      <w:pPr>
        <w:rPr>
          <w:rFonts w:hint="eastAsia"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二标段：唐河县2024年黑龙镇1.0万亩高标准农田示范区建设项目勘测设计；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三标段：唐河县2024年高标准农田示范区建设项目（郭滩镇、</w:t>
      </w:r>
      <w:r>
        <w:rPr>
          <w:rFonts w:hint="eastAsia" w:ascii="新宋体" w:hAnsi="新宋体" w:eastAsia="新宋体" w:cs="新宋体"/>
          <w:color w:val="000000" w:themeColor="text1"/>
          <w:kern w:val="0"/>
          <w:sz w:val="28"/>
          <w:szCs w:val="28"/>
          <w:lang w:eastAsia="zh-CN"/>
          <w14:textFill>
            <w14:solidFill>
              <w14:schemeClr w14:val="tx1"/>
            </w14:solidFill>
          </w14:textFill>
        </w:rPr>
        <w:t>黑龙镇</w:t>
      </w:r>
      <w:r>
        <w:rPr>
          <w:rFonts w:hint="eastAsia" w:ascii="新宋体" w:hAnsi="新宋体" w:eastAsia="新宋体" w:cs="新宋体"/>
          <w:color w:val="000000" w:themeColor="text1"/>
          <w:kern w:val="0"/>
          <w:sz w:val="28"/>
          <w:szCs w:val="28"/>
          <w14:textFill>
            <w14:solidFill>
              <w14:schemeClr w14:val="tx1"/>
            </w14:solidFill>
          </w14:textFill>
        </w:rPr>
        <w:t>）招标控制价编制；</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5、技术要求：按照有关法律、法规、依据河南省现行工程量计算规范及预算定额对施工图进行编制。</w:t>
      </w:r>
    </w:p>
    <w:p>
      <w:pPr>
        <w:rPr>
          <w:rFonts w:hint="eastAsia" w:ascii="新宋体" w:hAnsi="新宋体" w:eastAsia="新宋体" w:cs="新宋体"/>
          <w:color w:val="000000" w:themeColor="text1"/>
          <w:kern w:val="0"/>
          <w:sz w:val="28"/>
          <w:szCs w:val="28"/>
          <w:lang w:val="en-US" w:eastAsia="zh-CN"/>
          <w14:textFill>
            <w14:solidFill>
              <w14:schemeClr w14:val="tx1"/>
            </w14:solidFill>
          </w14:textFill>
        </w:rPr>
      </w:pPr>
      <w:r>
        <w:rPr>
          <w:rFonts w:hint="eastAsia" w:ascii="新宋体" w:hAnsi="新宋体" w:eastAsia="新宋体" w:cs="新宋体"/>
          <w:color w:val="000000" w:themeColor="text1"/>
          <w:kern w:val="0"/>
          <w:sz w:val="28"/>
          <w:szCs w:val="28"/>
          <w:lang w:val="en-US" w:eastAsia="zh-CN"/>
          <w14:textFill>
            <w14:solidFill>
              <w14:schemeClr w14:val="tx1"/>
            </w14:solidFill>
          </w14:textFill>
        </w:rPr>
        <w:t>6、其他要求：在招标阶段提供广联达软件版工程量清单及控制和编制服务。</w:t>
      </w:r>
    </w:p>
    <w:p>
      <w:pPr>
        <w:spacing w:line="400" w:lineRule="exact"/>
        <w:jc w:val="left"/>
        <w:rPr>
          <w:rFonts w:ascii="宋体" w:hAnsi="宋体" w:cs="宋体"/>
          <w:color w:val="000000" w:themeColor="text1"/>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bookmarkStart w:id="298" w:name="_Toc762"/>
      <w:r>
        <w:rPr>
          <w:rFonts w:hint="eastAsia" w:ascii="宋体" w:hAnsi="宋体" w:cs="宋体"/>
          <w:b/>
          <w:bCs/>
          <w:color w:val="000000" w:themeColor="text1"/>
          <w:sz w:val="40"/>
          <w:szCs w:val="52"/>
          <w14:textFill>
            <w14:solidFill>
              <w14:schemeClr w14:val="tx1"/>
            </w14:solidFill>
          </w14:textFill>
        </w:rPr>
        <w:br w:type="page"/>
      </w:r>
    </w:p>
    <w:p>
      <w:pPr>
        <w:pStyle w:val="4"/>
        <w:numPr>
          <w:ilvl w:val="0"/>
          <w:numId w:val="0"/>
        </w:numPr>
        <w:spacing w:before="120" w:after="120" w:line="360" w:lineRule="auto"/>
        <w:jc w:val="center"/>
        <w:rPr>
          <w:rFonts w:ascii="宋体" w:hAnsi="宋体" w:cs="宋体"/>
          <w:color w:val="000000" w:themeColor="text1"/>
          <w:sz w:val="40"/>
          <w:szCs w:val="52"/>
          <w14:textFill>
            <w14:solidFill>
              <w14:schemeClr w14:val="tx1"/>
            </w14:solidFill>
          </w14:textFill>
        </w:rPr>
      </w:pPr>
      <w:bookmarkStart w:id="299" w:name="_Toc21761"/>
      <w:r>
        <w:rPr>
          <w:rFonts w:hint="eastAsia" w:ascii="宋体" w:hAnsi="宋体" w:cs="宋体"/>
          <w:color w:val="000000" w:themeColor="text1"/>
          <w:sz w:val="40"/>
          <w:szCs w:val="52"/>
          <w14:textFill>
            <w14:solidFill>
              <w14:schemeClr w14:val="tx1"/>
            </w14:solidFill>
          </w14:textFill>
        </w:rPr>
        <w:t>第六章  投标文件格式</w:t>
      </w:r>
      <w:bookmarkEnd w:id="298"/>
      <w:bookmarkEnd w:id="299"/>
    </w:p>
    <w:p>
      <w:pPr>
        <w:spacing w:line="360" w:lineRule="auto"/>
        <w:jc w:val="righ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 xml:space="preserve">  </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（项目名称/标段）</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（项目编号）</w:t>
      </w: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b/>
          <w:bCs/>
          <w:color w:val="000000" w:themeColor="text1"/>
          <w:sz w:val="52"/>
          <w14:textFill>
            <w14:solidFill>
              <w14:schemeClr w14:val="tx1"/>
            </w14:solidFill>
          </w14:textFill>
        </w:rPr>
      </w:pPr>
      <w:r>
        <w:rPr>
          <w:rFonts w:hint="eastAsia" w:cs="华文仿宋" w:asciiTheme="minorEastAsia" w:hAnsiTheme="minorEastAsia" w:eastAsiaTheme="minorEastAsia"/>
          <w:b/>
          <w:bCs/>
          <w:color w:val="000000" w:themeColor="text1"/>
          <w:sz w:val="52"/>
          <w14:textFill>
            <w14:solidFill>
              <w14:schemeClr w14:val="tx1"/>
            </w14:solidFill>
          </w14:textFill>
        </w:rPr>
        <w:t>投 标 文 件</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投标人：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（电子签章）</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法定代表人或其授权委托人：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（电子签名或签字）</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年</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月</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日</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6"/>
          <w:szCs w:val="36"/>
          <w14:textFill>
            <w14:solidFill>
              <w14:schemeClr w14:val="tx1"/>
            </w14:solidFill>
          </w14:textFill>
        </w:rPr>
      </w:pPr>
      <w:r>
        <w:rPr>
          <w:rFonts w:hint="eastAsia" w:cs="宋体" w:asciiTheme="minorEastAsia" w:hAnsiTheme="minorEastAsia" w:eastAsiaTheme="minorEastAsia"/>
          <w:b/>
          <w:color w:val="000000" w:themeColor="text1"/>
          <w:kern w:val="0"/>
          <w:sz w:val="36"/>
          <w:szCs w:val="36"/>
          <w14:textFill>
            <w14:solidFill>
              <w14:schemeClr w14:val="tx1"/>
            </w14:solidFill>
          </w14:textFill>
        </w:rPr>
        <w:t>目   录</w:t>
      </w:r>
    </w:p>
    <w:p>
      <w:pPr>
        <w:spacing w:line="600" w:lineRule="exact"/>
        <w:ind w:firstLine="960" w:firstLineChars="400"/>
        <w:jc w:val="center"/>
        <w:rPr>
          <w:rFonts w:cs="华文仿宋" w:asciiTheme="minorEastAsia" w:hAnsiTheme="minorEastAsia" w:eastAsiaTheme="minorEastAsia"/>
          <w:color w:val="000000" w:themeColor="text1"/>
          <w:sz w:val="24"/>
          <w14:textFill>
            <w14:solidFill>
              <w14:schemeClr w14:val="tx1"/>
            </w14:solidFill>
          </w14:textFill>
        </w:rPr>
      </w:pPr>
      <w:r>
        <w:rPr>
          <w:rFonts w:hint="eastAsia" w:cs="华文仿宋" w:asciiTheme="minorEastAsia" w:hAnsiTheme="minorEastAsia" w:eastAsiaTheme="minorEastAsia"/>
          <w:color w:val="000000" w:themeColor="text1"/>
          <w:sz w:val="24"/>
          <w14:textFill>
            <w14:solidFill>
              <w14:schemeClr w14:val="tx1"/>
            </w14:solidFill>
          </w14:textFill>
        </w:rPr>
        <w:t>（由投标单位自行编制）</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2"/>
          <w:szCs w:val="36"/>
          <w14:textFill>
            <w14:solidFill>
              <w14:schemeClr w14:val="tx1"/>
            </w14:solidFill>
          </w14:textFill>
        </w:rPr>
      </w:pPr>
    </w:p>
    <w:p>
      <w:pPr>
        <w:pStyle w:val="6"/>
        <w:numPr>
          <w:ilvl w:val="2"/>
          <w:numId w:val="0"/>
        </w:numPr>
        <w:autoSpaceDE w:val="0"/>
        <w:autoSpaceDN w:val="0"/>
        <w:adjustRightInd w:val="0"/>
        <w:spacing w:line="200" w:lineRule="exact"/>
        <w:ind w:left="525"/>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br w:type="page"/>
      </w:r>
      <w:bookmarkStart w:id="300" w:name="_Toc24507"/>
      <w:bookmarkStart w:id="301" w:name="_Toc3993"/>
      <w:r>
        <w:rPr>
          <w:rFonts w:hint="eastAsia" w:ascii="宋体" w:hAnsi="宋体" w:eastAsia="宋体" w:cs="宋体"/>
          <w:color w:val="000000" w:themeColor="text1"/>
          <w14:textFill>
            <w14:solidFill>
              <w14:schemeClr w14:val="tx1"/>
            </w14:solidFill>
          </w14:textFill>
        </w:rPr>
        <w:t>一、 投标函</w:t>
      </w:r>
      <w:bookmarkEnd w:id="300"/>
      <w:bookmarkEnd w:id="301"/>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0288" behindDoc="1" locked="0" layoutInCell="0" allowOverlap="1">
                <wp:simplePos x="0" y="0"/>
                <wp:positionH relativeFrom="page">
                  <wp:posOffset>1384935</wp:posOffset>
                </wp:positionH>
                <wp:positionV relativeFrom="paragraph">
                  <wp:posOffset>227965</wp:posOffset>
                </wp:positionV>
                <wp:extent cx="1981835" cy="12700"/>
                <wp:effectExtent l="0" t="0" r="0" b="0"/>
                <wp:wrapNone/>
                <wp:docPr id="1" name="未知"/>
                <wp:cNvGraphicFramePr/>
                <a:graphic xmlns:a="http://schemas.openxmlformats.org/drawingml/2006/main">
                  <a:graphicData uri="http://schemas.microsoft.com/office/word/2010/wordprocessingShape">
                    <wps:wsp>
                      <wps:cNvSpPr/>
                      <wps:spPr>
                        <a:xfrm>
                          <a:off x="0" y="0"/>
                          <a:ext cx="1981835" cy="12700"/>
                        </a:xfrm>
                        <a:custGeom>
                          <a:avLst/>
                          <a:gdLst/>
                          <a:ahLst/>
                          <a:cxnLst/>
                          <a:rect l="0" t="0" r="0" b="0"/>
                          <a:pathLst>
                            <a:path w="3121" h="20">
                              <a:moveTo>
                                <a:pt x="0" y="0"/>
                              </a:moveTo>
                              <a:lnTo>
                                <a:pt x="3120" y="0"/>
                              </a:lnTo>
                            </a:path>
                          </a:pathLst>
                        </a:custGeom>
                        <a:noFill/>
                        <a:ln w="8889" cap="flat" cmpd="sng">
                          <a:solidFill>
                            <a:srgbClr val="000000">
                              <a:alpha val="100000"/>
                            </a:srgbClr>
                          </a:solidFill>
                          <a:prstDash val="solid"/>
                          <a:headEnd type="none" w="med" len="med"/>
                          <a:tailEnd type="none" w="med" len="med"/>
                        </a:ln>
                      </wps:spPr>
                      <wps:bodyPr upright="1"/>
                    </wps:wsp>
                  </a:graphicData>
                </a:graphic>
              </wp:anchor>
            </w:drawing>
          </mc:Choice>
          <mc:Fallback>
            <w:pict>
              <v:shape id="未知" o:spid="_x0000_s1026" o:spt="100" style="position:absolute;left:0pt;margin-left:109.05pt;margin-top:17.95pt;height:1pt;width:156.05pt;mso-position-horizontal-relative:page;z-index:-251656192;mso-width-relative:page;mso-height-relative:page;" filled="f" stroked="t" coordsize="3121,20" o:allowincell="f" o:gfxdata="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7KeiL2QAAAAkBAAAPAAAAAAAAAAEAIAAAACIAAABkcnMvZG93&#10;bnJldi54bWxQSwECFAAUAAAACACHTuJAu6CohzgCAADFBAAADgAAAAAAAAABACAAAAAoAQAAZHJz&#10;L2Uyb0RvYy54bWxQSwUGAAAAAAYABgBZAQAA0gUAAAAA&#10;" path="m0,0l3120,0e">
                <v:fill on="f" focussize="0,0"/>
                <v:stroke weight="0.69992125984252pt" color="#000000" joinstyle="round"/>
                <v:imagedata o:title=""/>
                <o:lock v:ext="edit" aspectratio="f"/>
              </v:shape>
            </w:pict>
          </mc:Fallback>
        </mc:AlternateConten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（招标人全称）</w: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w:t>
      </w:r>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93" w:lineRule="auto"/>
        <w:ind w:left="222" w:righ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 我方已仔细研</w:t>
      </w:r>
      <w:r>
        <w:rPr>
          <w:rFonts w:hint="eastAsia" w:ascii="宋体" w:hAnsi="宋体" w:cs="宋体"/>
          <w:color w:val="000000" w:themeColor="text1"/>
          <w:spacing w:val="1"/>
          <w:kern w:val="0"/>
          <w:sz w:val="24"/>
          <w14:textFill>
            <w14:solidFill>
              <w14:schemeClr w14:val="tx1"/>
            </w14:solidFill>
          </w14:textFill>
        </w:rPr>
        <w:t>究</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r>
        <w:rPr>
          <w:rFonts w:hint="eastAsia" w:ascii="宋体" w:hAnsi="宋体" w:cs="宋体"/>
          <w:color w:val="000000" w:themeColor="text1"/>
          <w:spacing w:val="2"/>
          <w:kern w:val="0"/>
          <w:sz w:val="24"/>
          <w14:textFill>
            <w14:solidFill>
              <w14:schemeClr w14:val="tx1"/>
            </w14:solidFill>
          </w14:textFill>
        </w:rPr>
        <w:t>招</w:t>
      </w: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文</w:t>
      </w:r>
      <w:r>
        <w:rPr>
          <w:rFonts w:hint="eastAsia" w:ascii="宋体" w:hAnsi="宋体" w:cs="宋体"/>
          <w:color w:val="000000" w:themeColor="text1"/>
          <w:kern w:val="0"/>
          <w:sz w:val="24"/>
          <w14:textFill>
            <w14:solidFill>
              <w14:schemeClr w14:val="tx1"/>
            </w14:solidFill>
          </w14:textFill>
        </w:rPr>
        <w:t>件</w:t>
      </w:r>
      <w:r>
        <w:rPr>
          <w:rFonts w:hint="eastAsia" w:ascii="宋体" w:hAnsi="宋体" w:cs="宋体"/>
          <w:color w:val="000000" w:themeColor="text1"/>
          <w:spacing w:val="2"/>
          <w:kern w:val="0"/>
          <w:sz w:val="24"/>
          <w14:textFill>
            <w14:solidFill>
              <w14:schemeClr w14:val="tx1"/>
            </w14:solidFill>
          </w14:textFill>
        </w:rPr>
        <w:t>的全部内容</w:t>
      </w:r>
      <w:r>
        <w:rPr>
          <w:rFonts w:hint="eastAsia" w:ascii="宋体" w:hAnsi="宋体" w:cs="宋体"/>
          <w:color w:val="000000" w:themeColor="text1"/>
          <w:kern w:val="0"/>
          <w:sz w:val="24"/>
          <w14:textFill>
            <w14:solidFill>
              <w14:schemeClr w14:val="tx1"/>
            </w14:solidFill>
          </w14:textFill>
        </w:rPr>
        <w:t xml:space="preserve">，我单位经考察现场并研究上述文件的投标须知、技术规范和其他要求后，我方愿以 </w:t>
      </w:r>
      <w:r>
        <w:rPr>
          <w:rFonts w:hint="eastAsia" w:ascii="宋体" w:hAnsi="宋体" w:cs="宋体"/>
          <w:b/>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元的投标总报价，承担该项目设计任务，</w:t>
      </w:r>
      <w:r>
        <w:rPr>
          <w:rFonts w:hint="eastAsia" w:ascii="宋体" w:hAnsi="宋体" w:cs="宋体"/>
          <w:color w:val="000000" w:themeColor="text1"/>
          <w:sz w:val="24"/>
          <w14:textFill>
            <w14:solidFill>
              <w14:schemeClr w14:val="tx1"/>
            </w14:solidFill>
          </w14:textFill>
        </w:rPr>
        <w:t>以及伴随的施工现场服务。</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2. </w:t>
      </w:r>
      <w:r>
        <w:rPr>
          <w:rFonts w:hint="eastAsia" w:ascii="宋体" w:hAnsi="宋体" w:cs="宋体"/>
          <w:color w:val="000000" w:themeColor="text1"/>
          <w:spacing w:val="2"/>
          <w:kern w:val="0"/>
          <w:sz w:val="24"/>
          <w14:textFill>
            <w14:solidFill>
              <w14:schemeClr w14:val="tx1"/>
            </w14:solidFill>
          </w14:textFill>
        </w:rPr>
        <w:t>如果我方</w:t>
      </w:r>
      <w:r>
        <w:rPr>
          <w:rFonts w:hint="eastAsia" w:ascii="宋体" w:hAnsi="宋体" w:cs="宋体"/>
          <w:color w:val="000000" w:themeColor="text1"/>
          <w:spacing w:val="5"/>
          <w:kern w:val="0"/>
          <w:sz w:val="24"/>
          <w14:textFill>
            <w14:solidFill>
              <w14:schemeClr w14:val="tx1"/>
            </w14:solidFill>
          </w14:textFill>
        </w:rPr>
        <w:t>中</w:t>
      </w:r>
      <w:r>
        <w:rPr>
          <w:rFonts w:hint="eastAsia" w:ascii="宋体" w:hAnsi="宋体" w:cs="宋体"/>
          <w:color w:val="000000" w:themeColor="text1"/>
          <w:spacing w:val="2"/>
          <w:kern w:val="0"/>
          <w:sz w:val="24"/>
          <w14:textFill>
            <w14:solidFill>
              <w14:schemeClr w14:val="tx1"/>
            </w14:solidFill>
          </w14:textFill>
        </w:rPr>
        <w:t>标，</w:t>
      </w:r>
      <w:r>
        <w:rPr>
          <w:rFonts w:hint="eastAsia" w:ascii="宋体" w:hAnsi="宋体" w:cs="宋体"/>
          <w:color w:val="000000" w:themeColor="text1"/>
          <w:spacing w:val="5"/>
          <w:kern w:val="0"/>
          <w:sz w:val="24"/>
          <w14:textFill>
            <w14:solidFill>
              <w14:schemeClr w14:val="tx1"/>
            </w14:solidFill>
          </w14:textFill>
        </w:rPr>
        <w:t>我</w:t>
      </w:r>
      <w:r>
        <w:rPr>
          <w:rFonts w:hint="eastAsia" w:ascii="宋体" w:hAnsi="宋体" w:cs="宋体"/>
          <w:color w:val="000000" w:themeColor="text1"/>
          <w:spacing w:val="2"/>
          <w:kern w:val="0"/>
          <w:sz w:val="24"/>
          <w14:textFill>
            <w14:solidFill>
              <w14:schemeClr w14:val="tx1"/>
            </w14:solidFill>
          </w14:textFill>
        </w:rPr>
        <w:t>方保证在中标通</w:t>
      </w:r>
      <w:r>
        <w:rPr>
          <w:rFonts w:hint="eastAsia" w:ascii="宋体" w:hAnsi="宋体" w:cs="宋体"/>
          <w:color w:val="000000" w:themeColor="text1"/>
          <w:spacing w:val="5"/>
          <w:kern w:val="0"/>
          <w:sz w:val="24"/>
          <w14:textFill>
            <w14:solidFill>
              <w14:schemeClr w14:val="tx1"/>
            </w14:solidFill>
          </w14:textFill>
        </w:rPr>
        <w:t>知</w:t>
      </w:r>
      <w:r>
        <w:rPr>
          <w:rFonts w:hint="eastAsia" w:ascii="宋体" w:hAnsi="宋体" w:cs="宋体"/>
          <w:color w:val="000000" w:themeColor="text1"/>
          <w:spacing w:val="2"/>
          <w:kern w:val="0"/>
          <w:sz w:val="24"/>
          <w14:textFill>
            <w14:solidFill>
              <w14:schemeClr w14:val="tx1"/>
            </w14:solidFill>
          </w14:textFill>
        </w:rPr>
        <w:t>书规定的期限内与你方签订合同协议书，</w:t>
      </w:r>
      <w:r>
        <w:rPr>
          <w:rFonts w:hint="eastAsia" w:ascii="宋体" w:hAnsi="宋体" w:cs="宋体"/>
          <w:color w:val="000000" w:themeColor="text1"/>
          <w:kern w:val="0"/>
          <w:sz w:val="24"/>
          <w14:textFill>
            <w14:solidFill>
              <w14:schemeClr w14:val="tx1"/>
            </w14:solidFill>
          </w14:textFill>
        </w:rPr>
        <w:t>并在设计合同协议书所规定的期限内完成通知要求的设计任务。</w:t>
      </w:r>
    </w:p>
    <w:p>
      <w:pPr>
        <w:autoSpaceDE w:val="0"/>
        <w:autoSpaceDN w:val="0"/>
        <w:adjustRightInd w:val="0"/>
        <w:spacing w:before="40" w:line="281"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 项目负责人姓名</w:t>
      </w:r>
      <w:r>
        <w:rPr>
          <w:rFonts w:hint="eastAsia" w:ascii="宋体" w:hAnsi="宋体" w:cs="宋体"/>
          <w:color w:val="000000" w:themeColor="text1"/>
          <w:spacing w:val="-33"/>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性别</w:t>
      </w:r>
      <w:r>
        <w:rPr>
          <w:rFonts w:hint="eastAsia" w:ascii="宋体" w:hAnsi="宋体" w:cs="宋体"/>
          <w:color w:val="000000" w:themeColor="text1"/>
          <w:spacing w:val="-34"/>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年龄</w:t>
      </w:r>
      <w:r>
        <w:rPr>
          <w:rFonts w:hint="eastAsia" w:ascii="宋体" w:hAnsi="宋体" w:cs="宋体"/>
          <w:color w:val="000000" w:themeColor="text1"/>
          <w:spacing w:val="-34"/>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现任职务</w:t>
      </w:r>
      <w:r>
        <w:rPr>
          <w:rFonts w:hint="eastAsia" w:ascii="宋体" w:hAnsi="宋体" w:cs="宋体"/>
          <w:color w:val="000000" w:themeColor="text1"/>
          <w:spacing w:val="-33"/>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2"/>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职 称：</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before="44"/>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 如果我方中标</w:t>
      </w:r>
      <w:r>
        <w:rPr>
          <w:rFonts w:hint="eastAsia" w:ascii="宋体" w:hAnsi="宋体" w:cs="宋体"/>
          <w:color w:val="000000" w:themeColor="text1"/>
          <w:spacing w:val="-1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我方将按照规定提交履约保证金。</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5. </w:t>
      </w:r>
      <w:r>
        <w:rPr>
          <w:rFonts w:hint="eastAsia" w:ascii="宋体" w:hAnsi="宋体" w:cs="宋体"/>
          <w:color w:val="000000" w:themeColor="text1"/>
          <w:spacing w:val="2"/>
          <w:kern w:val="0"/>
          <w:sz w:val="24"/>
          <w14:textFill>
            <w14:solidFill>
              <w14:schemeClr w14:val="tx1"/>
            </w14:solidFill>
          </w14:textFill>
        </w:rPr>
        <w:t>我方</w:t>
      </w:r>
      <w:r>
        <w:rPr>
          <w:rFonts w:hint="eastAsia" w:ascii="宋体" w:hAnsi="宋体" w:cs="宋体"/>
          <w:color w:val="000000" w:themeColor="text1"/>
          <w:spacing w:val="5"/>
          <w:kern w:val="0"/>
          <w:sz w:val="24"/>
          <w14:textFill>
            <w14:solidFill>
              <w14:schemeClr w14:val="tx1"/>
            </w14:solidFill>
          </w14:textFill>
        </w:rPr>
        <w:t>承</w:t>
      </w:r>
      <w:r>
        <w:rPr>
          <w:rFonts w:hint="eastAsia" w:ascii="宋体" w:hAnsi="宋体" w:cs="宋体"/>
          <w:color w:val="000000" w:themeColor="text1"/>
          <w:spacing w:val="2"/>
          <w:kern w:val="0"/>
          <w:sz w:val="24"/>
          <w14:textFill>
            <w14:solidFill>
              <w14:schemeClr w14:val="tx1"/>
            </w14:solidFill>
          </w14:textFill>
        </w:rPr>
        <w:t>诺在</w:t>
      </w:r>
      <w:r>
        <w:rPr>
          <w:rFonts w:hint="eastAsia" w:ascii="宋体" w:hAnsi="宋体" w:cs="宋体"/>
          <w:color w:val="000000" w:themeColor="text1"/>
          <w:spacing w:val="5"/>
          <w:kern w:val="0"/>
          <w:sz w:val="24"/>
          <w14:textFill>
            <w14:solidFill>
              <w14:schemeClr w14:val="tx1"/>
            </w14:solidFill>
          </w14:textFill>
        </w:rPr>
        <w:t>本</w:t>
      </w:r>
      <w:r>
        <w:rPr>
          <w:rFonts w:hint="eastAsia" w:ascii="宋体" w:hAnsi="宋体" w:cs="宋体"/>
          <w:color w:val="000000" w:themeColor="text1"/>
          <w:spacing w:val="2"/>
          <w:kern w:val="0"/>
          <w:sz w:val="24"/>
          <w14:textFill>
            <w14:solidFill>
              <w14:schemeClr w14:val="tx1"/>
            </w14:solidFill>
          </w14:textFill>
        </w:rPr>
        <w:t>投</w:t>
      </w:r>
      <w:r>
        <w:rPr>
          <w:rFonts w:hint="eastAsia" w:ascii="宋体" w:hAnsi="宋体" w:cs="宋体"/>
          <w:color w:val="000000" w:themeColor="text1"/>
          <w:spacing w:val="5"/>
          <w:kern w:val="0"/>
          <w:sz w:val="24"/>
          <w14:textFill>
            <w14:solidFill>
              <w14:schemeClr w14:val="tx1"/>
            </w14:solidFill>
          </w14:textFill>
        </w:rPr>
        <w:t>标文</w:t>
      </w:r>
      <w:r>
        <w:rPr>
          <w:rFonts w:hint="eastAsia" w:ascii="宋体" w:hAnsi="宋体" w:cs="宋体"/>
          <w:color w:val="000000" w:themeColor="text1"/>
          <w:spacing w:val="2"/>
          <w:kern w:val="0"/>
          <w:sz w:val="24"/>
          <w14:textFill>
            <w14:solidFill>
              <w14:schemeClr w14:val="tx1"/>
            </w14:solidFill>
          </w14:textFill>
        </w:rPr>
        <w:t>件有</w:t>
      </w:r>
      <w:r>
        <w:rPr>
          <w:rFonts w:hint="eastAsia" w:ascii="宋体" w:hAnsi="宋体" w:cs="宋体"/>
          <w:color w:val="000000" w:themeColor="text1"/>
          <w:spacing w:val="5"/>
          <w:kern w:val="0"/>
          <w:sz w:val="24"/>
          <w14:textFill>
            <w14:solidFill>
              <w14:schemeClr w14:val="tx1"/>
            </w14:solidFill>
          </w14:textFill>
        </w:rPr>
        <w:t>效</w:t>
      </w:r>
      <w:r>
        <w:rPr>
          <w:rFonts w:hint="eastAsia" w:ascii="宋体" w:hAnsi="宋体" w:cs="宋体"/>
          <w:color w:val="000000" w:themeColor="text1"/>
          <w:spacing w:val="2"/>
          <w:kern w:val="0"/>
          <w:sz w:val="24"/>
          <w14:textFill>
            <w14:solidFill>
              <w14:schemeClr w14:val="tx1"/>
            </w14:solidFill>
          </w14:textFill>
        </w:rPr>
        <w:t>期内</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本投</w:t>
      </w:r>
      <w:r>
        <w:rPr>
          <w:rFonts w:hint="eastAsia" w:ascii="宋体" w:hAnsi="宋体" w:cs="宋体"/>
          <w:color w:val="000000" w:themeColor="text1"/>
          <w:spacing w:val="7"/>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函对我</w:t>
      </w:r>
      <w:r>
        <w:rPr>
          <w:rFonts w:hint="eastAsia" w:ascii="宋体" w:hAnsi="宋体" w:cs="宋体"/>
          <w:color w:val="000000" w:themeColor="text1"/>
          <w:spacing w:val="5"/>
          <w:kern w:val="0"/>
          <w:sz w:val="24"/>
          <w14:textFill>
            <w14:solidFill>
              <w14:schemeClr w14:val="tx1"/>
            </w14:solidFill>
          </w14:textFill>
        </w:rPr>
        <w:t>方</w:t>
      </w:r>
      <w:r>
        <w:rPr>
          <w:rFonts w:hint="eastAsia" w:ascii="宋体" w:hAnsi="宋体" w:cs="宋体"/>
          <w:color w:val="000000" w:themeColor="text1"/>
          <w:spacing w:val="2"/>
          <w:kern w:val="0"/>
          <w:sz w:val="24"/>
          <w14:textFill>
            <w14:solidFill>
              <w14:schemeClr w14:val="tx1"/>
            </w14:solidFill>
          </w14:textFill>
        </w:rPr>
        <w:t>具有</w:t>
      </w:r>
      <w:r>
        <w:rPr>
          <w:rFonts w:hint="eastAsia" w:ascii="宋体" w:hAnsi="宋体" w:cs="宋体"/>
          <w:color w:val="000000" w:themeColor="text1"/>
          <w:spacing w:val="5"/>
          <w:kern w:val="0"/>
          <w:sz w:val="24"/>
          <w14:textFill>
            <w14:solidFill>
              <w14:schemeClr w14:val="tx1"/>
            </w14:solidFill>
          </w14:textFill>
        </w:rPr>
        <w:t>约</w:t>
      </w:r>
      <w:r>
        <w:rPr>
          <w:rFonts w:hint="eastAsia" w:ascii="宋体" w:hAnsi="宋体" w:cs="宋体"/>
          <w:color w:val="000000" w:themeColor="text1"/>
          <w:spacing w:val="2"/>
          <w:kern w:val="0"/>
          <w:sz w:val="24"/>
          <w14:textFill>
            <w14:solidFill>
              <w14:schemeClr w14:val="tx1"/>
            </w14:solidFill>
          </w14:textFill>
        </w:rPr>
        <w:t>束力</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并随时</w:t>
      </w:r>
      <w:r>
        <w:rPr>
          <w:rFonts w:hint="eastAsia" w:ascii="宋体" w:hAnsi="宋体" w:cs="宋体"/>
          <w:color w:val="000000" w:themeColor="text1"/>
          <w:kern w:val="0"/>
          <w:sz w:val="24"/>
          <w14:textFill>
            <w14:solidFill>
              <w14:schemeClr w14:val="tx1"/>
            </w14:solidFill>
          </w14:textFill>
        </w:rPr>
        <w:t xml:space="preserve">接 </w:t>
      </w:r>
      <w:r>
        <w:rPr>
          <w:rFonts w:hint="eastAsia" w:ascii="宋体" w:hAnsi="宋体" w:cs="宋体"/>
          <w:color w:val="000000" w:themeColor="text1"/>
          <w:spacing w:val="2"/>
          <w:kern w:val="0"/>
          <w:sz w:val="24"/>
          <w14:textFill>
            <w14:solidFill>
              <w14:schemeClr w14:val="tx1"/>
            </w14:solidFill>
          </w14:textFill>
        </w:rPr>
        <w:t>受中标。</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6. 在合同协议书正式签署生效之前，本投标函连同你方的中标通知书将构成我们双方之间共同遵守的文件，对双方具有约束力。</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ascii="宋体" w:hAnsi="宋体" w:cs="宋体"/>
          <w:color w:val="000000" w:themeColor="text1"/>
          <w:spacing w:val="2"/>
          <w:kern w:val="0"/>
          <w:sz w:val="24"/>
          <w14:textFill>
            <w14:solidFill>
              <w14:schemeClr w14:val="tx1"/>
            </w14:solidFill>
          </w14:textFill>
        </w:rPr>
        <w:t>7</w:t>
      </w:r>
      <w:r>
        <w:rPr>
          <w:rFonts w:hint="eastAsia" w:ascii="宋体" w:hAnsi="宋体" w:cs="宋体"/>
          <w:color w:val="000000" w:themeColor="text1"/>
          <w:spacing w:val="2"/>
          <w:kern w:val="0"/>
          <w:sz w:val="24"/>
          <w14:textFill>
            <w14:solidFill>
              <w14:schemeClr w14:val="tx1"/>
            </w14:solidFill>
          </w14:textFill>
        </w:rPr>
        <w:t>．我方完全响应招标文件及补充文件中提出的所有实质性要求。</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spacing w:val="2"/>
          <w:kern w:val="0"/>
          <w:sz w:val="24"/>
          <w14:textFill>
            <w14:solidFill>
              <w14:schemeClr w14:val="tx1"/>
            </w14:solidFill>
          </w14:textFill>
        </w:rPr>
        <w:t>8</w:t>
      </w:r>
      <w:r>
        <w:rPr>
          <w:rFonts w:hint="eastAsia" w:ascii="宋体" w:hAnsi="宋体" w:cs="宋体"/>
          <w:color w:val="000000" w:themeColor="text1"/>
          <w:spacing w:val="2"/>
          <w:kern w:val="0"/>
          <w:sz w:val="24"/>
          <w14:textFill>
            <w14:solidFill>
              <w14:schemeClr w14:val="tx1"/>
            </w14:solidFill>
          </w14:textFill>
        </w:rPr>
        <w:t>．我方理解并完全同意在我方未中标时贵方有可能采用我方投标文件中的部分内容。</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投标人名称：（ 电子签章）                       </w:t>
      </w: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p>
    <w:p>
      <w:pPr>
        <w:autoSpaceDE w:val="0"/>
        <w:autoSpaceDN w:val="0"/>
        <w:adjustRightInd w:val="0"/>
        <w:spacing w:line="293" w:lineRule="auto"/>
        <w:ind w:left="222" w:right="147" w:firstLine="480"/>
        <w:jc w:val="right"/>
        <w:rPr>
          <w:rFonts w:ascii="华文仿宋" w:hAnsi="华文仿宋" w:eastAsia="华文仿宋" w:cs="华文仿宋"/>
          <w:color w:val="000000" w:themeColor="text1"/>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法定代表人或授权代表人（电子签名或签字）：    </w:t>
      </w:r>
      <w:r>
        <w:rPr>
          <w:rFonts w:hint="eastAsia" w:ascii="华文仿宋" w:hAnsi="华文仿宋" w:eastAsia="华文仿宋" w:cs="华文仿宋"/>
          <w:color w:val="000000" w:themeColor="text1"/>
          <w:sz w:val="24"/>
          <w14:textFill>
            <w14:solidFill>
              <w14:schemeClr w14:val="tx1"/>
            </w14:solidFill>
          </w14:textFill>
        </w:rPr>
        <w:t xml:space="preserve">        </w:t>
      </w:r>
    </w:p>
    <w:p>
      <w:pPr>
        <w:ind w:firstLine="988" w:firstLineChars="412"/>
        <w:jc w:val="right"/>
        <w:rPr>
          <w:rFonts w:ascii="华文仿宋" w:hAnsi="华文仿宋" w:eastAsia="华文仿宋" w:cs="华文仿宋"/>
          <w:color w:val="000000" w:themeColor="text1"/>
          <w:sz w:val="24"/>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日    期：   年   月   日</w:t>
      </w:r>
    </w:p>
    <w:p>
      <w:pPr>
        <w:jc w:val="left"/>
        <w:rPr>
          <w:rFonts w:ascii="华文仿宋" w:hAnsi="华文仿宋" w:eastAsia="华文仿宋" w:cs="华文仿宋"/>
          <w:color w:val="000000" w:themeColor="text1"/>
          <w:sz w:val="24"/>
          <w14:textFill>
            <w14:solidFill>
              <w14:schemeClr w14:val="tx1"/>
            </w14:solidFill>
          </w14:textFill>
        </w:rPr>
      </w:pPr>
    </w:p>
    <w:p>
      <w:pPr>
        <w:jc w:val="left"/>
        <w:rPr>
          <w:rFonts w:ascii="华文仿宋" w:hAnsi="华文仿宋" w:eastAsia="华文仿宋" w:cs="华文仿宋"/>
          <w:b/>
          <w:color w:val="000000" w:themeColor="text1"/>
          <w:sz w:val="24"/>
          <w14:textFill>
            <w14:solidFill>
              <w14:schemeClr w14:val="tx1"/>
            </w14:solidFill>
          </w14:textFill>
        </w:rPr>
      </w:pPr>
      <w:r>
        <w:rPr>
          <w:rFonts w:hint="eastAsia" w:ascii="华文仿宋" w:hAnsi="华文仿宋" w:eastAsia="华文仿宋" w:cs="华文仿宋"/>
          <w:b/>
          <w:color w:val="000000" w:themeColor="text1"/>
          <w:sz w:val="24"/>
          <w14:textFill>
            <w14:solidFill>
              <w14:schemeClr w14:val="tx1"/>
            </w14:solidFill>
          </w14:textFill>
        </w:rPr>
        <w:t>注：因电子投标系统设定的投标函格式无法修改，又不能不填写，投标单位可依照系统要求，参照本投标函内容逐项填写；本投标函作为投标文件格式要求，投标单位依然要严格按照格式填写。</w:t>
      </w:r>
    </w:p>
    <w:p>
      <w:pPr>
        <w:tabs>
          <w:tab w:val="left" w:pos="6040"/>
          <w:tab w:val="left" w:pos="7120"/>
          <w:tab w:val="left" w:pos="8200"/>
        </w:tabs>
        <w:autoSpaceDE w:val="0"/>
        <w:autoSpaceDN w:val="0"/>
        <w:adjustRightInd w:val="0"/>
        <w:spacing w:line="300" w:lineRule="exact"/>
        <w:ind w:left="4963" w:right="-20"/>
        <w:jc w:val="left"/>
        <w:rPr>
          <w:color w:val="000000" w:themeColor="text1"/>
          <w14:textFill>
            <w14:solidFill>
              <w14:schemeClr w14:val="tx1"/>
            </w14:solidFill>
          </w14:textFill>
        </w:rPr>
        <w:sectPr>
          <w:footerReference r:id="rId7" w:type="default"/>
          <w:pgSz w:w="11920" w:h="16840"/>
          <w:pgMar w:top="1140" w:right="1420" w:bottom="1060" w:left="1480" w:header="882" w:footer="868" w:gutter="0"/>
          <w:pgNumType w:fmt="decimal"/>
          <w:cols w:space="720" w:num="1"/>
          <w:docGrid w:type="lines" w:linePitch="312" w:charSpace="0"/>
        </w:sectPr>
      </w:pPr>
    </w:p>
    <w:p>
      <w:pPr>
        <w:autoSpaceDE w:val="0"/>
        <w:autoSpaceDN w:val="0"/>
        <w:adjustRightInd w:val="0"/>
        <w:spacing w:before="1" w:line="200" w:lineRule="exact"/>
        <w:jc w:val="left"/>
        <w:rPr>
          <w:rFonts w:ascii="宋体" w:hAnsi="宋体" w:cs="宋体"/>
          <w:color w:val="000000" w:themeColor="text1"/>
          <w:kern w:val="0"/>
          <w:sz w:val="20"/>
          <w:szCs w:val="20"/>
          <w14:textFill>
            <w14:solidFill>
              <w14:schemeClr w14:val="tx1"/>
            </w14:solidFill>
          </w14:textFill>
        </w:rPr>
      </w:pPr>
    </w:p>
    <w:p>
      <w:pPr>
        <w:spacing w:line="400" w:lineRule="exact"/>
        <w:ind w:firstLine="602" w:firstLineChars="200"/>
        <w:jc w:val="center"/>
        <w:rPr>
          <w:rFonts w:ascii="宋体" w:hAnsi="宋体" w:cs="宋体"/>
          <w:b/>
          <w:color w:val="000000" w:themeColor="text1"/>
          <w:sz w:val="30"/>
          <w:szCs w:val="30"/>
          <w14:textFill>
            <w14:solidFill>
              <w14:schemeClr w14:val="tx1"/>
            </w14:solidFill>
          </w14:textFill>
        </w:rPr>
      </w:pPr>
      <w:bookmarkStart w:id="302" w:name="_Toc290899043"/>
      <w:r>
        <w:rPr>
          <w:rFonts w:hint="eastAsia" w:ascii="宋体" w:hAnsi="宋体" w:cs="宋体"/>
          <w:b/>
          <w:color w:val="000000" w:themeColor="text1"/>
          <w:sz w:val="30"/>
          <w:szCs w:val="30"/>
          <w14:textFill>
            <w14:solidFill>
              <w14:schemeClr w14:val="tx1"/>
            </w14:solidFill>
          </w14:textFill>
        </w:rPr>
        <w:t>（二）投标函附录</w:t>
      </w:r>
      <w:bookmarkEnd w:id="302"/>
    </w:p>
    <w:tbl>
      <w:tblPr>
        <w:tblStyle w:val="21"/>
        <w:tblW w:w="92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1"/>
        <w:gridCol w:w="1519"/>
        <w:gridCol w:w="2397"/>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7641" w:type="dxa"/>
            <w:gridSpan w:val="3"/>
          </w:tcPr>
          <w:p>
            <w:pPr>
              <w:spacing w:line="360" w:lineRule="auto"/>
              <w:jc w:val="center"/>
              <w:rPr>
                <w:rFonts w:ascii="宋体" w:hAnsi="宋体" w:cs="宋体"/>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 标 人</w:t>
            </w:r>
          </w:p>
        </w:tc>
        <w:tc>
          <w:tcPr>
            <w:tcW w:w="7641" w:type="dxa"/>
            <w:gridSpan w:val="3"/>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投标范围</w:t>
            </w:r>
          </w:p>
        </w:tc>
        <w:tc>
          <w:tcPr>
            <w:tcW w:w="7641" w:type="dxa"/>
            <w:gridSpan w:val="3"/>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所投标段</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投标报价</w:t>
            </w:r>
          </w:p>
        </w:tc>
        <w:tc>
          <w:tcPr>
            <w:tcW w:w="3916" w:type="dxa"/>
            <w:gridSpan w:val="2"/>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大写：</w:t>
            </w:r>
          </w:p>
        </w:tc>
        <w:tc>
          <w:tcPr>
            <w:tcW w:w="3725" w:type="dxa"/>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设计质量</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设计周期</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投标有效期</w:t>
            </w:r>
          </w:p>
        </w:tc>
        <w:tc>
          <w:tcPr>
            <w:tcW w:w="7641" w:type="dxa"/>
            <w:gridSpan w:val="3"/>
            <w:vAlign w:val="center"/>
          </w:tcPr>
          <w:p>
            <w:pPr>
              <w:autoSpaceDE w:val="0"/>
              <w:autoSpaceDN w:val="0"/>
              <w:spacing w:line="360" w:lineRule="auto"/>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Merge w:val="restart"/>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    名</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Merge w:val="continue"/>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职    称</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exact"/>
        </w:trPr>
        <w:tc>
          <w:tcPr>
            <w:tcW w:w="1651" w:type="dxa"/>
            <w:vMerge w:val="continue"/>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证书编号（注册编号）</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服务承诺</w:t>
            </w:r>
          </w:p>
        </w:tc>
        <w:tc>
          <w:tcPr>
            <w:tcW w:w="7641" w:type="dxa"/>
            <w:gridSpan w:val="3"/>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可添加附页</w:t>
            </w: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tc>
      </w:tr>
    </w:tbl>
    <w:p>
      <w:pPr>
        <w:spacing w:line="300" w:lineRule="exact"/>
        <w:rPr>
          <w:rFonts w:ascii="宋体" w:hAnsi="宋体" w:cs="宋体"/>
          <w:color w:val="000000" w:themeColor="text1"/>
          <w:szCs w:val="21"/>
          <w14:textFill>
            <w14:solidFill>
              <w14:schemeClr w14:val="tx1"/>
            </w14:solidFill>
          </w14:textFill>
        </w:rPr>
      </w:pP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法定代表人或其授权委托人（电子签名或签字）：     </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03" w:name="_Toc1240"/>
      <w:bookmarkStart w:id="304" w:name="_Toc14022"/>
      <w:r>
        <w:rPr>
          <w:rFonts w:hint="eastAsia" w:ascii="宋体" w:hAnsi="宋体" w:eastAsia="宋体" w:cs="宋体"/>
          <w:color w:val="000000" w:themeColor="text1"/>
          <w14:textFill>
            <w14:solidFill>
              <w14:schemeClr w14:val="tx1"/>
            </w14:solidFill>
          </w14:textFill>
        </w:rPr>
        <w:t>二、法定代表人身份证明或授权委托书</w:t>
      </w:r>
      <w:bookmarkEnd w:id="303"/>
      <w:bookmarkEnd w:id="304"/>
    </w:p>
    <w:p>
      <w:pPr>
        <w:autoSpaceDE w:val="0"/>
        <w:autoSpaceDN w:val="0"/>
        <w:adjustRightInd w:val="0"/>
        <w:spacing w:line="200" w:lineRule="exact"/>
        <w:jc w:val="left"/>
        <w:rPr>
          <w:rFonts w:ascii="宋体" w:hAnsi="宋体" w:cs="宋体"/>
          <w:b/>
          <w:bCs/>
          <w:color w:val="000000" w:themeColor="text1"/>
          <w:kern w:val="0"/>
          <w:sz w:val="20"/>
          <w:szCs w:val="20"/>
          <w14:textFill>
            <w14:solidFill>
              <w14:schemeClr w14:val="tx1"/>
            </w14:solidFill>
          </w14:textFill>
        </w:rPr>
      </w:pPr>
    </w:p>
    <w:p>
      <w:pPr>
        <w:autoSpaceDE w:val="0"/>
        <w:autoSpaceDN w:val="0"/>
        <w:adjustRightInd w:val="0"/>
        <w:ind w:right="-20"/>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w:t>
      </w:r>
      <w:r>
        <w:rPr>
          <w:rFonts w:hint="eastAsia" w:ascii="宋体" w:hAnsi="宋体" w:cs="宋体"/>
          <w:b/>
          <w:bCs/>
          <w:color w:val="000000" w:themeColor="text1"/>
          <w:spacing w:val="-3"/>
          <w:kern w:val="0"/>
          <w:sz w:val="28"/>
          <w:szCs w:val="28"/>
          <w14:textFill>
            <w14:solidFill>
              <w14:schemeClr w14:val="tx1"/>
            </w14:solidFill>
          </w14:textFill>
        </w:rPr>
        <w:t>法</w:t>
      </w:r>
      <w:r>
        <w:rPr>
          <w:rFonts w:hint="eastAsia" w:ascii="宋体" w:hAnsi="宋体" w:cs="宋体"/>
          <w:b/>
          <w:bCs/>
          <w:color w:val="000000" w:themeColor="text1"/>
          <w:kern w:val="0"/>
          <w:sz w:val="28"/>
          <w:szCs w:val="28"/>
          <w14:textFill>
            <w14:solidFill>
              <w14:schemeClr w14:val="tx1"/>
            </w14:solidFill>
          </w14:textFill>
        </w:rPr>
        <w:t>定代</w:t>
      </w:r>
      <w:r>
        <w:rPr>
          <w:rFonts w:hint="eastAsia" w:ascii="宋体" w:hAnsi="宋体" w:cs="宋体"/>
          <w:b/>
          <w:bCs/>
          <w:color w:val="000000" w:themeColor="text1"/>
          <w:spacing w:val="-3"/>
          <w:kern w:val="0"/>
          <w:sz w:val="28"/>
          <w:szCs w:val="28"/>
          <w14:textFill>
            <w14:solidFill>
              <w14:schemeClr w14:val="tx1"/>
            </w14:solidFill>
          </w14:textFill>
        </w:rPr>
        <w:t>表人</w:t>
      </w:r>
      <w:r>
        <w:rPr>
          <w:rFonts w:hint="eastAsia" w:ascii="宋体" w:hAnsi="宋体" w:cs="宋体"/>
          <w:b/>
          <w:bCs/>
          <w:color w:val="000000" w:themeColor="text1"/>
          <w:kern w:val="0"/>
          <w:sz w:val="28"/>
          <w:szCs w:val="28"/>
          <w14:textFill>
            <w14:solidFill>
              <w14:schemeClr w14:val="tx1"/>
            </w14:solidFill>
          </w14:textFill>
        </w:rPr>
        <w:t>身份证</w:t>
      </w:r>
      <w:r>
        <w:rPr>
          <w:rFonts w:hint="eastAsia" w:ascii="宋体" w:hAnsi="宋体" w:cs="宋体"/>
          <w:b/>
          <w:bCs/>
          <w:color w:val="000000" w:themeColor="text1"/>
          <w:spacing w:val="-2"/>
          <w:kern w:val="0"/>
          <w:sz w:val="28"/>
          <w:szCs w:val="28"/>
          <w14:textFill>
            <w14:solidFill>
              <w14:schemeClr w14:val="tx1"/>
            </w14:solidFill>
          </w14:textFill>
        </w:rPr>
        <w:t>明</w:t>
      </w:r>
    </w:p>
    <w:p>
      <w:pPr>
        <w:autoSpaceDE w:val="0"/>
        <w:autoSpaceDN w:val="0"/>
        <w:adjustRightInd w:val="0"/>
        <w:spacing w:before="1" w:line="120" w:lineRule="exact"/>
        <w:jc w:val="left"/>
        <w:rPr>
          <w:rFonts w:ascii="宋体" w:hAnsi="宋体" w:cs="宋体"/>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单位性质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成立时间</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spacing w:val="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59"/>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性别：</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职务</w:t>
      </w:r>
      <w:r>
        <w:rPr>
          <w:rFonts w:hint="eastAsia" w:ascii="宋体" w:hAnsi="宋体" w:cs="宋体"/>
          <w:color w:val="000000" w:themeColor="text1"/>
          <w:spacing w:val="1"/>
          <w:kern w:val="0"/>
          <w:sz w:val="24"/>
          <w14:textFill>
            <w14:solidFill>
              <w14:schemeClr w14:val="tx1"/>
            </w14:solidFill>
          </w14:textFill>
        </w:rPr>
        <w:t>：</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的法定代表人。</w:t>
      </w:r>
    </w:p>
    <w:p>
      <w:pPr>
        <w:autoSpaceDE w:val="0"/>
        <w:autoSpaceDN w:val="0"/>
        <w:adjustRightInd w:val="0"/>
        <w:spacing w:before="21"/>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特此证明。</w:t>
      </w:r>
    </w:p>
    <w:p>
      <w:pPr>
        <w:autoSpaceDE w:val="0"/>
        <w:autoSpaceDN w:val="0"/>
        <w:adjustRightInd w:val="0"/>
        <w:spacing w:before="6" w:line="160" w:lineRule="exact"/>
        <w:jc w:val="left"/>
        <w:rPr>
          <w:rFonts w:ascii="宋体" w:hAnsi="宋体" w:cs="宋体"/>
          <w:color w:val="000000" w:themeColor="text1"/>
          <w:kern w:val="0"/>
          <w:sz w:val="16"/>
          <w:szCs w:val="16"/>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6340"/>
        </w:tabs>
        <w:autoSpaceDE w:val="0"/>
        <w:autoSpaceDN w:val="0"/>
        <w:adjustRightInd w:val="0"/>
        <w:ind w:left="33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电子签章)</w:t>
      </w:r>
    </w:p>
    <w:p>
      <w:pPr>
        <w:tabs>
          <w:tab w:val="left" w:pos="5140"/>
          <w:tab w:val="left" w:pos="6100"/>
          <w:tab w:val="left" w:pos="6700"/>
        </w:tabs>
        <w:autoSpaceDE w:val="0"/>
        <w:autoSpaceDN w:val="0"/>
        <w:adjustRightInd w:val="0"/>
        <w:spacing w:before="67"/>
        <w:ind w:left="406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19"/>
        <w:ind w:firstLine="240"/>
        <w:rPr>
          <w:rFonts w:hint="eastAsia"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附：法定代表人身份证扫描件</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 授权委托书</w:t>
      </w:r>
    </w:p>
    <w:p>
      <w:pPr>
        <w:autoSpaceDE w:val="0"/>
        <w:autoSpaceDN w:val="0"/>
        <w:adjustRightInd w:val="0"/>
        <w:spacing w:line="100" w:lineRule="exact"/>
        <w:jc w:val="left"/>
        <w:rPr>
          <w:rFonts w:ascii="宋体" w:hAnsi="宋体" w:cs="宋体"/>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szCs w:val="20"/>
          <w14:textFill>
            <w14:solidFill>
              <w14:schemeClr w14:val="tx1"/>
            </w14:solidFill>
          </w14:textFill>
        </w:rPr>
      </w:pPr>
    </w:p>
    <w:p>
      <w:pPr>
        <w:tabs>
          <w:tab w:val="left" w:pos="2140"/>
          <w:tab w:val="left" w:pos="3740"/>
          <w:tab w:val="left" w:pos="3820"/>
          <w:tab w:val="left" w:pos="6260"/>
          <w:tab w:val="left" w:pos="8460"/>
        </w:tabs>
        <w:autoSpaceDE w:val="0"/>
        <w:autoSpaceDN w:val="0"/>
        <w:adjustRightInd w:val="0"/>
        <w:spacing w:line="281" w:lineRule="auto"/>
        <w:ind w:left="222" w:right="44"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w:t>
      </w:r>
      <w:r>
        <w:rPr>
          <w:rFonts w:hint="eastAsia" w:ascii="宋体" w:hAnsi="宋体" w:cs="宋体"/>
          <w:color w:val="000000" w:themeColor="text1"/>
          <w:spacing w:val="1"/>
          <w:kern w:val="0"/>
          <w:sz w:val="24"/>
          <w14:textFill>
            <w14:solidFill>
              <w14:schemeClr w14:val="tx1"/>
            </w14:solidFill>
          </w14:textFill>
        </w:rPr>
        <w:t>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w:t>
      </w:r>
      <w:r>
        <w:rPr>
          <w:rFonts w:hint="eastAsia" w:ascii="宋体" w:hAnsi="宋体" w:cs="宋体"/>
          <w:color w:val="000000" w:themeColor="text1"/>
          <w:spacing w:val="2"/>
          <w:kern w:val="0"/>
          <w:sz w:val="24"/>
          <w14:textFill>
            <w14:solidFill>
              <w14:schemeClr w14:val="tx1"/>
            </w14:solidFill>
          </w14:textFill>
        </w:rPr>
        <w:t>法</w:t>
      </w:r>
      <w:r>
        <w:rPr>
          <w:rFonts w:hint="eastAsia" w:ascii="宋体" w:hAnsi="宋体" w:cs="宋体"/>
          <w:color w:val="000000" w:themeColor="text1"/>
          <w:kern w:val="0"/>
          <w:sz w:val="24"/>
          <w14:textFill>
            <w14:solidFill>
              <w14:schemeClr w14:val="tx1"/>
            </w14:solidFill>
          </w14:textFill>
        </w:rPr>
        <w:t>定代表人，现委</w:t>
      </w:r>
      <w:r>
        <w:rPr>
          <w:rFonts w:hint="eastAsia" w:ascii="宋体" w:hAnsi="宋体" w:cs="宋体"/>
          <w:color w:val="000000" w:themeColor="text1"/>
          <w:spacing w:val="1"/>
          <w:kern w:val="0"/>
          <w:sz w:val="24"/>
          <w14:textFill>
            <w14:solidFill>
              <w14:schemeClr w14:val="tx1"/>
            </w14:solidFill>
          </w14:textFill>
        </w:rPr>
        <w:t>托</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 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为我方代理人</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理人根据授权</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以我方名义签署</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澄清</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说</w:t>
      </w:r>
      <w:r>
        <w:rPr>
          <w:rFonts w:hint="eastAsia" w:ascii="宋体" w:hAnsi="宋体" w:cs="宋体"/>
          <w:color w:val="000000" w:themeColor="text1"/>
          <w:spacing w:val="2"/>
          <w:kern w:val="0"/>
          <w:sz w:val="24"/>
          <w14:textFill>
            <w14:solidFill>
              <w14:schemeClr w14:val="tx1"/>
            </w14:solidFill>
          </w14:textFill>
        </w:rPr>
        <w:t>明</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补正</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递交、 撤回</w:t>
      </w:r>
      <w:r>
        <w:rPr>
          <w:rFonts w:hint="eastAsia" w:ascii="宋体" w:hAnsi="宋体" w:cs="宋体"/>
          <w:color w:val="000000" w:themeColor="text1"/>
          <w:spacing w:val="-12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修改</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设</w:t>
      </w:r>
      <w:r>
        <w:rPr>
          <w:rFonts w:hint="eastAsia" w:ascii="宋体" w:hAnsi="宋体" w:cs="宋体"/>
          <w:color w:val="000000" w:themeColor="text1"/>
          <w:spacing w:val="1"/>
          <w:kern w:val="0"/>
          <w:sz w:val="24"/>
          <w14:textFill>
            <w14:solidFill>
              <w14:schemeClr w14:val="tx1"/>
            </w14:solidFill>
          </w14:textFill>
        </w:rPr>
        <w:t>计</w:t>
      </w:r>
      <w:r>
        <w:rPr>
          <w:rFonts w:hint="eastAsia" w:ascii="宋体" w:hAnsi="宋体" w:cs="宋体"/>
          <w:color w:val="000000" w:themeColor="text1"/>
          <w:kern w:val="0"/>
          <w:sz w:val="24"/>
          <w14:textFill>
            <w14:solidFill>
              <w14:schemeClr w14:val="tx1"/>
            </w14:solidFill>
          </w14:textFill>
        </w:rPr>
        <w:t>投标文件、 签订合同和处理有关事宜，其法律后果由我方承担。</w:t>
      </w:r>
    </w:p>
    <w:p>
      <w:pPr>
        <w:tabs>
          <w:tab w:val="left" w:pos="3580"/>
        </w:tabs>
        <w:autoSpaceDE w:val="0"/>
        <w:autoSpaceDN w:val="0"/>
        <w:adjustRightInd w:val="0"/>
        <w:spacing w:before="42" w:line="293" w:lineRule="auto"/>
        <w:ind w:left="702" w:right="5126" w:hanging="1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委托期限：</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代理人无转委托权。</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附：法定代表人身份证复印件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授权委托人身份证复印件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投标人：________________（电子签章）</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法定代表人：________________（电子签名或签字）</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授权委托人：________________（签字或电子签名或打印）</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20" w:line="280" w:lineRule="exact"/>
        <w:jc w:val="left"/>
        <w:rPr>
          <w:rFonts w:ascii="宋体" w:hAnsi="宋体" w:cs="宋体"/>
          <w:color w:val="000000" w:themeColor="text1"/>
          <w:kern w:val="0"/>
          <w:sz w:val="28"/>
          <w:szCs w:val="28"/>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7"/>
        <w:jc w:val="center"/>
        <w:rPr>
          <w:rFonts w:ascii="宋体" w:hAnsi="宋体" w:cs="宋体"/>
          <w:color w:val="000000" w:themeColor="text1"/>
          <w:kern w:val="0"/>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三、投标保证金</w:t>
      </w:r>
    </w:p>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（附缴纳证明复印件加盖公章）</w:t>
      </w: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法定代表人或其授权委托人（电子签名或签字）：</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spacing w:line="360" w:lineRule="auto"/>
        <w:jc w:val="right"/>
        <w:rPr>
          <w:rFonts w:ascii="宋体" w:hAnsi="宋体" w:cs="宋体"/>
          <w:color w:val="000000" w:themeColor="text1"/>
          <w:kern w:val="0"/>
          <w:sz w:val="24"/>
          <w14:textFill>
            <w14:solidFill>
              <w14:schemeClr w14:val="tx1"/>
            </w14:solidFill>
          </w14:textFill>
        </w:rPr>
      </w:pPr>
    </w:p>
    <w:p>
      <w:pPr>
        <w:spacing w:line="360" w:lineRule="auto"/>
        <w:jc w:val="center"/>
        <w:rPr>
          <w:rFonts w:ascii="华文仿宋" w:hAnsi="华文仿宋" w:eastAsia="华文仿宋" w:cs="华文仿宋"/>
          <w:color w:val="000000" w:themeColor="text1"/>
          <w:sz w:val="24"/>
          <w:u w:val="single"/>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right="3389"/>
        <w:rPr>
          <w:rFonts w:ascii="宋体" w:hAnsi="宋体" w:cs="宋体"/>
          <w:b/>
          <w:bCs/>
          <w:color w:val="000000" w:themeColor="text1"/>
          <w:kern w:val="0"/>
          <w:sz w:val="28"/>
          <w:szCs w:val="28"/>
          <w14:textFill>
            <w14:solidFill>
              <w14:schemeClr w14:val="tx1"/>
            </w14:solidFill>
          </w14:textFill>
        </w:rPr>
      </w:pPr>
    </w:p>
    <w:p>
      <w:pPr>
        <w:pStyle w:val="19"/>
        <w:ind w:firstLine="0" w:firstLineChars="0"/>
        <w:rPr>
          <w:rFonts w:ascii="宋体" w:hAnsi="宋体" w:cs="宋体"/>
          <w:b/>
          <w:bCs/>
          <w:color w:val="000000" w:themeColor="text1"/>
          <w:kern w:val="0"/>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05" w:name="_Toc3982"/>
      <w:bookmarkStart w:id="306" w:name="_Toc10603"/>
      <w:r>
        <w:rPr>
          <w:rFonts w:hint="eastAsia" w:ascii="宋体" w:hAnsi="宋体" w:eastAsia="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、资格审查表</w:t>
      </w:r>
      <w:bookmarkEnd w:id="305"/>
      <w:bookmarkEnd w:id="306"/>
    </w:p>
    <w:p>
      <w:pPr>
        <w:autoSpaceDE w:val="0"/>
        <w:autoSpaceDN w:val="0"/>
        <w:adjustRightInd w:val="0"/>
        <w:spacing w:line="341"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（一）投标人基本情况表</w:t>
      </w:r>
    </w:p>
    <w:p>
      <w:pPr>
        <w:autoSpaceDE w:val="0"/>
        <w:autoSpaceDN w:val="0"/>
        <w:adjustRightInd w:val="0"/>
        <w:spacing w:line="200" w:lineRule="exact"/>
        <w:jc w:val="center"/>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3" w:line="280" w:lineRule="exact"/>
        <w:jc w:val="left"/>
        <w:rPr>
          <w:rFonts w:ascii="宋体" w:hAnsi="宋体" w:cs="宋体"/>
          <w:color w:val="000000" w:themeColor="text1"/>
          <w:kern w:val="0"/>
          <w:sz w:val="28"/>
          <w:szCs w:val="28"/>
          <w14:textFill>
            <w14:solidFill>
              <w14:schemeClr w14:val="tx1"/>
            </w14:solidFill>
          </w14:textFill>
        </w:rPr>
      </w:pPr>
    </w:p>
    <w:tbl>
      <w:tblPr>
        <w:tblStyle w:val="21"/>
        <w:tblW w:w="8779" w:type="dxa"/>
        <w:jc w:val="center"/>
        <w:tblLayout w:type="fixed"/>
        <w:tblCellMar>
          <w:top w:w="0" w:type="dxa"/>
          <w:left w:w="0" w:type="dxa"/>
          <w:bottom w:w="0" w:type="dxa"/>
          <w:right w:w="0" w:type="dxa"/>
        </w:tblCellMar>
      </w:tblPr>
      <w:tblGrid>
        <w:gridCol w:w="1952"/>
        <w:gridCol w:w="1099"/>
        <w:gridCol w:w="2223"/>
        <w:gridCol w:w="1315"/>
        <w:gridCol w:w="2190"/>
      </w:tblGrid>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名称</w:t>
            </w:r>
          </w:p>
        </w:tc>
        <w:tc>
          <w:tcPr>
            <w:tcW w:w="682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地</w:t>
            </w:r>
            <w:r>
              <w:rPr>
                <w:rFonts w:hint="eastAsia" w:ascii="宋体" w:hAnsi="宋体" w:cs="宋体"/>
                <w:color w:val="000000" w:themeColor="text1"/>
                <w:kern w:val="0"/>
                <w:sz w:val="24"/>
                <w14:textFill>
                  <w14:solidFill>
                    <w14:schemeClr w14:val="tx1"/>
                  </w14:solidFill>
                </w14:textFill>
              </w:rPr>
              <w:t>址</w:t>
            </w:r>
          </w:p>
        </w:tc>
        <w:tc>
          <w:tcPr>
            <w:tcW w:w="33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邮政</w:t>
            </w:r>
            <w:r>
              <w:rPr>
                <w:rFonts w:hint="eastAsia" w:ascii="宋体" w:hAnsi="宋体" w:cs="宋体"/>
                <w:color w:val="000000" w:themeColor="text1"/>
                <w:spacing w:val="-2"/>
                <w:kern w:val="0"/>
                <w:sz w:val="24"/>
                <w14:textFill>
                  <w14:solidFill>
                    <w14:schemeClr w14:val="tx1"/>
                  </w14:solidFill>
                </w14:textFill>
              </w:rPr>
              <w:t>编</w:t>
            </w:r>
            <w:r>
              <w:rPr>
                <w:rFonts w:hint="eastAsia" w:ascii="宋体" w:hAnsi="宋体" w:cs="宋体"/>
                <w:color w:val="000000" w:themeColor="text1"/>
                <w:kern w:val="0"/>
                <w:sz w:val="24"/>
                <w14:textFill>
                  <w14:solidFill>
                    <w14:schemeClr w14:val="tx1"/>
                  </w14:solidFill>
                </w14:textFill>
              </w:rPr>
              <w:t>码</w:t>
            </w:r>
          </w:p>
        </w:tc>
        <w:tc>
          <w:tcPr>
            <w:tcW w:w="219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w:t>
            </w:r>
            <w:r>
              <w:rPr>
                <w:rFonts w:hint="eastAsia" w:ascii="宋体" w:hAnsi="宋体" w:cs="宋体"/>
                <w:color w:val="000000" w:themeColor="text1"/>
                <w:spacing w:val="-2"/>
                <w:kern w:val="0"/>
                <w:sz w:val="24"/>
                <w14:textFill>
                  <w14:solidFill>
                    <w14:schemeClr w14:val="tx1"/>
                  </w14:solidFill>
                </w14:textFill>
              </w:rPr>
              <w:t>方</w:t>
            </w:r>
            <w:r>
              <w:rPr>
                <w:rFonts w:hint="eastAsia" w:ascii="宋体" w:hAnsi="宋体" w:cs="宋体"/>
                <w:color w:val="000000" w:themeColor="text1"/>
                <w:kern w:val="0"/>
                <w:sz w:val="24"/>
                <w14:textFill>
                  <w14:solidFill>
                    <w14:schemeClr w14:val="tx1"/>
                  </w14:solidFill>
                </w14:textFill>
              </w:rPr>
              <w:t>式</w:t>
            </w:r>
          </w:p>
        </w:tc>
        <w:tc>
          <w:tcPr>
            <w:tcW w:w="10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22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219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099"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pacing w:before="60"/>
              <w:ind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传真</w:t>
            </w:r>
          </w:p>
        </w:tc>
        <w:tc>
          <w:tcPr>
            <w:tcW w:w="222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ind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电子</w:t>
            </w:r>
            <w:r>
              <w:rPr>
                <w:rFonts w:hint="eastAsia" w:ascii="宋体" w:hAnsi="宋体" w:cs="宋体"/>
                <w:color w:val="000000" w:themeColor="text1"/>
                <w:spacing w:val="-2"/>
                <w:kern w:val="0"/>
                <w:sz w:val="24"/>
                <w14:textFill>
                  <w14:solidFill>
                    <w14:schemeClr w14:val="tx1"/>
                  </w14:solidFill>
                </w14:textFill>
              </w:rPr>
              <w:t>邮</w:t>
            </w:r>
            <w:r>
              <w:rPr>
                <w:rFonts w:hint="eastAsia" w:ascii="宋体" w:hAnsi="宋体" w:cs="宋体"/>
                <w:color w:val="000000" w:themeColor="text1"/>
                <w:kern w:val="0"/>
                <w:sz w:val="24"/>
                <w14:textFill>
                  <w14:solidFill>
                    <w14:schemeClr w14:val="tx1"/>
                  </w14:solidFill>
                </w14:textFill>
              </w:rPr>
              <w:t>件</w:t>
            </w:r>
          </w:p>
        </w:tc>
        <w:tc>
          <w:tcPr>
            <w:tcW w:w="219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表人</w:t>
            </w:r>
          </w:p>
        </w:tc>
        <w:tc>
          <w:tcPr>
            <w:tcW w:w="10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222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219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成立</w:t>
            </w:r>
            <w:r>
              <w:rPr>
                <w:rFonts w:hint="eastAsia" w:ascii="宋体" w:hAnsi="宋体" w:cs="宋体"/>
                <w:color w:val="000000" w:themeColor="text1"/>
                <w:spacing w:val="-2"/>
                <w:kern w:val="0"/>
                <w:sz w:val="24"/>
                <w14:textFill>
                  <w14:solidFill>
                    <w14:schemeClr w14:val="tx1"/>
                  </w14:solidFill>
                </w14:textFill>
              </w:rPr>
              <w:t>时</w:t>
            </w:r>
            <w:r>
              <w:rPr>
                <w:rFonts w:hint="eastAsia" w:ascii="宋体" w:hAnsi="宋体" w:cs="宋体"/>
                <w:color w:val="000000" w:themeColor="text1"/>
                <w:kern w:val="0"/>
                <w:sz w:val="24"/>
                <w14:textFill>
                  <w14:solidFill>
                    <w14:schemeClr w14:val="tx1"/>
                  </w14:solidFill>
                </w14:textFill>
              </w:rPr>
              <w:t>间</w:t>
            </w:r>
          </w:p>
        </w:tc>
        <w:tc>
          <w:tcPr>
            <w:tcW w:w="33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350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员工</w:t>
            </w:r>
            <w:r>
              <w:rPr>
                <w:rFonts w:hint="eastAsia" w:ascii="宋体" w:hAnsi="宋体" w:cs="宋体"/>
                <w:color w:val="000000" w:themeColor="text1"/>
                <w:spacing w:val="-2"/>
                <w:kern w:val="0"/>
                <w:sz w:val="24"/>
                <w14:textFill>
                  <w14:solidFill>
                    <w14:schemeClr w14:val="tx1"/>
                  </w14:solidFill>
                </w14:textFill>
              </w:rPr>
              <w:t>总</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数</w:t>
            </w:r>
            <w:r>
              <w:rPr>
                <w:rFonts w:hint="eastAsia" w:ascii="宋体" w:hAnsi="宋体" w:cs="宋体"/>
                <w:color w:val="000000" w:themeColor="text1"/>
                <w:kern w:val="0"/>
                <w:sz w:val="24"/>
                <w14:textFill>
                  <w14:solidFill>
                    <w14:schemeClr w14:val="tx1"/>
                  </w14:solidFill>
                </w14:textFill>
              </w:rPr>
              <w:t>：</w:t>
            </w: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w:t>
            </w:r>
            <w:r>
              <w:rPr>
                <w:rFonts w:hint="eastAsia" w:ascii="宋体" w:hAnsi="宋体" w:cs="宋体"/>
                <w:color w:val="000000" w:themeColor="text1"/>
                <w:spacing w:val="-2"/>
                <w:kern w:val="0"/>
                <w:sz w:val="24"/>
                <w14:textFill>
                  <w14:solidFill>
                    <w14:schemeClr w14:val="tx1"/>
                  </w14:solidFill>
                </w14:textFill>
              </w:rPr>
              <w:t>执</w:t>
            </w:r>
            <w:r>
              <w:rPr>
                <w:rFonts w:hint="eastAsia" w:ascii="宋体" w:hAnsi="宋体" w:cs="宋体"/>
                <w:color w:val="000000" w:themeColor="text1"/>
                <w:kern w:val="0"/>
                <w:sz w:val="24"/>
                <w14:textFill>
                  <w14:solidFill>
                    <w14:schemeClr w14:val="tx1"/>
                  </w14:solidFill>
                </w14:textFill>
              </w:rPr>
              <w:t>照号</w:t>
            </w:r>
          </w:p>
        </w:tc>
        <w:tc>
          <w:tcPr>
            <w:tcW w:w="682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9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金</w:t>
            </w:r>
          </w:p>
        </w:tc>
        <w:tc>
          <w:tcPr>
            <w:tcW w:w="682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90"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29"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开</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银</w:t>
            </w:r>
            <w:r>
              <w:rPr>
                <w:rFonts w:hint="eastAsia" w:ascii="宋体" w:hAnsi="宋体" w:cs="宋体"/>
                <w:color w:val="000000" w:themeColor="text1"/>
                <w:kern w:val="0"/>
                <w:sz w:val="24"/>
                <w14:textFill>
                  <w14:solidFill>
                    <w14:schemeClr w14:val="tx1"/>
                  </w14:solidFill>
                </w14:textFill>
              </w:rPr>
              <w:t>行</w:t>
            </w:r>
          </w:p>
        </w:tc>
        <w:tc>
          <w:tcPr>
            <w:tcW w:w="682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48"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号</w:t>
            </w:r>
          </w:p>
        </w:tc>
        <w:tc>
          <w:tcPr>
            <w:tcW w:w="682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1364"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before="20"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654"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经营</w:t>
            </w:r>
            <w:r>
              <w:rPr>
                <w:rFonts w:hint="eastAsia" w:ascii="宋体" w:hAnsi="宋体" w:cs="宋体"/>
                <w:color w:val="000000" w:themeColor="text1"/>
                <w:spacing w:val="-2"/>
                <w:kern w:val="0"/>
                <w:sz w:val="24"/>
                <w14:textFill>
                  <w14:solidFill>
                    <w14:schemeClr w14:val="tx1"/>
                  </w14:solidFill>
                </w14:textFill>
              </w:rPr>
              <w:t>范</w:t>
            </w:r>
            <w:r>
              <w:rPr>
                <w:rFonts w:hint="eastAsia" w:ascii="宋体" w:hAnsi="宋体" w:cs="宋体"/>
                <w:color w:val="000000" w:themeColor="text1"/>
                <w:kern w:val="0"/>
                <w:sz w:val="24"/>
                <w14:textFill>
                  <w14:solidFill>
                    <w14:schemeClr w14:val="tx1"/>
                  </w14:solidFill>
                </w14:textFill>
              </w:rPr>
              <w:t>围</w:t>
            </w:r>
          </w:p>
        </w:tc>
        <w:tc>
          <w:tcPr>
            <w:tcW w:w="6827"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1132"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9"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721" w:right="704"/>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6827"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57"/>
        <w:ind w:left="64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autoSpaceDE w:val="0"/>
        <w:autoSpaceDN w:val="0"/>
        <w:adjustRightInd w:val="0"/>
        <w:spacing w:before="75" w:line="293" w:lineRule="auto"/>
        <w:ind w:left="222" w:right="151"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spacing w:val="2"/>
          <w:kern w:val="0"/>
          <w:sz w:val="24"/>
          <w14:textFill>
            <w14:solidFill>
              <w14:schemeClr w14:val="tx1"/>
            </w14:solidFill>
          </w14:textFill>
        </w:rPr>
        <w:t>.在本表后应附企业营业执照副本；企业资质证书副本；项目负责人身份证复印件和职称证；税务登记证副本、组织机构代码证副本（如营业执照为三合一版，不需提供组织机构和税务登记证）。上述所有执</w:t>
      </w:r>
      <w:r>
        <w:rPr>
          <w:rFonts w:hint="eastAsia" w:ascii="宋体" w:hAnsi="宋体" w:cs="宋体"/>
          <w:color w:val="000000" w:themeColor="text1"/>
          <w:kern w:val="0"/>
          <w:sz w:val="24"/>
          <w14:textFill>
            <w14:solidFill>
              <w14:schemeClr w14:val="tx1"/>
            </w14:solidFill>
          </w14:textFill>
        </w:rPr>
        <w:t>照</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证书复印</w:t>
      </w:r>
      <w:r>
        <w:rPr>
          <w:rFonts w:hint="eastAsia" w:ascii="宋体" w:hAnsi="宋体" w:cs="宋体"/>
          <w:color w:val="000000" w:themeColor="text1"/>
          <w:spacing w:val="-2"/>
          <w:kern w:val="0"/>
          <w:sz w:val="24"/>
          <w14:textFill>
            <w14:solidFill>
              <w14:schemeClr w14:val="tx1"/>
            </w14:solidFill>
          </w14:textFill>
        </w:rPr>
        <w:t>件</w:t>
      </w:r>
      <w:r>
        <w:rPr>
          <w:rFonts w:hint="eastAsia" w:ascii="宋体" w:hAnsi="宋体" w:cs="宋体"/>
          <w:color w:val="000000" w:themeColor="text1"/>
          <w:kern w:val="0"/>
          <w:sz w:val="24"/>
          <w14:textFill>
            <w14:solidFill>
              <w14:schemeClr w14:val="tx1"/>
            </w14:solidFill>
          </w14:textFill>
        </w:rPr>
        <w:t>均</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加</w:t>
      </w:r>
      <w:r>
        <w:rPr>
          <w:rFonts w:hint="eastAsia" w:ascii="宋体" w:hAnsi="宋体" w:cs="宋体"/>
          <w:color w:val="000000" w:themeColor="text1"/>
          <w:spacing w:val="-2"/>
          <w:kern w:val="0"/>
          <w:sz w:val="24"/>
          <w14:textFill>
            <w14:solidFill>
              <w14:schemeClr w14:val="tx1"/>
            </w14:solidFill>
          </w14:textFill>
        </w:rPr>
        <w:t>盖</w:t>
      </w:r>
      <w:r>
        <w:rPr>
          <w:rFonts w:hint="eastAsia" w:ascii="宋体" w:hAnsi="宋体" w:cs="宋体"/>
          <w:color w:val="000000" w:themeColor="text1"/>
          <w:kern w:val="0"/>
          <w:sz w:val="24"/>
          <w14:textFill>
            <w14:solidFill>
              <w14:schemeClr w14:val="tx1"/>
            </w14:solidFill>
          </w14:textFill>
        </w:rPr>
        <w:t>申</w:t>
      </w:r>
      <w:r>
        <w:rPr>
          <w:rFonts w:hint="eastAsia" w:ascii="宋体" w:hAnsi="宋体" w:cs="宋体"/>
          <w:color w:val="000000" w:themeColor="text1"/>
          <w:spacing w:val="-2"/>
          <w:kern w:val="0"/>
          <w:sz w:val="24"/>
          <w14:textFill>
            <w14:solidFill>
              <w14:schemeClr w14:val="tx1"/>
            </w14:solidFill>
          </w14:textFill>
        </w:rPr>
        <w:t>请</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单</w:t>
      </w:r>
      <w:r>
        <w:rPr>
          <w:rFonts w:hint="eastAsia" w:ascii="宋体" w:hAnsi="宋体" w:cs="宋体"/>
          <w:color w:val="000000" w:themeColor="text1"/>
          <w:kern w:val="0"/>
          <w:sz w:val="24"/>
          <w14:textFill>
            <w14:solidFill>
              <w14:schemeClr w14:val="tx1"/>
            </w14:solidFill>
          </w14:textFill>
        </w:rPr>
        <w:t>位公章。</w:t>
      </w:r>
    </w:p>
    <w:p>
      <w:pPr>
        <w:autoSpaceDE w:val="0"/>
        <w:autoSpaceDN w:val="0"/>
        <w:adjustRightInd w:val="0"/>
        <w:spacing w:before="43"/>
        <w:ind w:left="642" w:right="-20"/>
        <w:jc w:val="left"/>
        <w:rPr>
          <w:color w:val="000000" w:themeColor="text1"/>
          <w14:textFill>
            <w14:solidFill>
              <w14:schemeClr w14:val="tx1"/>
            </w14:solidFill>
          </w14:textFill>
        </w:rPr>
        <w:sectPr>
          <w:pgSz w:w="11920" w:h="16840"/>
          <w:pgMar w:top="1140" w:right="1420" w:bottom="1060" w:left="1480" w:header="882" w:footer="868" w:gutter="0"/>
          <w:pgNumType w:fmt="decimal"/>
          <w:cols w:space="720" w:num="1"/>
          <w:docGrid w:type="lines" w:linePitch="312" w:charSpace="0"/>
        </w:sectPr>
      </w:pPr>
    </w:p>
    <w:p>
      <w:pPr>
        <w:jc w:val="center"/>
        <w:rPr>
          <w:rFonts w:hint="eastAsia" w:ascii="宋体" w:hAnsi="宋体" w:eastAsia="宋体" w:cs="宋体"/>
          <w:b/>
          <w:bCs/>
          <w:color w:val="000000" w:themeColor="text1"/>
          <w:kern w:val="0"/>
          <w:sz w:val="28"/>
          <w:szCs w:val="28"/>
          <w:lang w:eastAsia="zh-CN"/>
          <w14:textFill>
            <w14:solidFill>
              <w14:schemeClr w14:val="tx1"/>
            </w14:solidFill>
          </w14:textFill>
        </w:rPr>
      </w:pPr>
      <w:bookmarkStart w:id="307" w:name="_Toc30659"/>
      <w:bookmarkStart w:id="308" w:name="_Toc24679"/>
      <w:r>
        <w:rPr>
          <w:rFonts w:hint="eastAsia" w:ascii="宋体" w:hAnsi="宋体" w:eastAsia="宋体" w:cs="宋体"/>
          <w:b/>
          <w:bCs/>
          <w:color w:val="000000" w:themeColor="text1"/>
          <w:kern w:val="0"/>
          <w:sz w:val="28"/>
          <w:szCs w:val="28"/>
          <w14:textFill>
            <w14:solidFill>
              <w14:schemeClr w14:val="tx1"/>
            </w14:solidFill>
          </w14:textFill>
        </w:rPr>
        <w:t>(二)近年完成的类似项目情况表</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若有</w:t>
      </w:r>
      <w:r>
        <w:rPr>
          <w:rFonts w:hint="eastAsia" w:ascii="宋体" w:hAnsi="宋体" w:eastAsia="宋体" w:cs="宋体"/>
          <w:b/>
          <w:bCs/>
          <w:color w:val="000000" w:themeColor="text1"/>
          <w:kern w:val="0"/>
          <w:sz w:val="28"/>
          <w:szCs w:val="28"/>
          <w:lang w:eastAsia="zh-CN"/>
          <w14:textFill>
            <w14:solidFill>
              <w14:schemeClr w14:val="tx1"/>
            </w14:solidFill>
          </w14:textFill>
        </w:rPr>
        <w:t>）</w:t>
      </w:r>
    </w:p>
    <w:p>
      <w:pPr>
        <w:autoSpaceDE w:val="0"/>
        <w:autoSpaceDN w:val="0"/>
        <w:adjustRightInd w:val="0"/>
        <w:spacing w:before="7" w:line="220" w:lineRule="exact"/>
        <w:jc w:val="left"/>
        <w:rPr>
          <w:rFonts w:hint="eastAsia" w:ascii="宋体" w:hAnsi="宋体" w:eastAsia="宋体" w:cs="宋体"/>
          <w:color w:val="000000" w:themeColor="text1"/>
          <w:kern w:val="0"/>
          <w:sz w:val="22"/>
          <w14:textFill>
            <w14:solidFill>
              <w14:schemeClr w14:val="tx1"/>
            </w14:solidFill>
          </w14:textFill>
        </w:rPr>
      </w:pPr>
    </w:p>
    <w:tbl>
      <w:tblPr>
        <w:tblStyle w:val="21"/>
        <w:tblW w:w="9356" w:type="dxa"/>
        <w:tblInd w:w="-142" w:type="dxa"/>
        <w:tblLayout w:type="fixed"/>
        <w:tblCellMar>
          <w:top w:w="0" w:type="dxa"/>
          <w:left w:w="0" w:type="dxa"/>
          <w:bottom w:w="0" w:type="dxa"/>
          <w:right w:w="0" w:type="dxa"/>
        </w:tblCellMar>
      </w:tblPr>
      <w:tblGrid>
        <w:gridCol w:w="2694"/>
        <w:gridCol w:w="6662"/>
      </w:tblGrid>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ind w:right="531"/>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项目所在地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发包人名称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发包人地址</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发包人电话</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项目总投资</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合同价格</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项目负责人</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项目完成情况</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77"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项目描述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51"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备注</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bl>
    <w:p>
      <w:pPr>
        <w:autoSpaceDE w:val="0"/>
        <w:autoSpaceDN w:val="0"/>
        <w:adjustRightInd w:val="0"/>
        <w:jc w:val="center"/>
        <w:rPr>
          <w:rFonts w:hint="eastAsia" w:ascii="宋体" w:hAnsi="宋体" w:eastAsia="宋体" w:cs="宋体"/>
          <w:color w:val="000000" w:themeColor="text1"/>
          <w:kern w:val="0"/>
          <w:sz w:val="24"/>
          <w14:textFill>
            <w14:solidFill>
              <w14:schemeClr w14:val="tx1"/>
            </w14:solidFill>
          </w14:textFill>
        </w:rPr>
      </w:pPr>
    </w:p>
    <w:p>
      <w:pPr>
        <w:autoSpaceDE w:val="0"/>
        <w:autoSpaceDN w:val="0"/>
        <w:adjustRightInd w:val="0"/>
        <w:jc w:val="left"/>
        <w:rPr>
          <w:rFonts w:hint="default" w:ascii="宋体" w:hAnsi="宋体" w:eastAsia="宋体" w:cs="宋体"/>
          <w:color w:val="000000" w:themeColor="text1"/>
          <w:lang w:val="en-US"/>
          <w14:textFill>
            <w14:solidFill>
              <w14:schemeClr w14:val="tx1"/>
            </w14:solidFill>
          </w14:textFill>
        </w:rPr>
        <w:sectPr>
          <w:pgSz w:w="11920" w:h="16840"/>
          <w:pgMar w:top="1140" w:right="1380" w:bottom="1060" w:left="1480" w:header="882" w:footer="868" w:gutter="0"/>
          <w:pgNumType w:fmt="decimal"/>
          <w:cols w:space="720" w:num="1"/>
          <w:docGrid w:type="lines" w:linePitch="312" w:charSpace="0"/>
        </w:sectPr>
      </w:pPr>
      <w:r>
        <w:rPr>
          <w:rFonts w:hint="eastAsia" w:ascii="宋体" w:hAnsi="宋体" w:eastAsia="宋体" w:cs="宋体"/>
          <w:color w:val="000000" w:themeColor="text1"/>
          <w:kern w:val="0"/>
          <w:sz w:val="24"/>
          <w14:textFill>
            <w14:solidFill>
              <w14:schemeClr w14:val="tx1"/>
            </w14:solidFill>
          </w14:textFill>
        </w:rPr>
        <w:t>注：</w:t>
      </w:r>
      <w:r>
        <w:rPr>
          <w:rFonts w:hint="eastAsia" w:ascii="宋体" w:hAnsi="宋体" w:eastAsia="宋体" w:cs="宋体"/>
          <w:color w:val="000000" w:themeColor="text1"/>
          <w:kern w:val="0"/>
          <w:sz w:val="24"/>
          <w:lang w:val="en-US" w:eastAsia="zh-CN"/>
          <w14:textFill>
            <w14:solidFill>
              <w14:schemeClr w14:val="tx1"/>
            </w14:solidFill>
          </w14:textFill>
        </w:rPr>
        <w:t>附证明材</w:t>
      </w:r>
      <w:r>
        <w:rPr>
          <w:rFonts w:hint="eastAsia" w:ascii="宋体" w:hAnsi="宋体" w:cs="宋体"/>
          <w:color w:val="000000" w:themeColor="text1"/>
          <w:kern w:val="0"/>
          <w:sz w:val="24"/>
          <w:lang w:val="en-US" w:eastAsia="zh-CN"/>
          <w14:textFill>
            <w14:solidFill>
              <w14:schemeClr w14:val="tx1"/>
            </w14:solidFill>
          </w14:textFill>
        </w:rPr>
        <w:t>料</w:t>
      </w:r>
    </w:p>
    <w:p>
      <w:pPr>
        <w:autoSpaceDE w:val="0"/>
        <w:autoSpaceDN w:val="0"/>
        <w:adjustRightInd w:val="0"/>
        <w:spacing w:line="240" w:lineRule="auto"/>
        <w:ind w:right="-100"/>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三</w:t>
      </w:r>
      <w:r>
        <w:rPr>
          <w:rFonts w:hint="eastAsia" w:ascii="宋体" w:hAnsi="宋体" w:eastAsia="宋体" w:cs="宋体"/>
          <w:b/>
          <w:bCs/>
          <w:color w:val="000000" w:themeColor="text1"/>
          <w:kern w:val="0"/>
          <w:sz w:val="28"/>
          <w:szCs w:val="28"/>
          <w14:textFill>
            <w14:solidFill>
              <w14:schemeClr w14:val="tx1"/>
            </w14:solidFill>
          </w14:textFill>
        </w:rPr>
        <w:t>） 主要人员资历表</w:t>
      </w:r>
    </w:p>
    <w:p>
      <w:pPr>
        <w:autoSpaceDE w:val="0"/>
        <w:autoSpaceDN w:val="0"/>
        <w:adjustRightInd w:val="0"/>
        <w:spacing w:before="14" w:line="280" w:lineRule="exact"/>
        <w:jc w:val="left"/>
        <w:rPr>
          <w:rFonts w:hint="eastAsia" w:ascii="宋体" w:hAnsi="宋体" w:eastAsia="宋体" w:cs="宋体"/>
          <w:color w:val="000000" w:themeColor="text1"/>
          <w:kern w:val="0"/>
          <w:sz w:val="28"/>
          <w:szCs w:val="28"/>
          <w14:textFill>
            <w14:solidFill>
              <w14:schemeClr w14:val="tx1"/>
            </w14:solidFill>
          </w14:textFill>
        </w:rPr>
      </w:pPr>
    </w:p>
    <w:tbl>
      <w:tblPr>
        <w:tblStyle w:val="21"/>
        <w:tblW w:w="8931" w:type="dxa"/>
        <w:jc w:val="center"/>
        <w:tblLayout w:type="fixed"/>
        <w:tblCellMar>
          <w:top w:w="0" w:type="dxa"/>
          <w:left w:w="0" w:type="dxa"/>
          <w:bottom w:w="0" w:type="dxa"/>
          <w:right w:w="0" w:type="dxa"/>
        </w:tblCellMar>
      </w:tblPr>
      <w:tblGrid>
        <w:gridCol w:w="1047"/>
        <w:gridCol w:w="934"/>
        <w:gridCol w:w="806"/>
        <w:gridCol w:w="646"/>
        <w:gridCol w:w="958"/>
        <w:gridCol w:w="425"/>
        <w:gridCol w:w="850"/>
        <w:gridCol w:w="42"/>
        <w:gridCol w:w="454"/>
        <w:gridCol w:w="1645"/>
        <w:gridCol w:w="1124"/>
      </w:tblGrid>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xml:space="preserve">1. </w:t>
            </w:r>
            <w:r>
              <w:rPr>
                <w:rFonts w:hint="eastAsia" w:ascii="宋体" w:hAnsi="宋体" w:eastAsia="宋体" w:cs="宋体"/>
                <w:color w:val="000000" w:themeColor="text1"/>
                <w:spacing w:val="1"/>
                <w:kern w:val="0"/>
                <w:sz w:val="24"/>
                <w:szCs w:val="21"/>
                <w14:textFill>
                  <w14:solidFill>
                    <w14:schemeClr w14:val="tx1"/>
                  </w14:solidFill>
                </w14:textFill>
              </w:rPr>
              <w:t xml:space="preserve"> </w:t>
            </w:r>
            <w:r>
              <w:rPr>
                <w:rFonts w:hint="eastAsia" w:ascii="宋体" w:hAnsi="宋体" w:eastAsia="宋体" w:cs="宋体"/>
                <w:color w:val="000000" w:themeColor="text1"/>
                <w:spacing w:val="-2"/>
                <w:kern w:val="0"/>
                <w:sz w:val="24"/>
                <w:szCs w:val="21"/>
                <w14:textFill>
                  <w14:solidFill>
                    <w14:schemeClr w14:val="tx1"/>
                  </w14:solidFill>
                </w14:textFill>
              </w:rPr>
              <w:t>一</w:t>
            </w:r>
            <w:r>
              <w:rPr>
                <w:rFonts w:hint="eastAsia" w:ascii="宋体" w:hAnsi="宋体" w:eastAsia="宋体" w:cs="宋体"/>
                <w:color w:val="000000" w:themeColor="text1"/>
                <w:kern w:val="0"/>
                <w:sz w:val="24"/>
                <w:szCs w:val="21"/>
                <w14:textFill>
                  <w14:solidFill>
                    <w14:schemeClr w14:val="tx1"/>
                  </w14:solidFill>
                </w14:textFill>
              </w:rPr>
              <w:t>般</w:t>
            </w:r>
            <w:r>
              <w:rPr>
                <w:rFonts w:hint="eastAsia" w:ascii="宋体" w:hAnsi="宋体" w:eastAsia="宋体" w:cs="宋体"/>
                <w:color w:val="000000" w:themeColor="text1"/>
                <w:spacing w:val="-2"/>
                <w:kern w:val="0"/>
                <w:sz w:val="24"/>
                <w:szCs w:val="21"/>
                <w14:textFill>
                  <w14:solidFill>
                    <w14:schemeClr w14:val="tx1"/>
                  </w14:solidFill>
                </w14:textFill>
              </w:rPr>
              <w:t>情</w:t>
            </w:r>
            <w:r>
              <w:rPr>
                <w:rFonts w:hint="eastAsia" w:ascii="宋体" w:hAnsi="宋体" w:eastAsia="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15" w:right="-2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姓名</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8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48" w:right="-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性别</w:t>
            </w:r>
          </w:p>
        </w:tc>
        <w:tc>
          <w:tcPr>
            <w:tcW w:w="6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9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3" w:right="-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年龄</w:t>
            </w:r>
          </w:p>
        </w:tc>
        <w:tc>
          <w:tcPr>
            <w:tcW w:w="4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8" w:right="-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学位</w:t>
            </w:r>
          </w:p>
        </w:tc>
        <w:tc>
          <w:tcPr>
            <w:tcW w:w="496"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164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0" w:right="-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身份</w:t>
            </w:r>
            <w:r>
              <w:rPr>
                <w:rFonts w:hint="eastAsia" w:ascii="宋体" w:hAnsi="宋体" w:eastAsia="宋体" w:cs="宋体"/>
                <w:color w:val="000000" w:themeColor="text1"/>
                <w:spacing w:val="-2"/>
                <w:kern w:val="0"/>
                <w:sz w:val="24"/>
                <w:szCs w:val="21"/>
                <w14:textFill>
                  <w14:solidFill>
                    <w14:schemeClr w14:val="tx1"/>
                  </w14:solidFill>
                </w14:textFill>
              </w:rPr>
              <w:t>证</w:t>
            </w:r>
            <w:r>
              <w:rPr>
                <w:rFonts w:hint="eastAsia" w:ascii="宋体" w:hAnsi="宋体" w:eastAsia="宋体" w:cs="宋体"/>
                <w:color w:val="000000" w:themeColor="text1"/>
                <w:kern w:val="0"/>
                <w:sz w:val="24"/>
                <w:szCs w:val="21"/>
                <w14:textFill>
                  <w14:solidFill>
                    <w14:schemeClr w14:val="tx1"/>
                  </w14:solidFill>
                </w14:textFill>
              </w:rPr>
              <w:t>号码</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30" w:hRule="exact"/>
          <w:jc w:val="center"/>
        </w:trPr>
        <w:tc>
          <w:tcPr>
            <w:tcW w:w="10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215" w:right="-2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职称</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为投</w:t>
            </w:r>
            <w:r>
              <w:rPr>
                <w:rFonts w:hint="eastAsia" w:ascii="宋体" w:hAnsi="宋体" w:eastAsia="宋体" w:cs="宋体"/>
                <w:color w:val="000000" w:themeColor="text1"/>
                <w:spacing w:val="-2"/>
                <w:kern w:val="0"/>
                <w:sz w:val="24"/>
                <w:szCs w:val="21"/>
                <w14:textFill>
                  <w14:solidFill>
                    <w14:schemeClr w14:val="tx1"/>
                  </w14:solidFill>
                </w14:textFill>
              </w:rPr>
              <w:t>标</w:t>
            </w:r>
            <w:r>
              <w:rPr>
                <w:rFonts w:hint="eastAsia" w:ascii="宋体" w:hAnsi="宋体" w:eastAsia="宋体" w:cs="宋体"/>
                <w:color w:val="000000" w:themeColor="text1"/>
                <w:kern w:val="0"/>
                <w:sz w:val="24"/>
                <w:szCs w:val="21"/>
                <w14:textFill>
                  <w14:solidFill>
                    <w14:schemeClr w14:val="tx1"/>
                  </w14:solidFill>
                </w14:textFill>
              </w:rPr>
              <w:t>人</w:t>
            </w:r>
            <w:r>
              <w:rPr>
                <w:rFonts w:hint="eastAsia" w:ascii="宋体" w:hAnsi="宋体" w:eastAsia="宋体" w:cs="宋体"/>
                <w:color w:val="000000" w:themeColor="text1"/>
                <w:spacing w:val="-2"/>
                <w:kern w:val="0"/>
                <w:sz w:val="24"/>
                <w:szCs w:val="21"/>
                <w14:textFill>
                  <w14:solidFill>
                    <w14:schemeClr w14:val="tx1"/>
                  </w14:solidFill>
                </w14:textFill>
              </w:rPr>
              <w:t>服</w:t>
            </w:r>
            <w:r>
              <w:rPr>
                <w:rFonts w:hint="eastAsia" w:ascii="宋体" w:hAnsi="宋体" w:eastAsia="宋体" w:cs="宋体"/>
                <w:color w:val="000000" w:themeColor="text1"/>
                <w:kern w:val="0"/>
                <w:sz w:val="24"/>
                <w:szCs w:val="21"/>
                <w14:textFill>
                  <w14:solidFill>
                    <w14:schemeClr w14:val="tx1"/>
                  </w14:solidFill>
                </w14:textFill>
              </w:rPr>
              <w:t>务</w:t>
            </w:r>
            <w:r>
              <w:rPr>
                <w:rFonts w:hint="eastAsia" w:ascii="宋体" w:hAnsi="宋体" w:eastAsia="宋体" w:cs="宋体"/>
                <w:color w:val="000000" w:themeColor="text1"/>
                <w:spacing w:val="-2"/>
                <w:kern w:val="0"/>
                <w:sz w:val="24"/>
                <w:szCs w:val="21"/>
                <w14:textFill>
                  <w14:solidFill>
                    <w14:schemeClr w14:val="tx1"/>
                  </w14:solidFill>
                </w14:textFill>
              </w:rPr>
              <w:t>时</w:t>
            </w:r>
            <w:r>
              <w:rPr>
                <w:rFonts w:hint="eastAsia" w:ascii="宋体" w:hAnsi="宋体" w:eastAsia="宋体" w:cs="宋体"/>
                <w:color w:val="000000" w:themeColor="text1"/>
                <w:kern w:val="0"/>
                <w:sz w:val="24"/>
                <w:szCs w:val="21"/>
                <w14:textFill>
                  <w14:solidFill>
                    <w14:schemeClr w14:val="tx1"/>
                  </w14:solidFill>
                </w14:textFill>
              </w:rPr>
              <w:t>间</w:t>
            </w:r>
            <w:r>
              <w:rPr>
                <w:rFonts w:hint="eastAsia" w:ascii="宋体" w:hAnsi="宋体" w:eastAsia="宋体" w:cs="宋体"/>
                <w:color w:val="000000" w:themeColor="text1"/>
                <w:spacing w:val="-1"/>
                <w:kern w:val="0"/>
                <w:sz w:val="24"/>
                <w:szCs w:val="21"/>
                <w14:textFill>
                  <w14:solidFill>
                    <w14:schemeClr w14:val="tx1"/>
                  </w14:solidFill>
                </w14:textFill>
              </w:rPr>
              <w:t>(</w:t>
            </w:r>
            <w:r>
              <w:rPr>
                <w:rFonts w:hint="eastAsia" w:ascii="宋体" w:hAnsi="宋体" w:eastAsia="宋体" w:cs="宋体"/>
                <w:color w:val="000000" w:themeColor="text1"/>
                <w:kern w:val="0"/>
                <w:sz w:val="24"/>
                <w:szCs w:val="21"/>
                <w14:textFill>
                  <w14:solidFill>
                    <w14:schemeClr w14:val="tx1"/>
                  </w14:solidFill>
                </w14:textFill>
              </w:rPr>
              <w:t>年)</w:t>
            </w:r>
          </w:p>
        </w:tc>
        <w:tc>
          <w:tcPr>
            <w:tcW w:w="127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2141"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right="-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在本</w:t>
            </w:r>
            <w:r>
              <w:rPr>
                <w:rFonts w:hint="eastAsia" w:ascii="宋体" w:hAnsi="宋体" w:eastAsia="宋体" w:cs="宋体"/>
                <w:color w:val="000000" w:themeColor="text1"/>
                <w:spacing w:val="-2"/>
                <w:kern w:val="0"/>
                <w:sz w:val="24"/>
                <w:szCs w:val="21"/>
                <w14:textFill>
                  <w14:solidFill>
                    <w14:schemeClr w14:val="tx1"/>
                  </w14:solidFill>
                </w14:textFill>
              </w:rPr>
              <w:t>合</w:t>
            </w:r>
            <w:r>
              <w:rPr>
                <w:rFonts w:hint="eastAsia" w:ascii="宋体" w:hAnsi="宋体" w:eastAsia="宋体" w:cs="宋体"/>
                <w:color w:val="000000" w:themeColor="text1"/>
                <w:kern w:val="0"/>
                <w:sz w:val="24"/>
                <w:szCs w:val="21"/>
                <w14:textFill>
                  <w14:solidFill>
                    <w14:schemeClr w14:val="tx1"/>
                  </w14:solidFill>
                </w14:textFill>
              </w:rPr>
              <w:t>同</w:t>
            </w:r>
            <w:r>
              <w:rPr>
                <w:rFonts w:hint="eastAsia" w:ascii="宋体" w:hAnsi="宋体" w:eastAsia="宋体" w:cs="宋体"/>
                <w:color w:val="000000" w:themeColor="text1"/>
                <w:spacing w:val="-2"/>
                <w:kern w:val="0"/>
                <w:sz w:val="24"/>
                <w:szCs w:val="21"/>
                <w14:textFill>
                  <w14:solidFill>
                    <w14:schemeClr w14:val="tx1"/>
                  </w14:solidFill>
                </w14:textFill>
              </w:rPr>
              <w:t>中</w:t>
            </w:r>
            <w:r>
              <w:rPr>
                <w:rFonts w:hint="eastAsia" w:ascii="宋体" w:hAnsi="宋体" w:eastAsia="宋体" w:cs="宋体"/>
                <w:color w:val="000000" w:themeColor="text1"/>
                <w:kern w:val="0"/>
                <w:sz w:val="24"/>
                <w:szCs w:val="21"/>
                <w14:textFill>
                  <w14:solidFill>
                    <w14:schemeClr w14:val="tx1"/>
                  </w14:solidFill>
                </w14:textFill>
              </w:rPr>
              <w:t>拟</w:t>
            </w:r>
            <w:r>
              <w:rPr>
                <w:rFonts w:hint="eastAsia" w:ascii="宋体" w:hAnsi="宋体" w:eastAsia="宋体" w:cs="宋体"/>
                <w:color w:val="000000" w:themeColor="text1"/>
                <w:spacing w:val="-2"/>
                <w:kern w:val="0"/>
                <w:sz w:val="24"/>
                <w:szCs w:val="21"/>
                <w14:textFill>
                  <w14:solidFill>
                    <w14:schemeClr w14:val="tx1"/>
                  </w14:solidFill>
                </w14:textFill>
              </w:rPr>
              <w:t>任</w:t>
            </w:r>
            <w:r>
              <w:rPr>
                <w:rFonts w:hint="eastAsia" w:ascii="宋体" w:hAnsi="宋体" w:eastAsia="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15" w:right="-2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学历</w:t>
            </w:r>
          </w:p>
        </w:tc>
        <w:tc>
          <w:tcPr>
            <w:tcW w:w="7884" w:type="dxa"/>
            <w:gridSpan w:val="10"/>
            <w:tcBorders>
              <w:top w:val="single" w:color="000000" w:sz="6" w:space="0"/>
              <w:left w:val="single" w:color="000000" w:sz="6" w:space="0"/>
              <w:bottom w:val="single" w:color="000000" w:sz="6" w:space="0"/>
              <w:right w:val="single" w:color="000000" w:sz="6" w:space="0"/>
            </w:tcBorders>
            <w:vAlign w:val="center"/>
          </w:tcPr>
          <w:p>
            <w:pPr>
              <w:tabs>
                <w:tab w:val="left" w:pos="3160"/>
                <w:tab w:val="left" w:pos="5360"/>
              </w:tabs>
              <w:autoSpaceDE w:val="0"/>
              <w:autoSpaceDN w:val="0"/>
              <w:adjustRightInd w:val="0"/>
              <w:spacing w:before="16"/>
              <w:ind w:left="755" w:right="-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pacing w:val="-2"/>
                <w:kern w:val="0"/>
                <w:sz w:val="24"/>
                <w:szCs w:val="21"/>
                <w14:textFill>
                  <w14:solidFill>
                    <w14:schemeClr w14:val="tx1"/>
                  </w14:solidFill>
                </w14:textFill>
              </w:rPr>
              <w:t>年</w:t>
            </w:r>
            <w:r>
              <w:rPr>
                <w:rFonts w:hint="eastAsia" w:ascii="宋体" w:hAnsi="宋体" w:eastAsia="宋体" w:cs="宋体"/>
                <w:color w:val="000000" w:themeColor="text1"/>
                <w:kern w:val="0"/>
                <w:sz w:val="24"/>
                <w:szCs w:val="21"/>
                <w14:textFill>
                  <w14:solidFill>
                    <w14:schemeClr w14:val="tx1"/>
                  </w14:solidFill>
                </w14:textFill>
              </w:rPr>
              <w:t>毕</w:t>
            </w:r>
            <w:r>
              <w:rPr>
                <w:rFonts w:hint="eastAsia" w:ascii="宋体" w:hAnsi="宋体" w:eastAsia="宋体" w:cs="宋体"/>
                <w:color w:val="000000" w:themeColor="text1"/>
                <w:spacing w:val="-2"/>
                <w:kern w:val="0"/>
                <w:sz w:val="24"/>
                <w:szCs w:val="21"/>
                <w14:textFill>
                  <w14:solidFill>
                    <w14:schemeClr w14:val="tx1"/>
                  </w14:solidFill>
                </w14:textFill>
              </w:rPr>
              <w:t>业</w:t>
            </w:r>
            <w:r>
              <w:rPr>
                <w:rFonts w:hint="eastAsia" w:ascii="宋体" w:hAnsi="宋体" w:eastAsia="宋体" w:cs="宋体"/>
                <w:color w:val="000000" w:themeColor="text1"/>
                <w:kern w:val="0"/>
                <w:sz w:val="24"/>
                <w:szCs w:val="21"/>
                <w14:textFill>
                  <w14:solidFill>
                    <w14:schemeClr w14:val="tx1"/>
                  </w14:solidFill>
                </w14:textFill>
              </w:rPr>
              <w:t>于</w:t>
            </w:r>
            <w:r>
              <w:rPr>
                <w:rFonts w:hint="eastAsia" w:ascii="宋体" w:hAnsi="宋体" w:eastAsia="宋体" w:cs="宋体"/>
                <w:color w:val="000000" w:themeColor="text1"/>
                <w:kern w:val="0"/>
                <w:sz w:val="24"/>
                <w:szCs w:val="21"/>
                <w14:textFill>
                  <w14:solidFill>
                    <w14:schemeClr w14:val="tx1"/>
                  </w14:solidFill>
                </w14:textFill>
              </w:rPr>
              <w:tab/>
            </w:r>
            <w:r>
              <w:rPr>
                <w:rFonts w:hint="eastAsia" w:ascii="宋体" w:hAnsi="宋体" w:eastAsia="宋体" w:cs="宋体"/>
                <w:color w:val="000000" w:themeColor="text1"/>
                <w:spacing w:val="-2"/>
                <w:kern w:val="0"/>
                <w:sz w:val="24"/>
                <w:szCs w:val="21"/>
                <w14:textFill>
                  <w14:solidFill>
                    <w14:schemeClr w14:val="tx1"/>
                  </w14:solidFill>
                </w14:textFill>
              </w:rPr>
              <w:t>（</w:t>
            </w:r>
            <w:r>
              <w:rPr>
                <w:rFonts w:hint="eastAsia" w:ascii="宋体" w:hAnsi="宋体" w:eastAsia="宋体" w:cs="宋体"/>
                <w:color w:val="000000" w:themeColor="text1"/>
                <w:kern w:val="0"/>
                <w:sz w:val="24"/>
                <w:szCs w:val="21"/>
                <w14:textFill>
                  <w14:solidFill>
                    <w14:schemeClr w14:val="tx1"/>
                  </w14:solidFill>
                </w14:textFill>
              </w:rPr>
              <w:t>学</w:t>
            </w:r>
            <w:r>
              <w:rPr>
                <w:rFonts w:hint="eastAsia" w:ascii="宋体" w:hAnsi="宋体" w:eastAsia="宋体" w:cs="宋体"/>
                <w:color w:val="000000" w:themeColor="text1"/>
                <w:spacing w:val="-2"/>
                <w:kern w:val="0"/>
                <w:sz w:val="24"/>
                <w:szCs w:val="21"/>
                <w14:textFill>
                  <w14:solidFill>
                    <w14:schemeClr w14:val="tx1"/>
                  </w14:solidFill>
                </w14:textFill>
              </w:rPr>
              <w:t>校</w:t>
            </w:r>
            <w:r>
              <w:rPr>
                <w:rFonts w:hint="eastAsia" w:ascii="宋体" w:hAnsi="宋体" w:eastAsia="宋体" w:cs="宋体"/>
                <w:color w:val="000000" w:themeColor="text1"/>
                <w:kern w:val="0"/>
                <w:sz w:val="24"/>
                <w:szCs w:val="21"/>
                <w14:textFill>
                  <w14:solidFill>
                    <w14:schemeClr w14:val="tx1"/>
                  </w14:solidFill>
                </w14:textFill>
              </w:rPr>
              <w:t>）</w:t>
            </w:r>
            <w:r>
              <w:rPr>
                <w:rFonts w:hint="eastAsia" w:ascii="宋体" w:hAnsi="宋体" w:eastAsia="宋体" w:cs="宋体"/>
                <w:color w:val="000000" w:themeColor="text1"/>
                <w:kern w:val="0"/>
                <w:sz w:val="24"/>
                <w:szCs w:val="21"/>
                <w14:textFill>
                  <w14:solidFill>
                    <w14:schemeClr w14:val="tx1"/>
                  </w14:solidFill>
                </w14:textFill>
              </w:rPr>
              <w:tab/>
            </w:r>
            <w:r>
              <w:rPr>
                <w:rFonts w:hint="eastAsia" w:ascii="宋体" w:hAnsi="宋体" w:eastAsia="宋体" w:cs="宋体"/>
                <w:color w:val="000000" w:themeColor="text1"/>
                <w:kern w:val="0"/>
                <w:sz w:val="24"/>
                <w:szCs w:val="21"/>
                <w14:textFill>
                  <w14:solidFill>
                    <w14:schemeClr w14:val="tx1"/>
                  </w14:solidFill>
                </w14:textFill>
              </w:rPr>
              <w:t>（</w:t>
            </w:r>
            <w:r>
              <w:rPr>
                <w:rFonts w:hint="eastAsia" w:ascii="宋体" w:hAnsi="宋体" w:eastAsia="宋体" w:cs="宋体"/>
                <w:color w:val="000000" w:themeColor="text1"/>
                <w:spacing w:val="-2"/>
                <w:kern w:val="0"/>
                <w:sz w:val="24"/>
                <w:szCs w:val="21"/>
                <w14:textFill>
                  <w14:solidFill>
                    <w14:schemeClr w14:val="tx1"/>
                  </w14:solidFill>
                </w14:textFill>
              </w:rPr>
              <w:t>专</w:t>
            </w:r>
            <w:r>
              <w:rPr>
                <w:rFonts w:hint="eastAsia" w:ascii="宋体" w:hAnsi="宋体" w:eastAsia="宋体" w:cs="宋体"/>
                <w:color w:val="000000" w:themeColor="text1"/>
                <w:kern w:val="0"/>
                <w:sz w:val="24"/>
                <w:szCs w:val="21"/>
                <w14:textFill>
                  <w14:solidFill>
                    <w14:schemeClr w14:val="tx1"/>
                  </w14:solidFill>
                </w14:textFill>
              </w:rPr>
              <w:t>业）</w:t>
            </w:r>
          </w:p>
        </w:tc>
      </w:tr>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863" w:right="3843"/>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xml:space="preserve">2. </w:t>
            </w:r>
            <w:r>
              <w:rPr>
                <w:rFonts w:hint="eastAsia" w:ascii="宋体" w:hAnsi="宋体" w:eastAsia="宋体" w:cs="宋体"/>
                <w:color w:val="000000" w:themeColor="text1"/>
                <w:spacing w:val="1"/>
                <w:kern w:val="0"/>
                <w:sz w:val="24"/>
                <w:szCs w:val="21"/>
                <w14:textFill>
                  <w14:solidFill>
                    <w14:schemeClr w14:val="tx1"/>
                  </w14:solidFill>
                </w14:textFill>
              </w:rPr>
              <w:t xml:space="preserve"> </w:t>
            </w:r>
            <w:r>
              <w:rPr>
                <w:rFonts w:hint="eastAsia" w:ascii="宋体" w:hAnsi="宋体" w:eastAsia="宋体" w:cs="宋体"/>
                <w:color w:val="000000" w:themeColor="text1"/>
                <w:spacing w:val="-2"/>
                <w:kern w:val="0"/>
                <w:sz w:val="24"/>
                <w:szCs w:val="21"/>
                <w14:textFill>
                  <w14:solidFill>
                    <w14:schemeClr w14:val="tx1"/>
                  </w14:solidFill>
                </w14:textFill>
              </w:rPr>
              <w:t>经历</w:t>
            </w:r>
          </w:p>
        </w:tc>
      </w:tr>
      <w:tr>
        <w:tblPrEx>
          <w:tblCellMar>
            <w:top w:w="0" w:type="dxa"/>
            <w:left w:w="0" w:type="dxa"/>
            <w:bottom w:w="0" w:type="dxa"/>
            <w:right w:w="0" w:type="dxa"/>
          </w:tblCellMar>
        </w:tblPrEx>
        <w:trPr>
          <w:trHeight w:val="979" w:hRule="exact"/>
          <w:jc w:val="center"/>
        </w:trPr>
        <w:tc>
          <w:tcPr>
            <w:tcW w:w="10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15" w:right="-2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时间</w:t>
            </w:r>
          </w:p>
        </w:tc>
        <w:tc>
          <w:tcPr>
            <w:tcW w:w="4661"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45" w:right="-2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负责</w:t>
            </w:r>
            <w:r>
              <w:rPr>
                <w:rFonts w:hint="eastAsia" w:ascii="宋体" w:hAnsi="宋体" w:eastAsia="宋体" w:cs="宋体"/>
                <w:color w:val="000000" w:themeColor="text1"/>
                <w:spacing w:val="-2"/>
                <w:kern w:val="0"/>
                <w:sz w:val="24"/>
                <w:szCs w:val="21"/>
                <w14:textFill>
                  <w14:solidFill>
                    <w14:schemeClr w14:val="tx1"/>
                  </w14:solidFill>
                </w14:textFill>
              </w:rPr>
              <w:t>过</w:t>
            </w:r>
            <w:r>
              <w:rPr>
                <w:rFonts w:hint="eastAsia" w:ascii="宋体" w:hAnsi="宋体" w:eastAsia="宋体" w:cs="宋体"/>
                <w:color w:val="000000" w:themeColor="text1"/>
                <w:kern w:val="0"/>
                <w:sz w:val="24"/>
                <w:szCs w:val="21"/>
                <w14:textFill>
                  <w14:solidFill>
                    <w14:schemeClr w14:val="tx1"/>
                  </w14:solidFill>
                </w14:textFill>
              </w:rPr>
              <w:t>的</w:t>
            </w:r>
            <w:r>
              <w:rPr>
                <w:rFonts w:hint="eastAsia" w:ascii="宋体" w:hAnsi="宋体" w:eastAsia="宋体" w:cs="宋体"/>
                <w:color w:val="000000" w:themeColor="text1"/>
                <w:spacing w:val="-2"/>
                <w:kern w:val="0"/>
                <w:sz w:val="24"/>
                <w:szCs w:val="21"/>
                <w14:textFill>
                  <w14:solidFill>
                    <w14:schemeClr w14:val="tx1"/>
                  </w14:solidFill>
                </w14:textFill>
              </w:rPr>
              <w:t>主</w:t>
            </w:r>
            <w:r>
              <w:rPr>
                <w:rFonts w:hint="eastAsia" w:ascii="宋体" w:hAnsi="宋体" w:eastAsia="宋体" w:cs="宋体"/>
                <w:color w:val="000000" w:themeColor="text1"/>
                <w:kern w:val="0"/>
                <w:sz w:val="24"/>
                <w:szCs w:val="21"/>
                <w14:textFill>
                  <w14:solidFill>
                    <w14:schemeClr w14:val="tx1"/>
                  </w14:solidFill>
                </w14:textFill>
              </w:rPr>
              <w:t>要</w:t>
            </w:r>
            <w:r>
              <w:rPr>
                <w:rFonts w:hint="eastAsia" w:ascii="宋体" w:hAnsi="宋体" w:eastAsia="宋体" w:cs="宋体"/>
                <w:color w:val="000000" w:themeColor="text1"/>
                <w:spacing w:val="-2"/>
                <w:kern w:val="0"/>
                <w:sz w:val="24"/>
                <w:szCs w:val="21"/>
                <w14:textFill>
                  <w14:solidFill>
                    <w14:schemeClr w14:val="tx1"/>
                  </w14:solidFill>
                </w14:textFill>
              </w:rPr>
              <w:t>工</w:t>
            </w:r>
            <w:r>
              <w:rPr>
                <w:rFonts w:hint="eastAsia" w:ascii="宋体" w:hAnsi="宋体" w:eastAsia="宋体" w:cs="宋体"/>
                <w:color w:val="000000" w:themeColor="text1"/>
                <w:kern w:val="0"/>
                <w:sz w:val="24"/>
                <w:szCs w:val="21"/>
                <w14:textFill>
                  <w14:solidFill>
                    <w14:schemeClr w14:val="tx1"/>
                  </w14:solidFill>
                </w14:textFill>
              </w:rPr>
              <w:t>程</w:t>
            </w:r>
            <w:r>
              <w:rPr>
                <w:rFonts w:hint="eastAsia" w:ascii="宋体" w:hAnsi="宋体" w:eastAsia="宋体" w:cs="宋体"/>
                <w:color w:val="000000" w:themeColor="text1"/>
                <w:spacing w:val="-2"/>
                <w:kern w:val="0"/>
                <w:sz w:val="24"/>
                <w:szCs w:val="21"/>
                <w14:textFill>
                  <w14:solidFill>
                    <w14:schemeClr w14:val="tx1"/>
                  </w14:solidFill>
                </w14:textFill>
              </w:rPr>
              <w:t>（</w:t>
            </w:r>
            <w:r>
              <w:rPr>
                <w:rFonts w:hint="eastAsia" w:ascii="宋体" w:hAnsi="宋体" w:eastAsia="宋体" w:cs="宋体"/>
                <w:color w:val="000000" w:themeColor="text1"/>
                <w:kern w:val="0"/>
                <w:sz w:val="24"/>
                <w:szCs w:val="21"/>
                <w14:textFill>
                  <w14:solidFill>
                    <w14:schemeClr w14:val="tx1"/>
                  </w14:solidFill>
                </w14:textFill>
              </w:rPr>
              <w:t>类</w:t>
            </w:r>
            <w:r>
              <w:rPr>
                <w:rFonts w:hint="eastAsia" w:ascii="宋体" w:hAnsi="宋体" w:eastAsia="宋体" w:cs="宋体"/>
                <w:color w:val="000000" w:themeColor="text1"/>
                <w:spacing w:val="-2"/>
                <w:kern w:val="0"/>
                <w:sz w:val="24"/>
                <w:szCs w:val="21"/>
                <w14:textFill>
                  <w14:solidFill>
                    <w14:schemeClr w14:val="tx1"/>
                  </w14:solidFill>
                </w14:textFill>
              </w:rPr>
              <w:t>型</w:t>
            </w:r>
            <w:r>
              <w:rPr>
                <w:rFonts w:hint="eastAsia" w:ascii="宋体" w:hAnsi="宋体" w:eastAsia="宋体" w:cs="宋体"/>
                <w:color w:val="000000" w:themeColor="text1"/>
                <w:kern w:val="0"/>
                <w:sz w:val="24"/>
                <w:szCs w:val="21"/>
                <w14:textFill>
                  <w14:solidFill>
                    <w14:schemeClr w14:val="tx1"/>
                  </w14:solidFill>
                </w14:textFill>
              </w:rPr>
              <w:t>和金</w:t>
            </w:r>
            <w:r>
              <w:rPr>
                <w:rFonts w:hint="eastAsia" w:ascii="宋体" w:hAnsi="宋体" w:eastAsia="宋体" w:cs="宋体"/>
                <w:color w:val="000000" w:themeColor="text1"/>
                <w:spacing w:val="-2"/>
                <w:kern w:val="0"/>
                <w:sz w:val="24"/>
                <w:szCs w:val="21"/>
                <w14:textFill>
                  <w14:solidFill>
                    <w14:schemeClr w14:val="tx1"/>
                  </w14:solidFill>
                </w14:textFill>
              </w:rPr>
              <w:t>额</w:t>
            </w:r>
            <w:r>
              <w:rPr>
                <w:rFonts w:hint="eastAsia" w:ascii="宋体" w:hAnsi="宋体" w:eastAsia="宋体" w:cs="宋体"/>
                <w:color w:val="000000" w:themeColor="text1"/>
                <w:kern w:val="0"/>
                <w:sz w:val="24"/>
                <w:szCs w:val="21"/>
                <w14:textFill>
                  <w14:solidFill>
                    <w14:schemeClr w14:val="tx1"/>
                  </w14:solidFill>
                </w14:textFill>
              </w:rPr>
              <w:t>）</w:t>
            </w:r>
          </w:p>
        </w:tc>
        <w:tc>
          <w:tcPr>
            <w:tcW w:w="209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75" w:right="-20"/>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该项</w:t>
            </w:r>
            <w:r>
              <w:rPr>
                <w:rFonts w:hint="eastAsia" w:ascii="宋体" w:hAnsi="宋体" w:eastAsia="宋体" w:cs="宋体"/>
                <w:color w:val="000000" w:themeColor="text1"/>
                <w:spacing w:val="-2"/>
                <w:kern w:val="0"/>
                <w:sz w:val="24"/>
                <w:szCs w:val="21"/>
                <w14:textFill>
                  <w14:solidFill>
                    <w14:schemeClr w14:val="tx1"/>
                  </w14:solidFill>
                </w14:textFill>
              </w:rPr>
              <w:t>目</w:t>
            </w:r>
            <w:r>
              <w:rPr>
                <w:rFonts w:hint="eastAsia" w:ascii="宋体" w:hAnsi="宋体" w:eastAsia="宋体" w:cs="宋体"/>
                <w:color w:val="000000" w:themeColor="text1"/>
                <w:kern w:val="0"/>
                <w:sz w:val="24"/>
                <w:szCs w:val="21"/>
                <w14:textFill>
                  <w14:solidFill>
                    <w14:schemeClr w14:val="tx1"/>
                  </w14:solidFill>
                </w14:textFill>
              </w:rPr>
              <w:t>中</w:t>
            </w:r>
            <w:r>
              <w:rPr>
                <w:rFonts w:hint="eastAsia" w:ascii="宋体" w:hAnsi="宋体" w:eastAsia="宋体" w:cs="宋体"/>
                <w:color w:val="000000" w:themeColor="text1"/>
                <w:spacing w:val="-2"/>
                <w:kern w:val="0"/>
                <w:sz w:val="24"/>
                <w:szCs w:val="21"/>
                <w14:textFill>
                  <w14:solidFill>
                    <w14:schemeClr w14:val="tx1"/>
                  </w14:solidFill>
                </w14:textFill>
              </w:rPr>
              <w:t>任</w:t>
            </w:r>
            <w:r>
              <w:rPr>
                <w:rFonts w:hint="eastAsia" w:ascii="宋体" w:hAnsi="宋体" w:eastAsia="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hint="eastAsia" w:ascii="宋体" w:hAnsi="宋体" w:eastAsia="宋体" w:cs="宋体"/>
                <w:color w:val="000000" w:themeColor="text1"/>
                <w:kern w:val="0"/>
                <w:sz w:val="24"/>
                <w:szCs w:val="21"/>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发包人及联系电话</w:t>
            </w:r>
          </w:p>
        </w:tc>
      </w:tr>
      <w:tr>
        <w:tblPrEx>
          <w:tblCellMar>
            <w:top w:w="0" w:type="dxa"/>
            <w:left w:w="0" w:type="dxa"/>
            <w:bottom w:w="0" w:type="dxa"/>
            <w:right w:w="0" w:type="dxa"/>
          </w:tblCellMar>
        </w:tblPrEx>
        <w:trPr>
          <w:trHeight w:val="217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4661"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209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28"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xml:space="preserve">3. </w:t>
            </w:r>
            <w:r>
              <w:rPr>
                <w:rFonts w:hint="eastAsia" w:ascii="宋体" w:hAnsi="宋体" w:eastAsia="宋体" w:cs="宋体"/>
                <w:color w:val="000000" w:themeColor="text1"/>
                <w:spacing w:val="1"/>
                <w:kern w:val="0"/>
                <w:sz w:val="24"/>
                <w:szCs w:val="21"/>
                <w14:textFill>
                  <w14:solidFill>
                    <w14:schemeClr w14:val="tx1"/>
                  </w14:solidFill>
                </w14:textFill>
              </w:rPr>
              <w:t xml:space="preserve"> </w:t>
            </w:r>
            <w:r>
              <w:rPr>
                <w:rFonts w:hint="eastAsia" w:ascii="宋体" w:hAnsi="宋体" w:eastAsia="宋体" w:cs="宋体"/>
                <w:color w:val="000000" w:themeColor="text1"/>
                <w:spacing w:val="-2"/>
                <w:kern w:val="0"/>
                <w:sz w:val="24"/>
                <w:szCs w:val="21"/>
                <w14:textFill>
                  <w14:solidFill>
                    <w14:schemeClr w14:val="tx1"/>
                  </w14:solidFill>
                </w14:textFill>
              </w:rPr>
              <w:t>获</w:t>
            </w:r>
            <w:r>
              <w:rPr>
                <w:rFonts w:hint="eastAsia" w:ascii="宋体" w:hAnsi="宋体" w:eastAsia="宋体" w:cs="宋体"/>
                <w:color w:val="000000" w:themeColor="text1"/>
                <w:kern w:val="0"/>
                <w:sz w:val="24"/>
                <w:szCs w:val="21"/>
                <w14:textFill>
                  <w14:solidFill>
                    <w14:schemeClr w14:val="tx1"/>
                  </w14:solidFill>
                </w14:textFill>
              </w:rPr>
              <w:t>奖</w:t>
            </w:r>
            <w:r>
              <w:rPr>
                <w:rFonts w:hint="eastAsia" w:ascii="宋体" w:hAnsi="宋体" w:eastAsia="宋体" w:cs="宋体"/>
                <w:color w:val="000000" w:themeColor="text1"/>
                <w:spacing w:val="-2"/>
                <w:kern w:val="0"/>
                <w:sz w:val="24"/>
                <w:szCs w:val="21"/>
                <w14:textFill>
                  <w14:solidFill>
                    <w14:schemeClr w14:val="tx1"/>
                  </w14:solidFill>
                </w14:textFill>
              </w:rPr>
              <w:t>情</w:t>
            </w:r>
            <w:r>
              <w:rPr>
                <w:rFonts w:hint="eastAsia" w:ascii="宋体" w:hAnsi="宋体" w:eastAsia="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1455"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56"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337" w:right="3315"/>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xml:space="preserve">4. </w:t>
            </w:r>
            <w:r>
              <w:rPr>
                <w:rFonts w:hint="eastAsia" w:ascii="宋体" w:hAnsi="宋体" w:eastAsia="宋体" w:cs="宋体"/>
                <w:color w:val="000000" w:themeColor="text1"/>
                <w:spacing w:val="1"/>
                <w:kern w:val="0"/>
                <w:sz w:val="24"/>
                <w:szCs w:val="21"/>
                <w14:textFill>
                  <w14:solidFill>
                    <w14:schemeClr w14:val="tx1"/>
                  </w14:solidFill>
                </w14:textFill>
              </w:rPr>
              <w:t xml:space="preserve"> </w:t>
            </w:r>
            <w:r>
              <w:rPr>
                <w:rFonts w:hint="eastAsia" w:ascii="宋体" w:hAnsi="宋体" w:eastAsia="宋体" w:cs="宋体"/>
                <w:color w:val="000000" w:themeColor="text1"/>
                <w:spacing w:val="-2"/>
                <w:kern w:val="0"/>
                <w:sz w:val="24"/>
                <w:szCs w:val="21"/>
                <w14:textFill>
                  <w14:solidFill>
                    <w14:schemeClr w14:val="tx1"/>
                  </w14:solidFill>
                </w14:textFill>
              </w:rPr>
              <w:t>目</w:t>
            </w:r>
            <w:r>
              <w:rPr>
                <w:rFonts w:hint="eastAsia" w:ascii="宋体" w:hAnsi="宋体" w:eastAsia="宋体" w:cs="宋体"/>
                <w:color w:val="000000" w:themeColor="text1"/>
                <w:kern w:val="0"/>
                <w:sz w:val="24"/>
                <w:szCs w:val="21"/>
                <w14:textFill>
                  <w14:solidFill>
                    <w14:schemeClr w14:val="tx1"/>
                  </w14:solidFill>
                </w14:textFill>
              </w:rPr>
              <w:t>前</w:t>
            </w:r>
            <w:r>
              <w:rPr>
                <w:rFonts w:hint="eastAsia" w:ascii="宋体" w:hAnsi="宋体" w:eastAsia="宋体" w:cs="宋体"/>
                <w:color w:val="000000" w:themeColor="text1"/>
                <w:spacing w:val="-2"/>
                <w:kern w:val="0"/>
                <w:sz w:val="24"/>
                <w:szCs w:val="21"/>
                <w14:textFill>
                  <w14:solidFill>
                    <w14:schemeClr w14:val="tx1"/>
                  </w14:solidFill>
                </w14:textFill>
              </w:rPr>
              <w:t>承</w:t>
            </w:r>
            <w:r>
              <w:rPr>
                <w:rFonts w:hint="eastAsia" w:ascii="宋体" w:hAnsi="宋体" w:eastAsia="宋体" w:cs="宋体"/>
                <w:color w:val="000000" w:themeColor="text1"/>
                <w:kern w:val="0"/>
                <w:sz w:val="24"/>
                <w:szCs w:val="21"/>
                <w14:textFill>
                  <w14:solidFill>
                    <w14:schemeClr w14:val="tx1"/>
                  </w14:solidFill>
                </w14:textFill>
              </w:rPr>
              <w:t>担</w:t>
            </w:r>
            <w:r>
              <w:rPr>
                <w:rFonts w:hint="eastAsia" w:ascii="宋体" w:hAnsi="宋体" w:eastAsia="宋体" w:cs="宋体"/>
                <w:color w:val="000000" w:themeColor="text1"/>
                <w:spacing w:val="-2"/>
                <w:kern w:val="0"/>
                <w:sz w:val="24"/>
                <w:szCs w:val="21"/>
                <w14:textFill>
                  <w14:solidFill>
                    <w14:schemeClr w14:val="tx1"/>
                  </w14:solidFill>
                </w14:textFill>
              </w:rPr>
              <w:t>的</w:t>
            </w:r>
            <w:r>
              <w:rPr>
                <w:rFonts w:hint="eastAsia" w:ascii="宋体" w:hAnsi="宋体" w:eastAsia="宋体" w:cs="宋体"/>
                <w:color w:val="000000" w:themeColor="text1"/>
                <w:kern w:val="0"/>
                <w:sz w:val="24"/>
                <w:szCs w:val="21"/>
                <w14:textFill>
                  <w14:solidFill>
                    <w14:schemeClr w14:val="tx1"/>
                  </w14:solidFill>
                </w14:textFill>
              </w:rPr>
              <w:t>任务</w:t>
            </w:r>
          </w:p>
        </w:tc>
      </w:tr>
      <w:tr>
        <w:tblPrEx>
          <w:tblCellMar>
            <w:top w:w="0" w:type="dxa"/>
            <w:left w:w="0" w:type="dxa"/>
            <w:bottom w:w="0" w:type="dxa"/>
            <w:right w:w="0" w:type="dxa"/>
          </w:tblCellMar>
        </w:tblPrEx>
        <w:trPr>
          <w:trHeight w:val="2692" w:hRule="exact"/>
          <w:jc w:val="center"/>
        </w:trPr>
        <w:tc>
          <w:tcPr>
            <w:tcW w:w="8931" w:type="dxa"/>
            <w:gridSpan w:val="11"/>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hint="eastAsia" w:ascii="宋体" w:hAnsi="宋体" w:eastAsia="宋体" w:cs="宋体"/>
                <w:color w:val="000000" w:themeColor="text1"/>
                <w:kern w:val="0"/>
                <w:sz w:val="24"/>
                <w14:textFill>
                  <w14:solidFill>
                    <w14:schemeClr w14:val="tx1"/>
                  </w14:solidFill>
                </w14:textFill>
              </w:rPr>
            </w:pPr>
          </w:p>
        </w:tc>
      </w:tr>
    </w:tbl>
    <w:p>
      <w:pPr>
        <w:autoSpaceDE w:val="0"/>
        <w:autoSpaceDN w:val="0"/>
        <w:adjustRightInd w:val="0"/>
        <w:spacing w:line="200" w:lineRule="exact"/>
        <w:jc w:val="left"/>
        <w:rPr>
          <w:rFonts w:hint="eastAsia" w:ascii="宋体" w:hAnsi="宋体" w:eastAsia="宋体" w:cs="宋体"/>
          <w:color w:val="000000" w:themeColor="text1"/>
          <w:kern w:val="0"/>
          <w:sz w:val="20"/>
          <w:szCs w:val="20"/>
          <w14:textFill>
            <w14:solidFill>
              <w14:schemeClr w14:val="tx1"/>
            </w14:solidFill>
          </w14:textFill>
        </w:rPr>
      </w:pPr>
    </w:p>
    <w:p>
      <w:pPr>
        <w:autoSpaceDE w:val="0"/>
        <w:autoSpaceDN w:val="0"/>
        <w:adjustRightInd w:val="0"/>
        <w:spacing w:line="271" w:lineRule="exact"/>
        <w:ind w:right="-20"/>
        <w:jc w:val="left"/>
        <w:rPr>
          <w:rFonts w:hint="eastAsia" w:ascii="宋体" w:hAnsi="宋体" w:eastAsia="宋体" w:cs="宋体"/>
          <w:color w:val="000000" w:themeColor="text1"/>
          <w:spacing w:val="-2"/>
          <w:kern w:val="0"/>
          <w:sz w:val="24"/>
          <w:lang w:val="en-US" w:eastAsia="zh-CN"/>
          <w14:textFill>
            <w14:solidFill>
              <w14:schemeClr w14:val="tx1"/>
            </w14:solidFill>
          </w14:textFill>
        </w:rPr>
      </w:pPr>
      <w:r>
        <w:rPr>
          <w:rFonts w:hint="eastAsia" w:ascii="宋体" w:hAnsi="宋体" w:eastAsia="宋体" w:cs="宋体"/>
          <w:color w:val="000000" w:themeColor="text1"/>
          <w:kern w:val="0"/>
          <w:position w:val="-2"/>
          <w:sz w:val="24"/>
          <w14:textFill>
            <w14:solidFill>
              <w14:schemeClr w14:val="tx1"/>
            </w14:solidFill>
          </w14:textFill>
        </w:rPr>
        <w:t>注：</w:t>
      </w:r>
      <w:r>
        <w:rPr>
          <w:rFonts w:hint="eastAsia" w:ascii="宋体" w:hAnsi="宋体" w:eastAsia="宋体" w:cs="宋体"/>
          <w:color w:val="000000" w:themeColor="text1"/>
          <w:kern w:val="0"/>
          <w:sz w:val="24"/>
          <w14:textFill>
            <w14:solidFill>
              <w14:schemeClr w14:val="tx1"/>
            </w14:solidFill>
          </w14:textFill>
        </w:rPr>
        <w:t>附</w:t>
      </w:r>
      <w:r>
        <w:rPr>
          <w:rFonts w:hint="eastAsia" w:ascii="宋体" w:hAnsi="宋体" w:eastAsia="宋体" w:cs="宋体"/>
          <w:color w:val="000000" w:themeColor="text1"/>
          <w:spacing w:val="-2"/>
          <w:kern w:val="0"/>
          <w:sz w:val="24"/>
          <w:lang w:val="en-US" w:eastAsia="zh-CN"/>
          <w14:textFill>
            <w14:solidFill>
              <w14:schemeClr w14:val="tx1"/>
            </w14:solidFill>
          </w14:textFill>
        </w:rPr>
        <w:t>证明材料。</w:t>
      </w:r>
      <w:bookmarkStart w:id="309" w:name="_Toc2861"/>
      <w:bookmarkStart w:id="310" w:name="_Toc4570"/>
    </w:p>
    <w:p>
      <w:pPr>
        <w:rPr>
          <w:rFonts w:hint="eastAsia" w:ascii="宋体" w:hAnsi="宋体" w:eastAsia="宋体" w:cs="宋体"/>
          <w:color w:val="000000" w:themeColor="text1"/>
          <w:spacing w:val="-2"/>
          <w:kern w:val="0"/>
          <w:sz w:val="24"/>
          <w:lang w:val="en-US" w:eastAsia="zh-CN"/>
          <w14:textFill>
            <w14:solidFill>
              <w14:schemeClr w14:val="tx1"/>
            </w14:solidFill>
          </w14:textFill>
        </w:rPr>
      </w:pPr>
      <w:r>
        <w:rPr>
          <w:rFonts w:hint="eastAsia" w:ascii="宋体" w:hAnsi="宋体" w:eastAsia="宋体" w:cs="宋体"/>
          <w:color w:val="000000" w:themeColor="text1"/>
          <w:spacing w:val="-2"/>
          <w:kern w:val="0"/>
          <w:sz w:val="24"/>
          <w:lang w:val="en-US" w:eastAsia="zh-CN"/>
          <w14:textFill>
            <w14:solidFill>
              <w14:schemeClr w14:val="tx1"/>
            </w14:solidFill>
          </w14:textFill>
        </w:rPr>
        <w:br w:type="page"/>
      </w:r>
    </w:p>
    <w:bookmarkEnd w:id="309"/>
    <w:bookmarkEnd w:id="310"/>
    <w:p>
      <w:pPr>
        <w:pStyle w:val="6"/>
        <w:numPr>
          <w:ilvl w:val="2"/>
          <w:numId w:val="0"/>
        </w:numPr>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五</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技术方案（暗标）</w:t>
      </w:r>
    </w:p>
    <w:p>
      <w:pPr>
        <w:pStyle w:val="57"/>
        <w:rPr>
          <w:rFonts w:ascii="宋体" w:hAnsi="宋体" w:eastAsia="宋体" w:cs="宋体"/>
          <w:sz w:val="21"/>
        </w:rPr>
      </w:pPr>
      <w:r>
        <w:rPr>
          <w:rFonts w:hint="eastAsia" w:ascii="宋体" w:hAnsi="宋体" w:eastAsia="宋体" w:cs="宋体"/>
          <w:b/>
          <w:bCs/>
          <w:sz w:val="21"/>
          <w:szCs w:val="21"/>
        </w:rPr>
        <w:t>暗标的编制要求：</w:t>
      </w:r>
    </w:p>
    <w:p>
      <w:pPr>
        <w:jc w:val="center"/>
        <w:rPr>
          <w:rFonts w:hint="eastAsia" w:ascii="宋体" w:hAnsi="宋体" w:cs="宋体"/>
          <w:color w:val="000000" w:themeColor="text1"/>
          <w:sz w:val="28"/>
          <w:szCs w:val="36"/>
          <w14:textFill>
            <w14:solidFill>
              <w14:schemeClr w14:val="tx1"/>
            </w14:solidFill>
          </w14:textFill>
        </w:rPr>
      </w:pPr>
      <w:r>
        <w:rPr>
          <w:rFonts w:hint="eastAsia" w:ascii="宋体" w:hAnsi="宋体" w:eastAsia="宋体" w:cs="宋体"/>
          <w:color w:val="auto"/>
          <w:sz w:val="21"/>
          <w:szCs w:val="21"/>
          <w:lang w:val="en-US" w:eastAsia="zh-CN"/>
        </w:rPr>
        <w:drawing>
          <wp:inline distT="0" distB="0" distL="114300" distR="114300">
            <wp:extent cx="4918710" cy="3637915"/>
            <wp:effectExtent l="0" t="0" r="15240" b="635"/>
            <wp:docPr id="6" name="图片 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333"/>
                    <pic:cNvPicPr>
                      <a:picLocks noChangeAspect="1"/>
                    </pic:cNvPicPr>
                  </pic:nvPicPr>
                  <pic:blipFill>
                    <a:blip r:embed="rId10"/>
                    <a:stretch>
                      <a:fillRect/>
                    </a:stretch>
                  </pic:blipFill>
                  <pic:spPr>
                    <a:xfrm>
                      <a:off x="0" y="0"/>
                      <a:ext cx="4918710" cy="3637915"/>
                    </a:xfrm>
                    <a:prstGeom prst="rect">
                      <a:avLst/>
                    </a:prstGeom>
                    <a:noFill/>
                    <a:ln>
                      <a:noFill/>
                    </a:ln>
                  </pic:spPr>
                </pic:pic>
              </a:graphicData>
            </a:graphic>
          </wp:inline>
        </w:drawing>
      </w:r>
    </w:p>
    <w:p>
      <w:pPr>
        <w:rPr>
          <w:rFonts w:hint="eastAsia"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br w:type="page"/>
      </w:r>
    </w:p>
    <w:p>
      <w:pPr>
        <w:pStyle w:val="6"/>
        <w:numPr>
          <w:ilvl w:val="2"/>
          <w:numId w:val="0"/>
        </w:num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六</w:t>
      </w:r>
      <w:r>
        <w:rPr>
          <w:rFonts w:hint="eastAsia" w:ascii="宋体" w:hAnsi="宋体" w:eastAsia="宋体" w:cs="宋体"/>
          <w:color w:val="000000" w:themeColor="text1"/>
          <w14:textFill>
            <w14:solidFill>
              <w14:schemeClr w14:val="tx1"/>
            </w14:solidFill>
          </w14:textFill>
        </w:rPr>
        <w:t>、其他资料</w:t>
      </w:r>
      <w:bookmarkEnd w:id="307"/>
      <w:bookmarkEnd w:id="308"/>
    </w:p>
    <w:p>
      <w:pPr>
        <w:jc w:val="center"/>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按照项目实际情况及招标文件要求等提供投标人认为有必要的资料</w:t>
      </w:r>
    </w:p>
    <w:p>
      <w:pPr>
        <w:autoSpaceDE w:val="0"/>
        <w:autoSpaceDN w:val="0"/>
        <w:adjustRightInd w:val="0"/>
        <w:spacing w:before="34"/>
        <w:ind w:right="7421"/>
        <w:jc w:val="center"/>
        <w:rPr>
          <w:rFonts w:ascii="宋体" w:hAnsi="宋体" w:cs="宋体"/>
          <w:color w:val="000000" w:themeColor="text1"/>
          <w:kern w:val="0"/>
          <w:szCs w:val="2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8" w:type="default"/>
      <w:pgSz w:w="11920" w:h="16840"/>
      <w:pgMar w:top="1060" w:right="1480" w:bottom="1140" w:left="1378" w:header="885" w:footer="86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b/>
        <w:lang w:val="zh-C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26</w:t>
                    </w:r>
                    <w:r>
                      <w:fldChar w:fldCharType="end"/>
                    </w:r>
                  </w:p>
                </w:txbxContent>
              </v:textbox>
            </v:shape>
          </w:pict>
        </mc:Fallback>
      </mc:AlternateContent>
    </w:r>
    <w:r>
      <w:rPr>
        <w:rFonts w:hint="eastAsia" w:ascii="宋体" w:hAnsi="宋体"/>
        <w:b/>
        <w:lang w:val="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kern w:val="0"/>
        <w:sz w:val="10"/>
        <w:szCs w:val="10"/>
      </w:rPr>
    </w:pPr>
    <w:r>
      <w:rPr>
        <w:sz w:val="1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5036820</wp:posOffset>
              </wp:positionH>
              <wp:positionV relativeFrom="page">
                <wp:posOffset>717550</wp:posOffset>
              </wp:positionV>
              <wp:extent cx="827405" cy="139700"/>
              <wp:effectExtent l="0" t="0" r="0" b="0"/>
              <wp:wrapNone/>
              <wp:docPr id="8" name="docshape20"/>
              <wp:cNvGraphicFramePr/>
              <a:graphic xmlns:a="http://schemas.openxmlformats.org/drawingml/2006/main">
                <a:graphicData uri="http://schemas.microsoft.com/office/word/2010/wordprocessingShape">
                  <wps:wsp>
                    <wps:cNvSpPr txBox="1"/>
                    <wps:spPr>
                      <a:xfrm>
                        <a:off x="0" y="0"/>
                        <a:ext cx="827405" cy="139700"/>
                      </a:xfrm>
                      <a:prstGeom prst="rect">
                        <a:avLst/>
                      </a:prstGeom>
                      <a:noFill/>
                      <a:ln>
                        <a:noFill/>
                      </a:ln>
                    </wps:spPr>
                    <wps:txbx>
                      <w:txbxContent>
                        <w:p>
                          <w:pPr>
                            <w:spacing w:line="220" w:lineRule="exact"/>
                            <w:ind w:left="20"/>
                            <w:rPr>
                              <w:b/>
                              <w:sz w:val="18"/>
                            </w:rPr>
                          </w:pPr>
                        </w:p>
                      </w:txbxContent>
                    </wps:txbx>
                    <wps:bodyPr lIns="0" tIns="0" rIns="0" bIns="0" upright="1"/>
                  </wps:wsp>
                </a:graphicData>
              </a:graphic>
            </wp:anchor>
          </w:drawing>
        </mc:Choice>
        <mc:Fallback>
          <w:pict>
            <v:shape id="docshape20" o:spid="_x0000_s1026" o:spt="202" type="#_x0000_t202" style="position:absolute;left:0pt;margin-left:396.6pt;margin-top:56.5pt;height:11pt;width:65.15pt;mso-position-horizontal-relative:page;mso-position-vertical-relative:page;z-index:-251654144;mso-width-relative:page;mso-height-relative:page;" filled="f" stroked="f" coordsize="21600,21600" o:gfxdata="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x4QjZAAAA&#10;CwEAAA8AAAAAAAAAAQAgAAAAIgAAAGRycy9kb3ducmV2LnhtbFBLAQIUABQAAAAIAIdO4kBS+ags&#10;qgEAAHADAAAOAAAAAAAAAAEAIAAAACgBAABkcnMvZTJvRG9jLnhtbFBLBQYAAAAABgAGAFkBAABE&#10;BQAAAAA=&#10;">
              <v:fill on="f" focussize="0,0"/>
              <v:stroke on="f"/>
              <v:imagedata o:title=""/>
              <o:lock v:ext="edit" aspectratio="f"/>
              <v:textbox inset="0mm,0mm,0mm,0mm">
                <w:txbxContent>
                  <w:p>
                    <w:pPr>
                      <w:spacing w:line="220" w:lineRule="exact"/>
                      <w:ind w:left="20"/>
                      <w:rPr>
                        <w:b/>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1"/>
      <w:numFmt w:val="decimal"/>
      <w:lvlText w:val="（%1）"/>
      <w:lvlJc w:val="left"/>
      <w:pPr>
        <w:ind w:left="220" w:hanging="601"/>
        <w:jc w:val="left"/>
      </w:pPr>
      <w:rPr>
        <w:rFonts w:hint="default" w:ascii="宋体" w:hAnsi="宋体" w:eastAsia="宋体" w:cs="宋体"/>
        <w:b w:val="0"/>
        <w:bCs w:val="0"/>
        <w:i w:val="0"/>
        <w:iCs w:val="0"/>
        <w:w w:val="100"/>
        <w:sz w:val="22"/>
        <w:szCs w:val="22"/>
        <w:lang w:val="en-US" w:eastAsia="zh-CN" w:bidi="ar-SA"/>
      </w:rPr>
    </w:lvl>
    <w:lvl w:ilvl="1" w:tentative="0">
      <w:start w:val="1"/>
      <w:numFmt w:val="decimal"/>
      <w:lvlText w:val="%2."/>
      <w:lvlJc w:val="left"/>
      <w:pPr>
        <w:ind w:left="220" w:hanging="361"/>
        <w:jc w:val="left"/>
      </w:pPr>
      <w:rPr>
        <w:rFonts w:hint="default" w:ascii="宋体" w:hAnsi="宋体" w:eastAsia="宋体" w:cs="宋体"/>
        <w:b w:val="0"/>
        <w:bCs w:val="0"/>
        <w:i w:val="0"/>
        <w:iCs w:val="0"/>
        <w:spacing w:val="-22"/>
        <w:w w:val="100"/>
        <w:sz w:val="22"/>
        <w:szCs w:val="22"/>
        <w:lang w:val="en-US" w:eastAsia="zh-CN" w:bidi="ar-SA"/>
      </w:rPr>
    </w:lvl>
    <w:lvl w:ilvl="2" w:tentative="0">
      <w:start w:val="1"/>
      <w:numFmt w:val="decimal"/>
      <w:lvlText w:val="（%3）"/>
      <w:lvlJc w:val="left"/>
      <w:pPr>
        <w:ind w:left="1848" w:hanging="601"/>
        <w:jc w:val="left"/>
      </w:pPr>
      <w:rPr>
        <w:rFonts w:hint="default" w:ascii="宋体" w:hAnsi="宋体" w:eastAsia="宋体" w:cs="宋体"/>
        <w:b w:val="0"/>
        <w:bCs w:val="0"/>
        <w:i w:val="0"/>
        <w:iCs w:val="0"/>
        <w:w w:val="100"/>
        <w:sz w:val="22"/>
        <w:szCs w:val="22"/>
        <w:lang w:val="en-US" w:eastAsia="zh-CN" w:bidi="ar-SA"/>
      </w:rPr>
    </w:lvl>
    <w:lvl w:ilvl="3" w:tentative="0">
      <w:start w:val="0"/>
      <w:numFmt w:val="bullet"/>
      <w:lvlText w:val="•"/>
      <w:lvlJc w:val="left"/>
      <w:pPr>
        <w:ind w:left="3699" w:hanging="601"/>
      </w:pPr>
      <w:rPr>
        <w:rFonts w:hint="default"/>
        <w:lang w:val="en-US" w:eastAsia="zh-CN" w:bidi="ar-SA"/>
      </w:rPr>
    </w:lvl>
    <w:lvl w:ilvl="4" w:tentative="0">
      <w:start w:val="0"/>
      <w:numFmt w:val="bullet"/>
      <w:lvlText w:val="•"/>
      <w:lvlJc w:val="left"/>
      <w:pPr>
        <w:ind w:left="4628" w:hanging="601"/>
      </w:pPr>
      <w:rPr>
        <w:rFonts w:hint="default"/>
        <w:lang w:val="en-US" w:eastAsia="zh-CN" w:bidi="ar-SA"/>
      </w:rPr>
    </w:lvl>
    <w:lvl w:ilvl="5" w:tentative="0">
      <w:start w:val="0"/>
      <w:numFmt w:val="bullet"/>
      <w:lvlText w:val="•"/>
      <w:lvlJc w:val="left"/>
      <w:pPr>
        <w:ind w:left="5558" w:hanging="601"/>
      </w:pPr>
      <w:rPr>
        <w:rFonts w:hint="default"/>
        <w:lang w:val="en-US" w:eastAsia="zh-CN" w:bidi="ar-SA"/>
      </w:rPr>
    </w:lvl>
    <w:lvl w:ilvl="6" w:tentative="0">
      <w:start w:val="0"/>
      <w:numFmt w:val="bullet"/>
      <w:lvlText w:val="•"/>
      <w:lvlJc w:val="left"/>
      <w:pPr>
        <w:ind w:left="6488" w:hanging="601"/>
      </w:pPr>
      <w:rPr>
        <w:rFonts w:hint="default"/>
        <w:lang w:val="en-US" w:eastAsia="zh-CN" w:bidi="ar-SA"/>
      </w:rPr>
    </w:lvl>
    <w:lvl w:ilvl="7" w:tentative="0">
      <w:start w:val="0"/>
      <w:numFmt w:val="bullet"/>
      <w:lvlText w:val="•"/>
      <w:lvlJc w:val="left"/>
      <w:pPr>
        <w:ind w:left="7417" w:hanging="601"/>
      </w:pPr>
      <w:rPr>
        <w:rFonts w:hint="default"/>
        <w:lang w:val="en-US" w:eastAsia="zh-CN" w:bidi="ar-SA"/>
      </w:rPr>
    </w:lvl>
    <w:lvl w:ilvl="8" w:tentative="0">
      <w:start w:val="0"/>
      <w:numFmt w:val="bullet"/>
      <w:lvlText w:val="•"/>
      <w:lvlJc w:val="left"/>
      <w:pPr>
        <w:ind w:left="8347" w:hanging="601"/>
      </w:pPr>
      <w:rPr>
        <w:rFonts w:hint="default"/>
        <w:lang w:val="en-US" w:eastAsia="zh-CN" w:bidi="ar-SA"/>
      </w:rPr>
    </w:lvl>
  </w:abstractNum>
  <w:abstractNum w:abstractNumId="1">
    <w:nsid w:val="9382C1EC"/>
    <w:multiLevelType w:val="singleLevel"/>
    <w:tmpl w:val="9382C1EC"/>
    <w:lvl w:ilvl="0" w:tentative="0">
      <w:start w:val="1"/>
      <w:numFmt w:val="decimal"/>
      <w:suff w:val="nothing"/>
      <w:lvlText w:val="%1、"/>
      <w:lvlJc w:val="left"/>
    </w:lvl>
  </w:abstractNum>
  <w:abstractNum w:abstractNumId="2">
    <w:nsid w:val="DC92C60F"/>
    <w:multiLevelType w:val="singleLevel"/>
    <w:tmpl w:val="DC92C60F"/>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pStyle w:val="38"/>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suff w:val="nothing"/>
      <w:lvlText w:val="    %2.%3 "/>
      <w:lvlJc w:val="left"/>
      <w:pPr>
        <w:ind w:left="459"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6"/>
    <w:multiLevelType w:val="singleLevel"/>
    <w:tmpl w:val="00000006"/>
    <w:lvl w:ilvl="0" w:tentative="0">
      <w:start w:val="1"/>
      <w:numFmt w:val="chineseCounting"/>
      <w:suff w:val="space"/>
      <w:lvlText w:val="第%1章"/>
      <w:lvlJc w:val="left"/>
    </w:lvl>
  </w:abstractNum>
  <w:abstractNum w:abstractNumId="5">
    <w:nsid w:val="00000007"/>
    <w:multiLevelType w:val="singleLevel"/>
    <w:tmpl w:val="00000007"/>
    <w:lvl w:ilvl="0" w:tentative="0">
      <w:start w:val="1"/>
      <w:numFmt w:val="decimal"/>
      <w:suff w:val="nothing"/>
      <w:lvlText w:val="%1．"/>
      <w:lvlJc w:val="left"/>
    </w:lvl>
  </w:abstractNum>
  <w:abstractNum w:abstractNumId="6">
    <w:nsid w:val="00000009"/>
    <w:multiLevelType w:val="multilevel"/>
    <w:tmpl w:val="00000009"/>
    <w:lvl w:ilvl="0" w:tentative="0">
      <w:start w:val="1"/>
      <w:numFmt w:val="decimal"/>
      <w:pStyle w:val="4"/>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pStyle w:val="6"/>
      <w:suff w:val="nothing"/>
      <w:lvlText w:val="    %2.%3 "/>
      <w:lvlJc w:val="left"/>
      <w:pPr>
        <w:ind w:left="525"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7">
    <w:nsid w:val="1211E7F8"/>
    <w:multiLevelType w:val="singleLevel"/>
    <w:tmpl w:val="1211E7F8"/>
    <w:lvl w:ilvl="0" w:tentative="0">
      <w:start w:val="3"/>
      <w:numFmt w:val="decimal"/>
      <w:suff w:val="nothing"/>
      <w:lvlText w:val="%1、"/>
      <w:lvlJc w:val="left"/>
    </w:lvl>
  </w:abstractNum>
  <w:abstractNum w:abstractNumId="8">
    <w:nsid w:val="5E8137BA"/>
    <w:multiLevelType w:val="multilevel"/>
    <w:tmpl w:val="5E8137BA"/>
    <w:lvl w:ilvl="0" w:tentative="0">
      <w:start w:val="1"/>
      <w:numFmt w:val="chineseCountingThousand"/>
      <w:suff w:val="space"/>
      <w:lvlText w:val="第%1章"/>
      <w:lvlJc w:val="left"/>
      <w:pPr>
        <w:ind w:left="0" w:firstLine="0"/>
      </w:pPr>
      <w:rPr>
        <w:rFonts w:hint="eastAsia" w:ascii="宋体" w:hAnsi="宋体" w:eastAsia="宋体"/>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7"/>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9">
    <w:nsid w:val="629F7852"/>
    <w:multiLevelType w:val="multilevel"/>
    <w:tmpl w:val="629F7852"/>
    <w:lvl w:ilvl="0" w:tentative="0">
      <w:start w:val="1"/>
      <w:numFmt w:val="decimal"/>
      <w:lvlText w:val="（%1）"/>
      <w:lvlJc w:val="left"/>
      <w:pPr>
        <w:ind w:left="640" w:hanging="601"/>
        <w:jc w:val="left"/>
      </w:pPr>
      <w:rPr>
        <w:rFonts w:hint="default" w:ascii="宋体" w:hAnsi="宋体" w:eastAsia="宋体" w:cs="宋体"/>
        <w:b w:val="0"/>
        <w:bCs w:val="0"/>
        <w:i w:val="0"/>
        <w:iCs w:val="0"/>
        <w:spacing w:val="-10"/>
        <w:w w:val="100"/>
        <w:sz w:val="22"/>
        <w:szCs w:val="22"/>
        <w:lang w:val="en-US" w:eastAsia="zh-CN" w:bidi="ar-SA"/>
      </w:rPr>
    </w:lvl>
    <w:lvl w:ilvl="1" w:tentative="0">
      <w:start w:val="0"/>
      <w:numFmt w:val="bullet"/>
      <w:lvlText w:val="•"/>
      <w:lvlJc w:val="left"/>
      <w:pPr>
        <w:ind w:left="1596" w:hanging="601"/>
      </w:pPr>
      <w:rPr>
        <w:rFonts w:hint="default"/>
        <w:lang w:val="en-US" w:eastAsia="zh-CN" w:bidi="ar-SA"/>
      </w:rPr>
    </w:lvl>
    <w:lvl w:ilvl="2" w:tentative="0">
      <w:start w:val="0"/>
      <w:numFmt w:val="bullet"/>
      <w:lvlText w:val="•"/>
      <w:lvlJc w:val="left"/>
      <w:pPr>
        <w:ind w:left="2553" w:hanging="601"/>
      </w:pPr>
      <w:rPr>
        <w:rFonts w:hint="default"/>
        <w:lang w:val="en-US" w:eastAsia="zh-CN" w:bidi="ar-SA"/>
      </w:rPr>
    </w:lvl>
    <w:lvl w:ilvl="3" w:tentative="0">
      <w:start w:val="0"/>
      <w:numFmt w:val="bullet"/>
      <w:lvlText w:val="•"/>
      <w:lvlJc w:val="left"/>
      <w:pPr>
        <w:ind w:left="3509" w:hanging="601"/>
      </w:pPr>
      <w:rPr>
        <w:rFonts w:hint="default"/>
        <w:lang w:val="en-US" w:eastAsia="zh-CN" w:bidi="ar-SA"/>
      </w:rPr>
    </w:lvl>
    <w:lvl w:ilvl="4" w:tentative="0">
      <w:start w:val="0"/>
      <w:numFmt w:val="bullet"/>
      <w:lvlText w:val="•"/>
      <w:lvlJc w:val="left"/>
      <w:pPr>
        <w:ind w:left="4466" w:hanging="601"/>
      </w:pPr>
      <w:rPr>
        <w:rFonts w:hint="default"/>
        <w:lang w:val="en-US" w:eastAsia="zh-CN" w:bidi="ar-SA"/>
      </w:rPr>
    </w:lvl>
    <w:lvl w:ilvl="5" w:tentative="0">
      <w:start w:val="0"/>
      <w:numFmt w:val="bullet"/>
      <w:lvlText w:val="•"/>
      <w:lvlJc w:val="left"/>
      <w:pPr>
        <w:ind w:left="5423" w:hanging="601"/>
      </w:pPr>
      <w:rPr>
        <w:rFonts w:hint="default"/>
        <w:lang w:val="en-US" w:eastAsia="zh-CN" w:bidi="ar-SA"/>
      </w:rPr>
    </w:lvl>
    <w:lvl w:ilvl="6" w:tentative="0">
      <w:start w:val="0"/>
      <w:numFmt w:val="bullet"/>
      <w:lvlText w:val="•"/>
      <w:lvlJc w:val="left"/>
      <w:pPr>
        <w:ind w:left="6379" w:hanging="601"/>
      </w:pPr>
      <w:rPr>
        <w:rFonts w:hint="default"/>
        <w:lang w:val="en-US" w:eastAsia="zh-CN" w:bidi="ar-SA"/>
      </w:rPr>
    </w:lvl>
    <w:lvl w:ilvl="7" w:tentative="0">
      <w:start w:val="0"/>
      <w:numFmt w:val="bullet"/>
      <w:lvlText w:val="•"/>
      <w:lvlJc w:val="left"/>
      <w:pPr>
        <w:ind w:left="7336" w:hanging="601"/>
      </w:pPr>
      <w:rPr>
        <w:rFonts w:hint="default"/>
        <w:lang w:val="en-US" w:eastAsia="zh-CN" w:bidi="ar-SA"/>
      </w:rPr>
    </w:lvl>
    <w:lvl w:ilvl="8" w:tentative="0">
      <w:start w:val="0"/>
      <w:numFmt w:val="bullet"/>
      <w:lvlText w:val="•"/>
      <w:lvlJc w:val="left"/>
      <w:pPr>
        <w:ind w:left="8293" w:hanging="601"/>
      </w:pPr>
      <w:rPr>
        <w:rFonts w:hint="default"/>
        <w:lang w:val="en-US" w:eastAsia="zh-CN" w:bidi="ar-SA"/>
      </w:rPr>
    </w:lvl>
  </w:abstractNum>
  <w:num w:numId="1">
    <w:abstractNumId w:val="6"/>
  </w:num>
  <w:num w:numId="2">
    <w:abstractNumId w:val="8"/>
  </w:num>
  <w:num w:numId="3">
    <w:abstractNumId w:val="3"/>
  </w:num>
  <w:num w:numId="4">
    <w:abstractNumId w:val="4"/>
  </w:num>
  <w:num w:numId="5">
    <w:abstractNumId w:val="7"/>
  </w:num>
  <w:num w:numId="6">
    <w:abstractNumId w:val="1"/>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MTNmYjZjNDEwMjk3N2ViMGMyZWJhYjQ5ZGZjZGYifQ=="/>
    <w:docVar w:name="KSO_WPS_MARK_KEY" w:val="6028addc-fc36-4dd1-a054-d86afd38c399"/>
  </w:docVars>
  <w:rsids>
    <w:rsidRoot w:val="00172A27"/>
    <w:rsid w:val="00017042"/>
    <w:rsid w:val="000346BA"/>
    <w:rsid w:val="00044239"/>
    <w:rsid w:val="00044AAB"/>
    <w:rsid w:val="000A0A75"/>
    <w:rsid w:val="000B5F07"/>
    <w:rsid w:val="000C3D25"/>
    <w:rsid w:val="000E74DD"/>
    <w:rsid w:val="0013528F"/>
    <w:rsid w:val="001423C4"/>
    <w:rsid w:val="0014617B"/>
    <w:rsid w:val="00164B2D"/>
    <w:rsid w:val="00172A27"/>
    <w:rsid w:val="001879AF"/>
    <w:rsid w:val="001955F7"/>
    <w:rsid w:val="001B1DB4"/>
    <w:rsid w:val="001C0C83"/>
    <w:rsid w:val="001C65BF"/>
    <w:rsid w:val="001D0A3D"/>
    <w:rsid w:val="001D57E6"/>
    <w:rsid w:val="00200B32"/>
    <w:rsid w:val="00211659"/>
    <w:rsid w:val="00220F67"/>
    <w:rsid w:val="0023405C"/>
    <w:rsid w:val="00235237"/>
    <w:rsid w:val="002364A5"/>
    <w:rsid w:val="00237185"/>
    <w:rsid w:val="002409A8"/>
    <w:rsid w:val="002427A1"/>
    <w:rsid w:val="00244C13"/>
    <w:rsid w:val="00275067"/>
    <w:rsid w:val="00290C1D"/>
    <w:rsid w:val="00293924"/>
    <w:rsid w:val="002A2441"/>
    <w:rsid w:val="002B6311"/>
    <w:rsid w:val="002C4126"/>
    <w:rsid w:val="002E6081"/>
    <w:rsid w:val="002E6B5A"/>
    <w:rsid w:val="002E7754"/>
    <w:rsid w:val="003166DC"/>
    <w:rsid w:val="00332880"/>
    <w:rsid w:val="0033433F"/>
    <w:rsid w:val="00346A05"/>
    <w:rsid w:val="003475B2"/>
    <w:rsid w:val="00356611"/>
    <w:rsid w:val="00356C7B"/>
    <w:rsid w:val="003601C9"/>
    <w:rsid w:val="003605E7"/>
    <w:rsid w:val="00384B11"/>
    <w:rsid w:val="00385B4A"/>
    <w:rsid w:val="003A6C9F"/>
    <w:rsid w:val="003C5587"/>
    <w:rsid w:val="003D11E7"/>
    <w:rsid w:val="003E4BF0"/>
    <w:rsid w:val="003F1C63"/>
    <w:rsid w:val="00401F9D"/>
    <w:rsid w:val="00406A28"/>
    <w:rsid w:val="00415EC1"/>
    <w:rsid w:val="00417AD9"/>
    <w:rsid w:val="00421166"/>
    <w:rsid w:val="00433231"/>
    <w:rsid w:val="00445B26"/>
    <w:rsid w:val="00460751"/>
    <w:rsid w:val="00465C93"/>
    <w:rsid w:val="00472AB5"/>
    <w:rsid w:val="004756DA"/>
    <w:rsid w:val="00481402"/>
    <w:rsid w:val="00482649"/>
    <w:rsid w:val="004A7F08"/>
    <w:rsid w:val="004C688D"/>
    <w:rsid w:val="004C68C3"/>
    <w:rsid w:val="004F1534"/>
    <w:rsid w:val="00532A70"/>
    <w:rsid w:val="00534B21"/>
    <w:rsid w:val="00552B4F"/>
    <w:rsid w:val="005608EF"/>
    <w:rsid w:val="00567219"/>
    <w:rsid w:val="0056765C"/>
    <w:rsid w:val="00574EBC"/>
    <w:rsid w:val="00580885"/>
    <w:rsid w:val="005A7143"/>
    <w:rsid w:val="005B5515"/>
    <w:rsid w:val="005E0349"/>
    <w:rsid w:val="0062125C"/>
    <w:rsid w:val="006261DC"/>
    <w:rsid w:val="00635064"/>
    <w:rsid w:val="00644451"/>
    <w:rsid w:val="00655DE6"/>
    <w:rsid w:val="00662A6B"/>
    <w:rsid w:val="00662EDC"/>
    <w:rsid w:val="00674006"/>
    <w:rsid w:val="0067470A"/>
    <w:rsid w:val="006B34FE"/>
    <w:rsid w:val="006B61B8"/>
    <w:rsid w:val="006C71C2"/>
    <w:rsid w:val="006D65D7"/>
    <w:rsid w:val="006E418B"/>
    <w:rsid w:val="006F311E"/>
    <w:rsid w:val="007024E3"/>
    <w:rsid w:val="00706FD9"/>
    <w:rsid w:val="007220B7"/>
    <w:rsid w:val="00723A0C"/>
    <w:rsid w:val="00732387"/>
    <w:rsid w:val="00735FB6"/>
    <w:rsid w:val="00746649"/>
    <w:rsid w:val="007609AE"/>
    <w:rsid w:val="00762613"/>
    <w:rsid w:val="007818F3"/>
    <w:rsid w:val="0079540F"/>
    <w:rsid w:val="007A18CA"/>
    <w:rsid w:val="007A7BEE"/>
    <w:rsid w:val="007B78B9"/>
    <w:rsid w:val="007B7A98"/>
    <w:rsid w:val="007D4128"/>
    <w:rsid w:val="007E5E3C"/>
    <w:rsid w:val="007F25DE"/>
    <w:rsid w:val="008128A1"/>
    <w:rsid w:val="00814863"/>
    <w:rsid w:val="00815A77"/>
    <w:rsid w:val="00824C09"/>
    <w:rsid w:val="008322BB"/>
    <w:rsid w:val="00841BC4"/>
    <w:rsid w:val="0084352E"/>
    <w:rsid w:val="00852B44"/>
    <w:rsid w:val="008614A9"/>
    <w:rsid w:val="0088182A"/>
    <w:rsid w:val="008821B9"/>
    <w:rsid w:val="008B47D3"/>
    <w:rsid w:val="008F1506"/>
    <w:rsid w:val="008F66D3"/>
    <w:rsid w:val="008F687A"/>
    <w:rsid w:val="00901958"/>
    <w:rsid w:val="009049D8"/>
    <w:rsid w:val="009179A5"/>
    <w:rsid w:val="00924C2B"/>
    <w:rsid w:val="00925478"/>
    <w:rsid w:val="00933DDC"/>
    <w:rsid w:val="009371FF"/>
    <w:rsid w:val="00940337"/>
    <w:rsid w:val="00943E87"/>
    <w:rsid w:val="009444C8"/>
    <w:rsid w:val="00962080"/>
    <w:rsid w:val="009634E7"/>
    <w:rsid w:val="00964499"/>
    <w:rsid w:val="00992E0D"/>
    <w:rsid w:val="00996C76"/>
    <w:rsid w:val="009A2109"/>
    <w:rsid w:val="009A7605"/>
    <w:rsid w:val="009D232C"/>
    <w:rsid w:val="009E4D6D"/>
    <w:rsid w:val="009E70F5"/>
    <w:rsid w:val="009F1579"/>
    <w:rsid w:val="00A00C06"/>
    <w:rsid w:val="00A03B0B"/>
    <w:rsid w:val="00A24DA1"/>
    <w:rsid w:val="00A403AA"/>
    <w:rsid w:val="00A43F3B"/>
    <w:rsid w:val="00A630C2"/>
    <w:rsid w:val="00A777A8"/>
    <w:rsid w:val="00A87593"/>
    <w:rsid w:val="00A978C8"/>
    <w:rsid w:val="00AD246A"/>
    <w:rsid w:val="00B05959"/>
    <w:rsid w:val="00B16526"/>
    <w:rsid w:val="00B33FCF"/>
    <w:rsid w:val="00B41AEB"/>
    <w:rsid w:val="00B44634"/>
    <w:rsid w:val="00B5230F"/>
    <w:rsid w:val="00B629A6"/>
    <w:rsid w:val="00B70F92"/>
    <w:rsid w:val="00B877F0"/>
    <w:rsid w:val="00B904A2"/>
    <w:rsid w:val="00B976F7"/>
    <w:rsid w:val="00BA184C"/>
    <w:rsid w:val="00BA728A"/>
    <w:rsid w:val="00BC149F"/>
    <w:rsid w:val="00BC2B49"/>
    <w:rsid w:val="00BD7003"/>
    <w:rsid w:val="00BE075B"/>
    <w:rsid w:val="00BF52BD"/>
    <w:rsid w:val="00C038B2"/>
    <w:rsid w:val="00C17960"/>
    <w:rsid w:val="00C27C66"/>
    <w:rsid w:val="00C3588C"/>
    <w:rsid w:val="00C6176B"/>
    <w:rsid w:val="00C72E89"/>
    <w:rsid w:val="00C80481"/>
    <w:rsid w:val="00C80C67"/>
    <w:rsid w:val="00C83A90"/>
    <w:rsid w:val="00CD3604"/>
    <w:rsid w:val="00CD470F"/>
    <w:rsid w:val="00CE7AF0"/>
    <w:rsid w:val="00D06DC8"/>
    <w:rsid w:val="00D46CA4"/>
    <w:rsid w:val="00D47FE4"/>
    <w:rsid w:val="00D7200C"/>
    <w:rsid w:val="00D832D8"/>
    <w:rsid w:val="00D86B11"/>
    <w:rsid w:val="00D874DF"/>
    <w:rsid w:val="00DA2AE3"/>
    <w:rsid w:val="00DC4BCC"/>
    <w:rsid w:val="00DD7E5A"/>
    <w:rsid w:val="00E0195C"/>
    <w:rsid w:val="00E0281F"/>
    <w:rsid w:val="00E21E51"/>
    <w:rsid w:val="00E2244C"/>
    <w:rsid w:val="00E24DAE"/>
    <w:rsid w:val="00E402E5"/>
    <w:rsid w:val="00E954B2"/>
    <w:rsid w:val="00EA1DC9"/>
    <w:rsid w:val="00EE458F"/>
    <w:rsid w:val="00EF11D5"/>
    <w:rsid w:val="00EF31F7"/>
    <w:rsid w:val="00EF3CCA"/>
    <w:rsid w:val="00F036C8"/>
    <w:rsid w:val="00F07A59"/>
    <w:rsid w:val="00F214D9"/>
    <w:rsid w:val="00F232F8"/>
    <w:rsid w:val="00F23CCF"/>
    <w:rsid w:val="00F2479E"/>
    <w:rsid w:val="00F25B70"/>
    <w:rsid w:val="00F45F75"/>
    <w:rsid w:val="00F47C0A"/>
    <w:rsid w:val="00F710B5"/>
    <w:rsid w:val="00F739B1"/>
    <w:rsid w:val="00F800F0"/>
    <w:rsid w:val="00F92DD4"/>
    <w:rsid w:val="00F96499"/>
    <w:rsid w:val="00FA69DF"/>
    <w:rsid w:val="00FB6BF2"/>
    <w:rsid w:val="00FB7046"/>
    <w:rsid w:val="00FC1928"/>
    <w:rsid w:val="00FE0C46"/>
    <w:rsid w:val="00FE475E"/>
    <w:rsid w:val="00FE52E9"/>
    <w:rsid w:val="00FE7F3D"/>
    <w:rsid w:val="0119330A"/>
    <w:rsid w:val="013870B9"/>
    <w:rsid w:val="01791468"/>
    <w:rsid w:val="01797E36"/>
    <w:rsid w:val="017B5688"/>
    <w:rsid w:val="018D5120"/>
    <w:rsid w:val="01923746"/>
    <w:rsid w:val="01A85D51"/>
    <w:rsid w:val="01AC5D82"/>
    <w:rsid w:val="01BF5575"/>
    <w:rsid w:val="01D3493A"/>
    <w:rsid w:val="01DB7ED5"/>
    <w:rsid w:val="021623F7"/>
    <w:rsid w:val="02530AEC"/>
    <w:rsid w:val="02566569"/>
    <w:rsid w:val="026546EC"/>
    <w:rsid w:val="026C4FD1"/>
    <w:rsid w:val="027F2A0B"/>
    <w:rsid w:val="02C1531D"/>
    <w:rsid w:val="02D50DC8"/>
    <w:rsid w:val="03253E14"/>
    <w:rsid w:val="036D2DAF"/>
    <w:rsid w:val="037C7496"/>
    <w:rsid w:val="03936CB9"/>
    <w:rsid w:val="03B305C5"/>
    <w:rsid w:val="03EF29AD"/>
    <w:rsid w:val="03FF56E1"/>
    <w:rsid w:val="04122723"/>
    <w:rsid w:val="041470E0"/>
    <w:rsid w:val="04293179"/>
    <w:rsid w:val="044C330C"/>
    <w:rsid w:val="04820ADC"/>
    <w:rsid w:val="04B36EE7"/>
    <w:rsid w:val="04B74C29"/>
    <w:rsid w:val="04D37581"/>
    <w:rsid w:val="04EC3F03"/>
    <w:rsid w:val="04EE02EA"/>
    <w:rsid w:val="04F042CB"/>
    <w:rsid w:val="050B7254"/>
    <w:rsid w:val="051E0804"/>
    <w:rsid w:val="05325942"/>
    <w:rsid w:val="05355B4E"/>
    <w:rsid w:val="05527C91"/>
    <w:rsid w:val="0571199F"/>
    <w:rsid w:val="057C73B5"/>
    <w:rsid w:val="05812B41"/>
    <w:rsid w:val="05A34A50"/>
    <w:rsid w:val="05A84AE4"/>
    <w:rsid w:val="05BF2C85"/>
    <w:rsid w:val="05CB200E"/>
    <w:rsid w:val="05E732EC"/>
    <w:rsid w:val="05FB28F4"/>
    <w:rsid w:val="060A2B37"/>
    <w:rsid w:val="061340E1"/>
    <w:rsid w:val="062067FE"/>
    <w:rsid w:val="062A3D35"/>
    <w:rsid w:val="062E2CC9"/>
    <w:rsid w:val="06553B86"/>
    <w:rsid w:val="06693838"/>
    <w:rsid w:val="06712BB6"/>
    <w:rsid w:val="06A0349B"/>
    <w:rsid w:val="06A325B4"/>
    <w:rsid w:val="06CA1A79"/>
    <w:rsid w:val="06CA4EB7"/>
    <w:rsid w:val="06E8731C"/>
    <w:rsid w:val="072365A6"/>
    <w:rsid w:val="07464199"/>
    <w:rsid w:val="07500A1D"/>
    <w:rsid w:val="07893F2F"/>
    <w:rsid w:val="079102CA"/>
    <w:rsid w:val="079B148B"/>
    <w:rsid w:val="07A41E5B"/>
    <w:rsid w:val="07A54CCF"/>
    <w:rsid w:val="07AB0349"/>
    <w:rsid w:val="07B86DF5"/>
    <w:rsid w:val="07D96C64"/>
    <w:rsid w:val="07E5385B"/>
    <w:rsid w:val="07F9360B"/>
    <w:rsid w:val="081E4FBF"/>
    <w:rsid w:val="082C148A"/>
    <w:rsid w:val="082F0F7A"/>
    <w:rsid w:val="083640B7"/>
    <w:rsid w:val="08367509"/>
    <w:rsid w:val="0844352B"/>
    <w:rsid w:val="084A2044"/>
    <w:rsid w:val="085C7F9A"/>
    <w:rsid w:val="086D3AA2"/>
    <w:rsid w:val="087C0660"/>
    <w:rsid w:val="089112ED"/>
    <w:rsid w:val="08965122"/>
    <w:rsid w:val="089929DF"/>
    <w:rsid w:val="08A454C4"/>
    <w:rsid w:val="08C07B36"/>
    <w:rsid w:val="08CE2541"/>
    <w:rsid w:val="08F74907"/>
    <w:rsid w:val="092959CA"/>
    <w:rsid w:val="0942058D"/>
    <w:rsid w:val="0949606C"/>
    <w:rsid w:val="09692DC2"/>
    <w:rsid w:val="09767F6B"/>
    <w:rsid w:val="09821BDC"/>
    <w:rsid w:val="099E1F14"/>
    <w:rsid w:val="09A5691D"/>
    <w:rsid w:val="09B52A09"/>
    <w:rsid w:val="09B86AE0"/>
    <w:rsid w:val="0A083831"/>
    <w:rsid w:val="0A095EBF"/>
    <w:rsid w:val="0A0976B6"/>
    <w:rsid w:val="0A3C75D8"/>
    <w:rsid w:val="0A584EA7"/>
    <w:rsid w:val="0A6F1BDC"/>
    <w:rsid w:val="0A78763C"/>
    <w:rsid w:val="0A79028B"/>
    <w:rsid w:val="0A944BB1"/>
    <w:rsid w:val="0AA73B1C"/>
    <w:rsid w:val="0ACF434F"/>
    <w:rsid w:val="0ADA51CD"/>
    <w:rsid w:val="0ADF4592"/>
    <w:rsid w:val="0AEF2D7D"/>
    <w:rsid w:val="0AF03288"/>
    <w:rsid w:val="0AF53DB5"/>
    <w:rsid w:val="0B0E30C9"/>
    <w:rsid w:val="0B2E5163"/>
    <w:rsid w:val="0B58096B"/>
    <w:rsid w:val="0B63151D"/>
    <w:rsid w:val="0B791EED"/>
    <w:rsid w:val="0B7C6285"/>
    <w:rsid w:val="0B822DC1"/>
    <w:rsid w:val="0BC05723"/>
    <w:rsid w:val="0BCB2D68"/>
    <w:rsid w:val="0C0A492D"/>
    <w:rsid w:val="0C0A7D34"/>
    <w:rsid w:val="0C0F15E9"/>
    <w:rsid w:val="0C112E71"/>
    <w:rsid w:val="0C210E08"/>
    <w:rsid w:val="0C2506CA"/>
    <w:rsid w:val="0C25691C"/>
    <w:rsid w:val="0C3E353A"/>
    <w:rsid w:val="0C8E44C1"/>
    <w:rsid w:val="0C951465"/>
    <w:rsid w:val="0CA21C75"/>
    <w:rsid w:val="0CC41AC0"/>
    <w:rsid w:val="0CEF0CD8"/>
    <w:rsid w:val="0CFD7E62"/>
    <w:rsid w:val="0D345CBD"/>
    <w:rsid w:val="0D7727A3"/>
    <w:rsid w:val="0D7D37E6"/>
    <w:rsid w:val="0D7F02AE"/>
    <w:rsid w:val="0DAC7CCE"/>
    <w:rsid w:val="0DBE0DD6"/>
    <w:rsid w:val="0DC70FFD"/>
    <w:rsid w:val="0DE76ADB"/>
    <w:rsid w:val="0E1E1875"/>
    <w:rsid w:val="0E56100F"/>
    <w:rsid w:val="0E603C3C"/>
    <w:rsid w:val="0E647AD4"/>
    <w:rsid w:val="0E80321E"/>
    <w:rsid w:val="0E820056"/>
    <w:rsid w:val="0E855450"/>
    <w:rsid w:val="0E95552C"/>
    <w:rsid w:val="0EA743E3"/>
    <w:rsid w:val="0EA87391"/>
    <w:rsid w:val="0EB775D4"/>
    <w:rsid w:val="0EE04D7C"/>
    <w:rsid w:val="0EF62373"/>
    <w:rsid w:val="0F0C5B71"/>
    <w:rsid w:val="0F1D42E1"/>
    <w:rsid w:val="0F236AE0"/>
    <w:rsid w:val="0F323C57"/>
    <w:rsid w:val="0F356AC2"/>
    <w:rsid w:val="0F4E5D73"/>
    <w:rsid w:val="0F615EBD"/>
    <w:rsid w:val="0F753717"/>
    <w:rsid w:val="0F7877C6"/>
    <w:rsid w:val="0F7F23A9"/>
    <w:rsid w:val="0FA20891"/>
    <w:rsid w:val="0FA721E7"/>
    <w:rsid w:val="0FA82AFD"/>
    <w:rsid w:val="0FB73D2F"/>
    <w:rsid w:val="101511A6"/>
    <w:rsid w:val="102D2243"/>
    <w:rsid w:val="103C4234"/>
    <w:rsid w:val="103F47D1"/>
    <w:rsid w:val="104F21BA"/>
    <w:rsid w:val="106A6FF4"/>
    <w:rsid w:val="106F600E"/>
    <w:rsid w:val="10790FE5"/>
    <w:rsid w:val="107C6D27"/>
    <w:rsid w:val="10A1053B"/>
    <w:rsid w:val="10A36062"/>
    <w:rsid w:val="10B41CF8"/>
    <w:rsid w:val="10B66F77"/>
    <w:rsid w:val="10C51AF7"/>
    <w:rsid w:val="10CF50A9"/>
    <w:rsid w:val="10D47856"/>
    <w:rsid w:val="10DB6DF3"/>
    <w:rsid w:val="10EA54F5"/>
    <w:rsid w:val="10EC2A48"/>
    <w:rsid w:val="10EF574B"/>
    <w:rsid w:val="11004BB8"/>
    <w:rsid w:val="11052878"/>
    <w:rsid w:val="111E72EB"/>
    <w:rsid w:val="11472E91"/>
    <w:rsid w:val="11641C95"/>
    <w:rsid w:val="116A1204"/>
    <w:rsid w:val="11710D77"/>
    <w:rsid w:val="117A4F0D"/>
    <w:rsid w:val="117B3D91"/>
    <w:rsid w:val="1197300F"/>
    <w:rsid w:val="11AE5B1B"/>
    <w:rsid w:val="11C10D46"/>
    <w:rsid w:val="11E3705D"/>
    <w:rsid w:val="121F5BBC"/>
    <w:rsid w:val="1226519C"/>
    <w:rsid w:val="1246139A"/>
    <w:rsid w:val="12655FEB"/>
    <w:rsid w:val="12716785"/>
    <w:rsid w:val="127949B3"/>
    <w:rsid w:val="12906AB9"/>
    <w:rsid w:val="129F0CE6"/>
    <w:rsid w:val="12A460C1"/>
    <w:rsid w:val="12C10A21"/>
    <w:rsid w:val="12C273A2"/>
    <w:rsid w:val="130A4100"/>
    <w:rsid w:val="13143247"/>
    <w:rsid w:val="13302E65"/>
    <w:rsid w:val="13392CAD"/>
    <w:rsid w:val="135215FC"/>
    <w:rsid w:val="13567491"/>
    <w:rsid w:val="136658EB"/>
    <w:rsid w:val="136715C8"/>
    <w:rsid w:val="136F678A"/>
    <w:rsid w:val="13A7230D"/>
    <w:rsid w:val="13FD017F"/>
    <w:rsid w:val="13FD574D"/>
    <w:rsid w:val="14186D67"/>
    <w:rsid w:val="14567065"/>
    <w:rsid w:val="14741FA9"/>
    <w:rsid w:val="148443FC"/>
    <w:rsid w:val="14853CF0"/>
    <w:rsid w:val="149A59CD"/>
    <w:rsid w:val="14D96CF7"/>
    <w:rsid w:val="14FD282E"/>
    <w:rsid w:val="150F007B"/>
    <w:rsid w:val="15273705"/>
    <w:rsid w:val="153614AE"/>
    <w:rsid w:val="1553326F"/>
    <w:rsid w:val="15610299"/>
    <w:rsid w:val="156B35B4"/>
    <w:rsid w:val="15A9411A"/>
    <w:rsid w:val="15AA6E17"/>
    <w:rsid w:val="15F555B1"/>
    <w:rsid w:val="16044DF0"/>
    <w:rsid w:val="164D719B"/>
    <w:rsid w:val="164E3D34"/>
    <w:rsid w:val="166E0EC0"/>
    <w:rsid w:val="168F57C6"/>
    <w:rsid w:val="16AB5C70"/>
    <w:rsid w:val="16C63A6B"/>
    <w:rsid w:val="16DB5D9B"/>
    <w:rsid w:val="16E35D8E"/>
    <w:rsid w:val="1706734A"/>
    <w:rsid w:val="1735378C"/>
    <w:rsid w:val="17380351"/>
    <w:rsid w:val="174A690E"/>
    <w:rsid w:val="17544559"/>
    <w:rsid w:val="17563E2E"/>
    <w:rsid w:val="179400D7"/>
    <w:rsid w:val="17AF1790"/>
    <w:rsid w:val="17B9616B"/>
    <w:rsid w:val="17D05ED5"/>
    <w:rsid w:val="17D86F39"/>
    <w:rsid w:val="17DB2585"/>
    <w:rsid w:val="17E16903"/>
    <w:rsid w:val="17F8354B"/>
    <w:rsid w:val="18363C5F"/>
    <w:rsid w:val="18504D21"/>
    <w:rsid w:val="185A794E"/>
    <w:rsid w:val="18826EA4"/>
    <w:rsid w:val="189015C1"/>
    <w:rsid w:val="18954280"/>
    <w:rsid w:val="18AD2173"/>
    <w:rsid w:val="18E93391"/>
    <w:rsid w:val="18F558C8"/>
    <w:rsid w:val="18FC0A05"/>
    <w:rsid w:val="19053D5D"/>
    <w:rsid w:val="19151AC7"/>
    <w:rsid w:val="191C2E55"/>
    <w:rsid w:val="191D6ABC"/>
    <w:rsid w:val="192A5572"/>
    <w:rsid w:val="197E16E0"/>
    <w:rsid w:val="19800A63"/>
    <w:rsid w:val="199C3318"/>
    <w:rsid w:val="19BF7105"/>
    <w:rsid w:val="19D454DE"/>
    <w:rsid w:val="19E41BC5"/>
    <w:rsid w:val="19F94F44"/>
    <w:rsid w:val="1A192263"/>
    <w:rsid w:val="1A1E49AB"/>
    <w:rsid w:val="1A461B5A"/>
    <w:rsid w:val="1A61243A"/>
    <w:rsid w:val="1A642D76"/>
    <w:rsid w:val="1A6972E1"/>
    <w:rsid w:val="1A864A2A"/>
    <w:rsid w:val="1ABA4141"/>
    <w:rsid w:val="1ABE48FE"/>
    <w:rsid w:val="1ABF6784"/>
    <w:rsid w:val="1ACD2659"/>
    <w:rsid w:val="1AF51BB0"/>
    <w:rsid w:val="1B1C6F45"/>
    <w:rsid w:val="1B214753"/>
    <w:rsid w:val="1B247753"/>
    <w:rsid w:val="1B416BA3"/>
    <w:rsid w:val="1B612E40"/>
    <w:rsid w:val="1B9413C8"/>
    <w:rsid w:val="1B950C9D"/>
    <w:rsid w:val="1BAF7FB0"/>
    <w:rsid w:val="1BDC2FCF"/>
    <w:rsid w:val="1BE91714"/>
    <w:rsid w:val="1C0E2042"/>
    <w:rsid w:val="1C2A03CD"/>
    <w:rsid w:val="1C4306F9"/>
    <w:rsid w:val="1C485D0F"/>
    <w:rsid w:val="1C4A7CD9"/>
    <w:rsid w:val="1C5B3C94"/>
    <w:rsid w:val="1C6D6938"/>
    <w:rsid w:val="1C872CDB"/>
    <w:rsid w:val="1CA44DFD"/>
    <w:rsid w:val="1CA9544F"/>
    <w:rsid w:val="1CB02232"/>
    <w:rsid w:val="1CB05D8E"/>
    <w:rsid w:val="1CDA105D"/>
    <w:rsid w:val="1D4942EE"/>
    <w:rsid w:val="1D58046F"/>
    <w:rsid w:val="1D8A4831"/>
    <w:rsid w:val="1DAD5E29"/>
    <w:rsid w:val="1DB107D3"/>
    <w:rsid w:val="1E0A7720"/>
    <w:rsid w:val="1E0D610D"/>
    <w:rsid w:val="1E1C5390"/>
    <w:rsid w:val="1E427156"/>
    <w:rsid w:val="1E5170FD"/>
    <w:rsid w:val="1E5471D3"/>
    <w:rsid w:val="1E5857C0"/>
    <w:rsid w:val="1E691EC7"/>
    <w:rsid w:val="1E7F1EF3"/>
    <w:rsid w:val="1E8C45D9"/>
    <w:rsid w:val="1E9D7037"/>
    <w:rsid w:val="1E9F255E"/>
    <w:rsid w:val="1EA01ACB"/>
    <w:rsid w:val="1EA9635F"/>
    <w:rsid w:val="1EBD6A12"/>
    <w:rsid w:val="1EC059E4"/>
    <w:rsid w:val="1ECC4488"/>
    <w:rsid w:val="1ECF3695"/>
    <w:rsid w:val="1ED146E2"/>
    <w:rsid w:val="1EE57FD5"/>
    <w:rsid w:val="1EF34658"/>
    <w:rsid w:val="1F254BB0"/>
    <w:rsid w:val="1F31335A"/>
    <w:rsid w:val="1F453804"/>
    <w:rsid w:val="1F566FDA"/>
    <w:rsid w:val="1F5E41C7"/>
    <w:rsid w:val="1F867203"/>
    <w:rsid w:val="1F974FE3"/>
    <w:rsid w:val="1FC55FF4"/>
    <w:rsid w:val="1FD06747"/>
    <w:rsid w:val="1FD22A2E"/>
    <w:rsid w:val="1FDE075B"/>
    <w:rsid w:val="1FEC346C"/>
    <w:rsid w:val="1FF03BF6"/>
    <w:rsid w:val="1FFD66BC"/>
    <w:rsid w:val="1FFE2A90"/>
    <w:rsid w:val="200307FA"/>
    <w:rsid w:val="20221283"/>
    <w:rsid w:val="202A2628"/>
    <w:rsid w:val="202A69E7"/>
    <w:rsid w:val="204415DD"/>
    <w:rsid w:val="204C4020"/>
    <w:rsid w:val="204F69C7"/>
    <w:rsid w:val="20614D32"/>
    <w:rsid w:val="20731B15"/>
    <w:rsid w:val="20734025"/>
    <w:rsid w:val="208209E0"/>
    <w:rsid w:val="20A62691"/>
    <w:rsid w:val="20AB4EB3"/>
    <w:rsid w:val="20B83463"/>
    <w:rsid w:val="20D65FDF"/>
    <w:rsid w:val="20EE15EA"/>
    <w:rsid w:val="20F131BC"/>
    <w:rsid w:val="212320BB"/>
    <w:rsid w:val="213D0171"/>
    <w:rsid w:val="21466B84"/>
    <w:rsid w:val="214C62A1"/>
    <w:rsid w:val="21821CC3"/>
    <w:rsid w:val="218C3390"/>
    <w:rsid w:val="21A869CB"/>
    <w:rsid w:val="21B369E9"/>
    <w:rsid w:val="21E36C06"/>
    <w:rsid w:val="21FD3DB7"/>
    <w:rsid w:val="2206638A"/>
    <w:rsid w:val="221D59C8"/>
    <w:rsid w:val="22681E34"/>
    <w:rsid w:val="2288197F"/>
    <w:rsid w:val="22A34412"/>
    <w:rsid w:val="22CE51C0"/>
    <w:rsid w:val="22D4654E"/>
    <w:rsid w:val="22ED042B"/>
    <w:rsid w:val="22EF3388"/>
    <w:rsid w:val="2313259C"/>
    <w:rsid w:val="23325AFD"/>
    <w:rsid w:val="234C4318"/>
    <w:rsid w:val="2369138D"/>
    <w:rsid w:val="236D0A29"/>
    <w:rsid w:val="237C2E38"/>
    <w:rsid w:val="238826DF"/>
    <w:rsid w:val="23A5163A"/>
    <w:rsid w:val="23C93FF7"/>
    <w:rsid w:val="23ED78C8"/>
    <w:rsid w:val="240D3AC6"/>
    <w:rsid w:val="241E5CD3"/>
    <w:rsid w:val="2421687F"/>
    <w:rsid w:val="24417C14"/>
    <w:rsid w:val="2463402E"/>
    <w:rsid w:val="247B0296"/>
    <w:rsid w:val="248059AC"/>
    <w:rsid w:val="24845CC8"/>
    <w:rsid w:val="249F1AD7"/>
    <w:rsid w:val="24A3267C"/>
    <w:rsid w:val="24C37B41"/>
    <w:rsid w:val="252E0198"/>
    <w:rsid w:val="25407257"/>
    <w:rsid w:val="25473008"/>
    <w:rsid w:val="258C6621"/>
    <w:rsid w:val="25A41D16"/>
    <w:rsid w:val="25B6018D"/>
    <w:rsid w:val="25CD3676"/>
    <w:rsid w:val="25DA44C9"/>
    <w:rsid w:val="25DD1BE6"/>
    <w:rsid w:val="26432721"/>
    <w:rsid w:val="26502390"/>
    <w:rsid w:val="265C5C22"/>
    <w:rsid w:val="266F2816"/>
    <w:rsid w:val="267F75FC"/>
    <w:rsid w:val="268362C1"/>
    <w:rsid w:val="26962499"/>
    <w:rsid w:val="269A200D"/>
    <w:rsid w:val="26B80661"/>
    <w:rsid w:val="26E36D60"/>
    <w:rsid w:val="26F212C5"/>
    <w:rsid w:val="26F70A5D"/>
    <w:rsid w:val="27007912"/>
    <w:rsid w:val="272078F5"/>
    <w:rsid w:val="27402404"/>
    <w:rsid w:val="277327DA"/>
    <w:rsid w:val="278665E6"/>
    <w:rsid w:val="27912C60"/>
    <w:rsid w:val="27A22094"/>
    <w:rsid w:val="27F31A48"/>
    <w:rsid w:val="281E7723"/>
    <w:rsid w:val="28277AEF"/>
    <w:rsid w:val="2849353B"/>
    <w:rsid w:val="28846321"/>
    <w:rsid w:val="288B3B53"/>
    <w:rsid w:val="28902F18"/>
    <w:rsid w:val="28C826B1"/>
    <w:rsid w:val="28CF3A40"/>
    <w:rsid w:val="28E514B5"/>
    <w:rsid w:val="28E9631D"/>
    <w:rsid w:val="29030533"/>
    <w:rsid w:val="292D69B8"/>
    <w:rsid w:val="293B7327"/>
    <w:rsid w:val="29455AB0"/>
    <w:rsid w:val="294843BB"/>
    <w:rsid w:val="296730D7"/>
    <w:rsid w:val="296A0BD4"/>
    <w:rsid w:val="29785E86"/>
    <w:rsid w:val="29824F56"/>
    <w:rsid w:val="298962E5"/>
    <w:rsid w:val="29902133"/>
    <w:rsid w:val="29A45290"/>
    <w:rsid w:val="29C015DB"/>
    <w:rsid w:val="29DA067B"/>
    <w:rsid w:val="29DD4E77"/>
    <w:rsid w:val="29DF4157"/>
    <w:rsid w:val="29E4176D"/>
    <w:rsid w:val="2A21651D"/>
    <w:rsid w:val="2A3A313B"/>
    <w:rsid w:val="2A461FFC"/>
    <w:rsid w:val="2A587A65"/>
    <w:rsid w:val="2A5E151F"/>
    <w:rsid w:val="2A6308E4"/>
    <w:rsid w:val="2A697EC4"/>
    <w:rsid w:val="2A701253"/>
    <w:rsid w:val="2A71273C"/>
    <w:rsid w:val="2A8A4FE9"/>
    <w:rsid w:val="2A8A78B4"/>
    <w:rsid w:val="2A8F09F7"/>
    <w:rsid w:val="2A905451"/>
    <w:rsid w:val="2AB729DE"/>
    <w:rsid w:val="2AD52E64"/>
    <w:rsid w:val="2ADD50E3"/>
    <w:rsid w:val="2AEE6849"/>
    <w:rsid w:val="2AF25A18"/>
    <w:rsid w:val="2AF91248"/>
    <w:rsid w:val="2B1335CB"/>
    <w:rsid w:val="2B553615"/>
    <w:rsid w:val="2B651E5F"/>
    <w:rsid w:val="2B6B6604"/>
    <w:rsid w:val="2B746B21"/>
    <w:rsid w:val="2B8503CA"/>
    <w:rsid w:val="2B852ADC"/>
    <w:rsid w:val="2B8C3E6A"/>
    <w:rsid w:val="2BA016C4"/>
    <w:rsid w:val="2BA72A52"/>
    <w:rsid w:val="2BB92785"/>
    <w:rsid w:val="2BC855FD"/>
    <w:rsid w:val="2BFC7F0F"/>
    <w:rsid w:val="2C201DE6"/>
    <w:rsid w:val="2C203F17"/>
    <w:rsid w:val="2C23554C"/>
    <w:rsid w:val="2C545F86"/>
    <w:rsid w:val="2C9E7BAF"/>
    <w:rsid w:val="2CB43679"/>
    <w:rsid w:val="2CCD0296"/>
    <w:rsid w:val="2CD058CE"/>
    <w:rsid w:val="2CFE54CA"/>
    <w:rsid w:val="2D0D19B2"/>
    <w:rsid w:val="2D5D4ED0"/>
    <w:rsid w:val="2DCB0201"/>
    <w:rsid w:val="2DCD2FD2"/>
    <w:rsid w:val="2DD1025A"/>
    <w:rsid w:val="2DDA2821"/>
    <w:rsid w:val="2DE87467"/>
    <w:rsid w:val="2E07770B"/>
    <w:rsid w:val="2E0C4DEE"/>
    <w:rsid w:val="2E0E6DB8"/>
    <w:rsid w:val="2E33681F"/>
    <w:rsid w:val="2E383E35"/>
    <w:rsid w:val="2E427F77"/>
    <w:rsid w:val="2E440A2C"/>
    <w:rsid w:val="2E6F45BC"/>
    <w:rsid w:val="2E7E2E79"/>
    <w:rsid w:val="2E82228E"/>
    <w:rsid w:val="2E925F36"/>
    <w:rsid w:val="2EB060C2"/>
    <w:rsid w:val="2EC35DF5"/>
    <w:rsid w:val="2EE87609"/>
    <w:rsid w:val="2F0957D2"/>
    <w:rsid w:val="2F31486C"/>
    <w:rsid w:val="2F357EC8"/>
    <w:rsid w:val="2F82580A"/>
    <w:rsid w:val="2F8C268B"/>
    <w:rsid w:val="2F8F205C"/>
    <w:rsid w:val="2FB90FA6"/>
    <w:rsid w:val="2FC406DE"/>
    <w:rsid w:val="2FD1003B"/>
    <w:rsid w:val="2FD602BF"/>
    <w:rsid w:val="2FDB5C72"/>
    <w:rsid w:val="301268D5"/>
    <w:rsid w:val="305E1101"/>
    <w:rsid w:val="309C4B4F"/>
    <w:rsid w:val="30D0623E"/>
    <w:rsid w:val="30EB1984"/>
    <w:rsid w:val="30F93D50"/>
    <w:rsid w:val="30FA3624"/>
    <w:rsid w:val="310223BE"/>
    <w:rsid w:val="312F15C9"/>
    <w:rsid w:val="313C4A71"/>
    <w:rsid w:val="316D029A"/>
    <w:rsid w:val="3172765E"/>
    <w:rsid w:val="31767D5B"/>
    <w:rsid w:val="31A57A34"/>
    <w:rsid w:val="31AB491E"/>
    <w:rsid w:val="31B12153"/>
    <w:rsid w:val="31C53F01"/>
    <w:rsid w:val="31C87054"/>
    <w:rsid w:val="31D26DD6"/>
    <w:rsid w:val="31E34DD2"/>
    <w:rsid w:val="32130E41"/>
    <w:rsid w:val="32193F7E"/>
    <w:rsid w:val="323B5CA2"/>
    <w:rsid w:val="328715C0"/>
    <w:rsid w:val="32A27071"/>
    <w:rsid w:val="32B75C71"/>
    <w:rsid w:val="33135B31"/>
    <w:rsid w:val="333123D8"/>
    <w:rsid w:val="33323549"/>
    <w:rsid w:val="33535E5D"/>
    <w:rsid w:val="336171D2"/>
    <w:rsid w:val="338F44F8"/>
    <w:rsid w:val="33A53D1B"/>
    <w:rsid w:val="33D52966"/>
    <w:rsid w:val="34253006"/>
    <w:rsid w:val="34285C2E"/>
    <w:rsid w:val="342F1837"/>
    <w:rsid w:val="343011E9"/>
    <w:rsid w:val="34975274"/>
    <w:rsid w:val="34A044E2"/>
    <w:rsid w:val="34AC2A42"/>
    <w:rsid w:val="34C94751"/>
    <w:rsid w:val="34C957E7"/>
    <w:rsid w:val="34CA7D5B"/>
    <w:rsid w:val="34D31D6C"/>
    <w:rsid w:val="34D523DE"/>
    <w:rsid w:val="34DB551B"/>
    <w:rsid w:val="34E16FD5"/>
    <w:rsid w:val="34E72111"/>
    <w:rsid w:val="35104158"/>
    <w:rsid w:val="3514165E"/>
    <w:rsid w:val="351870F5"/>
    <w:rsid w:val="35610116"/>
    <w:rsid w:val="3566409A"/>
    <w:rsid w:val="356E45E1"/>
    <w:rsid w:val="359E6C74"/>
    <w:rsid w:val="35D60273"/>
    <w:rsid w:val="35ED1098"/>
    <w:rsid w:val="35F446B8"/>
    <w:rsid w:val="35F55E9D"/>
    <w:rsid w:val="35F66AB0"/>
    <w:rsid w:val="36002E84"/>
    <w:rsid w:val="361874F3"/>
    <w:rsid w:val="363B0967"/>
    <w:rsid w:val="363E0A9A"/>
    <w:rsid w:val="36563720"/>
    <w:rsid w:val="366C6D72"/>
    <w:rsid w:val="366D6646"/>
    <w:rsid w:val="367B5046"/>
    <w:rsid w:val="368D0E6A"/>
    <w:rsid w:val="36924A8E"/>
    <w:rsid w:val="369719CF"/>
    <w:rsid w:val="369870EA"/>
    <w:rsid w:val="36C07AC3"/>
    <w:rsid w:val="36C26992"/>
    <w:rsid w:val="36EE3C2B"/>
    <w:rsid w:val="36F315B5"/>
    <w:rsid w:val="370F76FD"/>
    <w:rsid w:val="3716290B"/>
    <w:rsid w:val="371C0798"/>
    <w:rsid w:val="37252134"/>
    <w:rsid w:val="372B27DB"/>
    <w:rsid w:val="373262C7"/>
    <w:rsid w:val="37CA5637"/>
    <w:rsid w:val="37D83F93"/>
    <w:rsid w:val="37E87300"/>
    <w:rsid w:val="38191D46"/>
    <w:rsid w:val="381B5973"/>
    <w:rsid w:val="38264738"/>
    <w:rsid w:val="38507FCD"/>
    <w:rsid w:val="385279FC"/>
    <w:rsid w:val="38592930"/>
    <w:rsid w:val="387243E8"/>
    <w:rsid w:val="3889138C"/>
    <w:rsid w:val="38DD3F57"/>
    <w:rsid w:val="38F45946"/>
    <w:rsid w:val="39256756"/>
    <w:rsid w:val="396B7857"/>
    <w:rsid w:val="39A405D1"/>
    <w:rsid w:val="39DA3FF3"/>
    <w:rsid w:val="39E135D3"/>
    <w:rsid w:val="39F310A6"/>
    <w:rsid w:val="3A3C4CAD"/>
    <w:rsid w:val="3A4818A4"/>
    <w:rsid w:val="3A530A26"/>
    <w:rsid w:val="3A614714"/>
    <w:rsid w:val="3A9019E1"/>
    <w:rsid w:val="3AA765CB"/>
    <w:rsid w:val="3AAD5BAB"/>
    <w:rsid w:val="3ABB6837"/>
    <w:rsid w:val="3AD00322"/>
    <w:rsid w:val="3AD13648"/>
    <w:rsid w:val="3AD66EE7"/>
    <w:rsid w:val="3AF0584C"/>
    <w:rsid w:val="3AF86E26"/>
    <w:rsid w:val="3B0752BB"/>
    <w:rsid w:val="3B082DE1"/>
    <w:rsid w:val="3B091033"/>
    <w:rsid w:val="3B1D1DBA"/>
    <w:rsid w:val="3B2835AA"/>
    <w:rsid w:val="3B5B73B5"/>
    <w:rsid w:val="3B601DB4"/>
    <w:rsid w:val="3B6115E9"/>
    <w:rsid w:val="3B721A63"/>
    <w:rsid w:val="3B801ACE"/>
    <w:rsid w:val="3B871F58"/>
    <w:rsid w:val="3BB75220"/>
    <w:rsid w:val="3BBD010D"/>
    <w:rsid w:val="3BED44B1"/>
    <w:rsid w:val="3BF07AFD"/>
    <w:rsid w:val="3BF12E8E"/>
    <w:rsid w:val="3C0E2679"/>
    <w:rsid w:val="3C101F4E"/>
    <w:rsid w:val="3C1557B6"/>
    <w:rsid w:val="3C3C2D43"/>
    <w:rsid w:val="3C8D2FA8"/>
    <w:rsid w:val="3CB054DF"/>
    <w:rsid w:val="3CB70040"/>
    <w:rsid w:val="3CCD7E3F"/>
    <w:rsid w:val="3CEB3643"/>
    <w:rsid w:val="3D0343F7"/>
    <w:rsid w:val="3D2E29C6"/>
    <w:rsid w:val="3D420661"/>
    <w:rsid w:val="3D607B64"/>
    <w:rsid w:val="3D7F2611"/>
    <w:rsid w:val="3DA70690"/>
    <w:rsid w:val="3DD8316F"/>
    <w:rsid w:val="3DDA6CB7"/>
    <w:rsid w:val="3DDF64DB"/>
    <w:rsid w:val="3E2B7FFB"/>
    <w:rsid w:val="3E371A14"/>
    <w:rsid w:val="3E43485C"/>
    <w:rsid w:val="3E4458F7"/>
    <w:rsid w:val="3E78202C"/>
    <w:rsid w:val="3E8E35FE"/>
    <w:rsid w:val="3EB644B9"/>
    <w:rsid w:val="3ED6747E"/>
    <w:rsid w:val="3EDD669F"/>
    <w:rsid w:val="3EE93B81"/>
    <w:rsid w:val="3F1F4BA2"/>
    <w:rsid w:val="3F2301EA"/>
    <w:rsid w:val="3F253F62"/>
    <w:rsid w:val="3F791384"/>
    <w:rsid w:val="3F80563C"/>
    <w:rsid w:val="3F853DC9"/>
    <w:rsid w:val="3F8D5239"/>
    <w:rsid w:val="3F8E5FAB"/>
    <w:rsid w:val="3F9335C1"/>
    <w:rsid w:val="3FE15CC5"/>
    <w:rsid w:val="3FF13142"/>
    <w:rsid w:val="401B464C"/>
    <w:rsid w:val="401C2100"/>
    <w:rsid w:val="403F2E01"/>
    <w:rsid w:val="404421FC"/>
    <w:rsid w:val="40464190"/>
    <w:rsid w:val="40754A75"/>
    <w:rsid w:val="40772E08"/>
    <w:rsid w:val="40805F8B"/>
    <w:rsid w:val="40B90E06"/>
    <w:rsid w:val="40DB03EA"/>
    <w:rsid w:val="40DC4AF4"/>
    <w:rsid w:val="40EB3668"/>
    <w:rsid w:val="40FD2FC9"/>
    <w:rsid w:val="41276CD4"/>
    <w:rsid w:val="4130276D"/>
    <w:rsid w:val="41352A41"/>
    <w:rsid w:val="413C37E5"/>
    <w:rsid w:val="41456B3D"/>
    <w:rsid w:val="415E19AD"/>
    <w:rsid w:val="41642B76"/>
    <w:rsid w:val="416E4A03"/>
    <w:rsid w:val="41A52A44"/>
    <w:rsid w:val="41A575DC"/>
    <w:rsid w:val="41BB629B"/>
    <w:rsid w:val="41CD78EE"/>
    <w:rsid w:val="41E90120"/>
    <w:rsid w:val="41F83ADF"/>
    <w:rsid w:val="41F9727F"/>
    <w:rsid w:val="41FC4D90"/>
    <w:rsid w:val="41FE2AB9"/>
    <w:rsid w:val="41FF0A9A"/>
    <w:rsid w:val="421A58D4"/>
    <w:rsid w:val="42281EB7"/>
    <w:rsid w:val="42366486"/>
    <w:rsid w:val="4269727D"/>
    <w:rsid w:val="42B15A93"/>
    <w:rsid w:val="42B51AA1"/>
    <w:rsid w:val="42D83363"/>
    <w:rsid w:val="43106CD7"/>
    <w:rsid w:val="431A21E2"/>
    <w:rsid w:val="432509D4"/>
    <w:rsid w:val="432A4B90"/>
    <w:rsid w:val="43303535"/>
    <w:rsid w:val="43766CAA"/>
    <w:rsid w:val="439C0D02"/>
    <w:rsid w:val="439F53ED"/>
    <w:rsid w:val="43B608B7"/>
    <w:rsid w:val="43B81849"/>
    <w:rsid w:val="43B90A61"/>
    <w:rsid w:val="43BE6733"/>
    <w:rsid w:val="43EE526A"/>
    <w:rsid w:val="43FC379A"/>
    <w:rsid w:val="442567B2"/>
    <w:rsid w:val="443A225E"/>
    <w:rsid w:val="444E4F44"/>
    <w:rsid w:val="44A26055"/>
    <w:rsid w:val="44B31860"/>
    <w:rsid w:val="44C1472D"/>
    <w:rsid w:val="44E977E0"/>
    <w:rsid w:val="44F52628"/>
    <w:rsid w:val="45137AFB"/>
    <w:rsid w:val="4538563A"/>
    <w:rsid w:val="45390767"/>
    <w:rsid w:val="45543F3F"/>
    <w:rsid w:val="45605CF4"/>
    <w:rsid w:val="45736C9C"/>
    <w:rsid w:val="457B2B2E"/>
    <w:rsid w:val="458879C8"/>
    <w:rsid w:val="459260C9"/>
    <w:rsid w:val="45A32084"/>
    <w:rsid w:val="45C34685"/>
    <w:rsid w:val="45D65FB6"/>
    <w:rsid w:val="45DB4DB4"/>
    <w:rsid w:val="45DC0A57"/>
    <w:rsid w:val="45EC6DA0"/>
    <w:rsid w:val="46305C1E"/>
    <w:rsid w:val="463351B6"/>
    <w:rsid w:val="46364CA7"/>
    <w:rsid w:val="46375512"/>
    <w:rsid w:val="463E19BE"/>
    <w:rsid w:val="4669507C"/>
    <w:rsid w:val="466A4950"/>
    <w:rsid w:val="46814A05"/>
    <w:rsid w:val="469D2F78"/>
    <w:rsid w:val="46B1432D"/>
    <w:rsid w:val="46BA4A5C"/>
    <w:rsid w:val="46C46C3C"/>
    <w:rsid w:val="46E110B6"/>
    <w:rsid w:val="46E44703"/>
    <w:rsid w:val="46FF7B55"/>
    <w:rsid w:val="4707725C"/>
    <w:rsid w:val="47374141"/>
    <w:rsid w:val="475852E3"/>
    <w:rsid w:val="47624301"/>
    <w:rsid w:val="47662451"/>
    <w:rsid w:val="476D64A6"/>
    <w:rsid w:val="478B10DD"/>
    <w:rsid w:val="479E0D55"/>
    <w:rsid w:val="47C6582E"/>
    <w:rsid w:val="47C87B80"/>
    <w:rsid w:val="47D04B76"/>
    <w:rsid w:val="47D12C8F"/>
    <w:rsid w:val="47D74267"/>
    <w:rsid w:val="47F022FB"/>
    <w:rsid w:val="480E45C2"/>
    <w:rsid w:val="484E4529"/>
    <w:rsid w:val="485F60A2"/>
    <w:rsid w:val="487D3361"/>
    <w:rsid w:val="4893018E"/>
    <w:rsid w:val="48A9316A"/>
    <w:rsid w:val="48EB50F8"/>
    <w:rsid w:val="48FF3A76"/>
    <w:rsid w:val="49117305"/>
    <w:rsid w:val="49186C9D"/>
    <w:rsid w:val="4948541D"/>
    <w:rsid w:val="496C4935"/>
    <w:rsid w:val="496D5C17"/>
    <w:rsid w:val="498875C7"/>
    <w:rsid w:val="498D4552"/>
    <w:rsid w:val="49972055"/>
    <w:rsid w:val="49A0390A"/>
    <w:rsid w:val="49EB030C"/>
    <w:rsid w:val="4A027AEE"/>
    <w:rsid w:val="4A0B28D9"/>
    <w:rsid w:val="4A1452FF"/>
    <w:rsid w:val="4A174DEF"/>
    <w:rsid w:val="4A211BC5"/>
    <w:rsid w:val="4A367D00"/>
    <w:rsid w:val="4A3D2AA8"/>
    <w:rsid w:val="4A510301"/>
    <w:rsid w:val="4A595408"/>
    <w:rsid w:val="4A604B4B"/>
    <w:rsid w:val="4A774C1D"/>
    <w:rsid w:val="4A8F0E29"/>
    <w:rsid w:val="4AB80380"/>
    <w:rsid w:val="4AE101BC"/>
    <w:rsid w:val="4AE72A13"/>
    <w:rsid w:val="4AF64A04"/>
    <w:rsid w:val="4B0E1860"/>
    <w:rsid w:val="4B1A6945"/>
    <w:rsid w:val="4B1E57F9"/>
    <w:rsid w:val="4B392163"/>
    <w:rsid w:val="4B5D303A"/>
    <w:rsid w:val="4B6B0F4E"/>
    <w:rsid w:val="4B6B7D75"/>
    <w:rsid w:val="4BCD39B7"/>
    <w:rsid w:val="4BD50ABE"/>
    <w:rsid w:val="4C2C73A9"/>
    <w:rsid w:val="4C3C0B3D"/>
    <w:rsid w:val="4C706486"/>
    <w:rsid w:val="4C985BE4"/>
    <w:rsid w:val="4CC51250"/>
    <w:rsid w:val="4CCC1570"/>
    <w:rsid w:val="4CE11CEA"/>
    <w:rsid w:val="4CE4545C"/>
    <w:rsid w:val="4CE52F83"/>
    <w:rsid w:val="4CF64AF5"/>
    <w:rsid w:val="4D023B34"/>
    <w:rsid w:val="4D113D78"/>
    <w:rsid w:val="4D153868"/>
    <w:rsid w:val="4D6E11CA"/>
    <w:rsid w:val="4D746DE7"/>
    <w:rsid w:val="4D863A5F"/>
    <w:rsid w:val="4D956757"/>
    <w:rsid w:val="4D9E09A5"/>
    <w:rsid w:val="4DEB45C9"/>
    <w:rsid w:val="4E131D70"/>
    <w:rsid w:val="4E257ADB"/>
    <w:rsid w:val="4E3150E2"/>
    <w:rsid w:val="4E604FB7"/>
    <w:rsid w:val="4E61488B"/>
    <w:rsid w:val="4E6F6FA8"/>
    <w:rsid w:val="4E832A53"/>
    <w:rsid w:val="4E9E0E42"/>
    <w:rsid w:val="4EC323D3"/>
    <w:rsid w:val="4ECA5965"/>
    <w:rsid w:val="4EDA4BAF"/>
    <w:rsid w:val="4EF111C9"/>
    <w:rsid w:val="4F0040A4"/>
    <w:rsid w:val="4F1A258C"/>
    <w:rsid w:val="4F212601"/>
    <w:rsid w:val="4F2558B8"/>
    <w:rsid w:val="4F617AF9"/>
    <w:rsid w:val="4F710579"/>
    <w:rsid w:val="4F7B3C49"/>
    <w:rsid w:val="4F836472"/>
    <w:rsid w:val="4FCE5F50"/>
    <w:rsid w:val="4FD21B3F"/>
    <w:rsid w:val="5006489C"/>
    <w:rsid w:val="50250266"/>
    <w:rsid w:val="509A0D05"/>
    <w:rsid w:val="509B7BE4"/>
    <w:rsid w:val="50A218B6"/>
    <w:rsid w:val="50BD049E"/>
    <w:rsid w:val="50D15CF8"/>
    <w:rsid w:val="50D47596"/>
    <w:rsid w:val="51345B03"/>
    <w:rsid w:val="515911FE"/>
    <w:rsid w:val="5167040A"/>
    <w:rsid w:val="51A43D09"/>
    <w:rsid w:val="51B97845"/>
    <w:rsid w:val="51BA49DE"/>
    <w:rsid w:val="51CC363D"/>
    <w:rsid w:val="51D535C6"/>
    <w:rsid w:val="51D84379"/>
    <w:rsid w:val="51F038AC"/>
    <w:rsid w:val="522916EB"/>
    <w:rsid w:val="522A333B"/>
    <w:rsid w:val="523B280D"/>
    <w:rsid w:val="526900E0"/>
    <w:rsid w:val="52754DA9"/>
    <w:rsid w:val="527D5369"/>
    <w:rsid w:val="52831274"/>
    <w:rsid w:val="528F5E6A"/>
    <w:rsid w:val="529377A3"/>
    <w:rsid w:val="52BB1F8D"/>
    <w:rsid w:val="52BC106A"/>
    <w:rsid w:val="52BD7E70"/>
    <w:rsid w:val="52DE64AA"/>
    <w:rsid w:val="52E969CB"/>
    <w:rsid w:val="52ED1920"/>
    <w:rsid w:val="52F51B09"/>
    <w:rsid w:val="53002586"/>
    <w:rsid w:val="53182D52"/>
    <w:rsid w:val="531E0F9C"/>
    <w:rsid w:val="53365A20"/>
    <w:rsid w:val="53382ADA"/>
    <w:rsid w:val="536003B7"/>
    <w:rsid w:val="53746E0E"/>
    <w:rsid w:val="53873CE2"/>
    <w:rsid w:val="538E7ED0"/>
    <w:rsid w:val="53964A65"/>
    <w:rsid w:val="53C22A16"/>
    <w:rsid w:val="53E51688"/>
    <w:rsid w:val="53F54750"/>
    <w:rsid w:val="540B32CF"/>
    <w:rsid w:val="540D34EB"/>
    <w:rsid w:val="5441765D"/>
    <w:rsid w:val="54962D07"/>
    <w:rsid w:val="549838BA"/>
    <w:rsid w:val="54A76DE6"/>
    <w:rsid w:val="54AD25D8"/>
    <w:rsid w:val="54B75515"/>
    <w:rsid w:val="54D44710"/>
    <w:rsid w:val="54D8352B"/>
    <w:rsid w:val="54E14A46"/>
    <w:rsid w:val="54E44F53"/>
    <w:rsid w:val="550A1A6C"/>
    <w:rsid w:val="55293FDE"/>
    <w:rsid w:val="55494FB9"/>
    <w:rsid w:val="55515659"/>
    <w:rsid w:val="55592760"/>
    <w:rsid w:val="55AE4859"/>
    <w:rsid w:val="55BD4A9D"/>
    <w:rsid w:val="55BE5CBB"/>
    <w:rsid w:val="55DA38A0"/>
    <w:rsid w:val="55E32DF5"/>
    <w:rsid w:val="55E54EC2"/>
    <w:rsid w:val="56020701"/>
    <w:rsid w:val="561771E7"/>
    <w:rsid w:val="56202653"/>
    <w:rsid w:val="56361DDC"/>
    <w:rsid w:val="56394984"/>
    <w:rsid w:val="5663497E"/>
    <w:rsid w:val="566969D2"/>
    <w:rsid w:val="56D402F0"/>
    <w:rsid w:val="56DB77DB"/>
    <w:rsid w:val="56EA0618"/>
    <w:rsid w:val="57523BC2"/>
    <w:rsid w:val="57607F35"/>
    <w:rsid w:val="576F0018"/>
    <w:rsid w:val="57792406"/>
    <w:rsid w:val="5798756F"/>
    <w:rsid w:val="57E74019"/>
    <w:rsid w:val="58183782"/>
    <w:rsid w:val="58423CF8"/>
    <w:rsid w:val="58482C7F"/>
    <w:rsid w:val="58757780"/>
    <w:rsid w:val="589C1C7D"/>
    <w:rsid w:val="589D5795"/>
    <w:rsid w:val="58BD49DC"/>
    <w:rsid w:val="58BD50B3"/>
    <w:rsid w:val="58BD6B62"/>
    <w:rsid w:val="58FF53CC"/>
    <w:rsid w:val="59020E6A"/>
    <w:rsid w:val="59091DA7"/>
    <w:rsid w:val="59174845"/>
    <w:rsid w:val="59260BAB"/>
    <w:rsid w:val="59617604"/>
    <w:rsid w:val="598A75EA"/>
    <w:rsid w:val="59A776AF"/>
    <w:rsid w:val="59BD0810"/>
    <w:rsid w:val="59DC0C1A"/>
    <w:rsid w:val="59FD5DAF"/>
    <w:rsid w:val="5A1530F9"/>
    <w:rsid w:val="5A2C0443"/>
    <w:rsid w:val="5A340584"/>
    <w:rsid w:val="5A5576AE"/>
    <w:rsid w:val="5A665C4C"/>
    <w:rsid w:val="5A6F20DD"/>
    <w:rsid w:val="5A8E73E6"/>
    <w:rsid w:val="5AA20705"/>
    <w:rsid w:val="5AA903B9"/>
    <w:rsid w:val="5ACB13EC"/>
    <w:rsid w:val="5AD16E6F"/>
    <w:rsid w:val="5AE8436A"/>
    <w:rsid w:val="5B0B07C5"/>
    <w:rsid w:val="5B13515F"/>
    <w:rsid w:val="5B637E94"/>
    <w:rsid w:val="5B6634E0"/>
    <w:rsid w:val="5B6B4F9B"/>
    <w:rsid w:val="5B785742"/>
    <w:rsid w:val="5B857E0A"/>
    <w:rsid w:val="5BAD1FAA"/>
    <w:rsid w:val="5BC546AB"/>
    <w:rsid w:val="5BEC696F"/>
    <w:rsid w:val="5BF3746A"/>
    <w:rsid w:val="5BF40AEC"/>
    <w:rsid w:val="5C294C3A"/>
    <w:rsid w:val="5C3D6937"/>
    <w:rsid w:val="5C460738"/>
    <w:rsid w:val="5C6A0DAE"/>
    <w:rsid w:val="5C70114C"/>
    <w:rsid w:val="5C764DF0"/>
    <w:rsid w:val="5C9467A9"/>
    <w:rsid w:val="5CA17C8F"/>
    <w:rsid w:val="5CA644DC"/>
    <w:rsid w:val="5CAD1091"/>
    <w:rsid w:val="5CB564CD"/>
    <w:rsid w:val="5CC157E8"/>
    <w:rsid w:val="5CE60D7D"/>
    <w:rsid w:val="5D08708A"/>
    <w:rsid w:val="5D107BA8"/>
    <w:rsid w:val="5D1F7DEB"/>
    <w:rsid w:val="5D227761"/>
    <w:rsid w:val="5D5F28DD"/>
    <w:rsid w:val="5DBA7B13"/>
    <w:rsid w:val="5DD7214B"/>
    <w:rsid w:val="5DE324E9"/>
    <w:rsid w:val="5DEC2D9B"/>
    <w:rsid w:val="5E224037"/>
    <w:rsid w:val="5E2F0501"/>
    <w:rsid w:val="5E5E2B95"/>
    <w:rsid w:val="5E652175"/>
    <w:rsid w:val="5E781BA7"/>
    <w:rsid w:val="5E831A05"/>
    <w:rsid w:val="5E8F54ED"/>
    <w:rsid w:val="5EEC1F4F"/>
    <w:rsid w:val="5EF77271"/>
    <w:rsid w:val="5F220819"/>
    <w:rsid w:val="5F27742B"/>
    <w:rsid w:val="5F4203CC"/>
    <w:rsid w:val="5F50700A"/>
    <w:rsid w:val="5F6366B5"/>
    <w:rsid w:val="5F6854E4"/>
    <w:rsid w:val="5F9D4160"/>
    <w:rsid w:val="5FBD2A28"/>
    <w:rsid w:val="5FC15189"/>
    <w:rsid w:val="5FCB348C"/>
    <w:rsid w:val="5FE5531C"/>
    <w:rsid w:val="60163727"/>
    <w:rsid w:val="60175E02"/>
    <w:rsid w:val="60911000"/>
    <w:rsid w:val="60DA548A"/>
    <w:rsid w:val="60E91A05"/>
    <w:rsid w:val="60FF1A0E"/>
    <w:rsid w:val="61135EB8"/>
    <w:rsid w:val="612936B9"/>
    <w:rsid w:val="6138591F"/>
    <w:rsid w:val="618F19E3"/>
    <w:rsid w:val="61A905CB"/>
    <w:rsid w:val="61B121F4"/>
    <w:rsid w:val="61B4021C"/>
    <w:rsid w:val="61C74E36"/>
    <w:rsid w:val="61C91C03"/>
    <w:rsid w:val="62083543"/>
    <w:rsid w:val="620E332A"/>
    <w:rsid w:val="62192533"/>
    <w:rsid w:val="62376FFE"/>
    <w:rsid w:val="623C0E21"/>
    <w:rsid w:val="62742987"/>
    <w:rsid w:val="627B6F04"/>
    <w:rsid w:val="62970423"/>
    <w:rsid w:val="62C27B96"/>
    <w:rsid w:val="62C51434"/>
    <w:rsid w:val="62E96ED1"/>
    <w:rsid w:val="630C0E11"/>
    <w:rsid w:val="630D3D73"/>
    <w:rsid w:val="631A52DC"/>
    <w:rsid w:val="63464DE7"/>
    <w:rsid w:val="636C7B02"/>
    <w:rsid w:val="637B0820"/>
    <w:rsid w:val="63857890"/>
    <w:rsid w:val="63996805"/>
    <w:rsid w:val="639B133B"/>
    <w:rsid w:val="63AE011A"/>
    <w:rsid w:val="63AE08D7"/>
    <w:rsid w:val="6421269A"/>
    <w:rsid w:val="6428799B"/>
    <w:rsid w:val="64406FC4"/>
    <w:rsid w:val="646D0697"/>
    <w:rsid w:val="648C0838"/>
    <w:rsid w:val="648F3AA8"/>
    <w:rsid w:val="64A77044"/>
    <w:rsid w:val="64D83934"/>
    <w:rsid w:val="64F500D9"/>
    <w:rsid w:val="650A312E"/>
    <w:rsid w:val="65110330"/>
    <w:rsid w:val="6528377D"/>
    <w:rsid w:val="653E0CB6"/>
    <w:rsid w:val="65436640"/>
    <w:rsid w:val="654725D5"/>
    <w:rsid w:val="65507916"/>
    <w:rsid w:val="6554084E"/>
    <w:rsid w:val="65587AD1"/>
    <w:rsid w:val="655961C9"/>
    <w:rsid w:val="65736F26"/>
    <w:rsid w:val="657B64AF"/>
    <w:rsid w:val="657D6829"/>
    <w:rsid w:val="659F015B"/>
    <w:rsid w:val="65B85280"/>
    <w:rsid w:val="65C842EA"/>
    <w:rsid w:val="661A3845"/>
    <w:rsid w:val="665F74AA"/>
    <w:rsid w:val="666A657B"/>
    <w:rsid w:val="667E1DBA"/>
    <w:rsid w:val="66A46785"/>
    <w:rsid w:val="66BA1D59"/>
    <w:rsid w:val="66C0263F"/>
    <w:rsid w:val="66DC0AFB"/>
    <w:rsid w:val="66F3215D"/>
    <w:rsid w:val="66F94AF6"/>
    <w:rsid w:val="670762DF"/>
    <w:rsid w:val="67112E9A"/>
    <w:rsid w:val="671D183F"/>
    <w:rsid w:val="67242BCD"/>
    <w:rsid w:val="672E07DD"/>
    <w:rsid w:val="6764746E"/>
    <w:rsid w:val="676C1E7F"/>
    <w:rsid w:val="677C79CD"/>
    <w:rsid w:val="678A47B9"/>
    <w:rsid w:val="67925D99"/>
    <w:rsid w:val="67AE2497"/>
    <w:rsid w:val="67B31491"/>
    <w:rsid w:val="67C24E31"/>
    <w:rsid w:val="67C36BF3"/>
    <w:rsid w:val="67CB5AE6"/>
    <w:rsid w:val="67D27623"/>
    <w:rsid w:val="67D707EF"/>
    <w:rsid w:val="67F3434E"/>
    <w:rsid w:val="67F60E97"/>
    <w:rsid w:val="68121F5E"/>
    <w:rsid w:val="681E355F"/>
    <w:rsid w:val="68330BEE"/>
    <w:rsid w:val="685E210F"/>
    <w:rsid w:val="6877209C"/>
    <w:rsid w:val="68833924"/>
    <w:rsid w:val="68DB72BC"/>
    <w:rsid w:val="68EC771B"/>
    <w:rsid w:val="68ED5241"/>
    <w:rsid w:val="68F104F0"/>
    <w:rsid w:val="691E33BE"/>
    <w:rsid w:val="69344C1E"/>
    <w:rsid w:val="69456E2B"/>
    <w:rsid w:val="69472D1F"/>
    <w:rsid w:val="695B03FD"/>
    <w:rsid w:val="69653029"/>
    <w:rsid w:val="697414BE"/>
    <w:rsid w:val="69972734"/>
    <w:rsid w:val="69C073B5"/>
    <w:rsid w:val="69C51D1A"/>
    <w:rsid w:val="69D42BEF"/>
    <w:rsid w:val="69FA5E67"/>
    <w:rsid w:val="69FC145E"/>
    <w:rsid w:val="6A2C1D99"/>
    <w:rsid w:val="6A2F4452"/>
    <w:rsid w:val="6A306543"/>
    <w:rsid w:val="6A320C8C"/>
    <w:rsid w:val="6A3A02BC"/>
    <w:rsid w:val="6A537A06"/>
    <w:rsid w:val="6A6A37A6"/>
    <w:rsid w:val="6A702EE3"/>
    <w:rsid w:val="6AA47B81"/>
    <w:rsid w:val="6AAB0F10"/>
    <w:rsid w:val="6AC344AB"/>
    <w:rsid w:val="6AFB47A2"/>
    <w:rsid w:val="6B015860"/>
    <w:rsid w:val="6B45059F"/>
    <w:rsid w:val="6B826114"/>
    <w:rsid w:val="6BB661EC"/>
    <w:rsid w:val="6BBE4C73"/>
    <w:rsid w:val="6BC8789F"/>
    <w:rsid w:val="6BD80216"/>
    <w:rsid w:val="6BDB3765"/>
    <w:rsid w:val="6C0915C5"/>
    <w:rsid w:val="6C1F4448"/>
    <w:rsid w:val="6C24541E"/>
    <w:rsid w:val="6C335661"/>
    <w:rsid w:val="6C3C7B95"/>
    <w:rsid w:val="6C661592"/>
    <w:rsid w:val="6CC45C6D"/>
    <w:rsid w:val="6CF90658"/>
    <w:rsid w:val="6D0E4F19"/>
    <w:rsid w:val="6D292B62"/>
    <w:rsid w:val="6D5D0BE7"/>
    <w:rsid w:val="6D714693"/>
    <w:rsid w:val="6D7D4DE5"/>
    <w:rsid w:val="6D7E46BA"/>
    <w:rsid w:val="6D8D0DA1"/>
    <w:rsid w:val="6D9B4673"/>
    <w:rsid w:val="6DB12B19"/>
    <w:rsid w:val="6DBD3434"/>
    <w:rsid w:val="6DDC29A8"/>
    <w:rsid w:val="6DEA7FA1"/>
    <w:rsid w:val="6DFF3A4C"/>
    <w:rsid w:val="6E195A07"/>
    <w:rsid w:val="6E557B10"/>
    <w:rsid w:val="6E7A239D"/>
    <w:rsid w:val="6EAD2540"/>
    <w:rsid w:val="6EB85345"/>
    <w:rsid w:val="6EE534EA"/>
    <w:rsid w:val="6EEC2F74"/>
    <w:rsid w:val="6F0E46B5"/>
    <w:rsid w:val="6F212EEC"/>
    <w:rsid w:val="6F2E0738"/>
    <w:rsid w:val="6F347726"/>
    <w:rsid w:val="6F490CF7"/>
    <w:rsid w:val="6F51652A"/>
    <w:rsid w:val="6F5E3262"/>
    <w:rsid w:val="6F5E47A3"/>
    <w:rsid w:val="6F8B5852"/>
    <w:rsid w:val="6F8B7DFD"/>
    <w:rsid w:val="6F921841"/>
    <w:rsid w:val="6F9838A8"/>
    <w:rsid w:val="6FCD1928"/>
    <w:rsid w:val="6FD43C34"/>
    <w:rsid w:val="7036571F"/>
    <w:rsid w:val="703F6861"/>
    <w:rsid w:val="705538C8"/>
    <w:rsid w:val="70585696"/>
    <w:rsid w:val="705D4A5A"/>
    <w:rsid w:val="7064403B"/>
    <w:rsid w:val="70671D7D"/>
    <w:rsid w:val="70E17C2D"/>
    <w:rsid w:val="70EF07F4"/>
    <w:rsid w:val="70FF4DC0"/>
    <w:rsid w:val="71094BE2"/>
    <w:rsid w:val="7148570A"/>
    <w:rsid w:val="717165A8"/>
    <w:rsid w:val="717C53B4"/>
    <w:rsid w:val="719E197B"/>
    <w:rsid w:val="71D00809"/>
    <w:rsid w:val="71DB20DB"/>
    <w:rsid w:val="71EA67C2"/>
    <w:rsid w:val="72007D93"/>
    <w:rsid w:val="72021D5D"/>
    <w:rsid w:val="721101F2"/>
    <w:rsid w:val="721F413D"/>
    <w:rsid w:val="72347DA6"/>
    <w:rsid w:val="723E08BB"/>
    <w:rsid w:val="726275A5"/>
    <w:rsid w:val="72633907"/>
    <w:rsid w:val="72751189"/>
    <w:rsid w:val="72A7187C"/>
    <w:rsid w:val="72BB556E"/>
    <w:rsid w:val="72C7459D"/>
    <w:rsid w:val="72F03639"/>
    <w:rsid w:val="72F1024B"/>
    <w:rsid w:val="73097453"/>
    <w:rsid w:val="73180248"/>
    <w:rsid w:val="73186D78"/>
    <w:rsid w:val="73267CCD"/>
    <w:rsid w:val="736D6C14"/>
    <w:rsid w:val="738B0F93"/>
    <w:rsid w:val="73AD3F4B"/>
    <w:rsid w:val="73AF2F63"/>
    <w:rsid w:val="73AF7CC3"/>
    <w:rsid w:val="73BD2C0B"/>
    <w:rsid w:val="74147B26"/>
    <w:rsid w:val="741713C4"/>
    <w:rsid w:val="741B25ED"/>
    <w:rsid w:val="7429446E"/>
    <w:rsid w:val="74581355"/>
    <w:rsid w:val="745D327B"/>
    <w:rsid w:val="746C5BB4"/>
    <w:rsid w:val="74822521"/>
    <w:rsid w:val="74980757"/>
    <w:rsid w:val="74A06EE0"/>
    <w:rsid w:val="74A34FF4"/>
    <w:rsid w:val="74D073B4"/>
    <w:rsid w:val="74DE52E0"/>
    <w:rsid w:val="74E90663"/>
    <w:rsid w:val="75120FEF"/>
    <w:rsid w:val="7516167C"/>
    <w:rsid w:val="75311221"/>
    <w:rsid w:val="75387844"/>
    <w:rsid w:val="7580099C"/>
    <w:rsid w:val="75D92442"/>
    <w:rsid w:val="75DF0802"/>
    <w:rsid w:val="75E17EDC"/>
    <w:rsid w:val="75F23E97"/>
    <w:rsid w:val="76074D8D"/>
    <w:rsid w:val="760F67F7"/>
    <w:rsid w:val="761373F9"/>
    <w:rsid w:val="76411A34"/>
    <w:rsid w:val="76426BCC"/>
    <w:rsid w:val="764741E2"/>
    <w:rsid w:val="764F3142"/>
    <w:rsid w:val="76522B87"/>
    <w:rsid w:val="76570025"/>
    <w:rsid w:val="768A0573"/>
    <w:rsid w:val="768C36B7"/>
    <w:rsid w:val="76B54F51"/>
    <w:rsid w:val="76F22EFD"/>
    <w:rsid w:val="7726029C"/>
    <w:rsid w:val="773504DF"/>
    <w:rsid w:val="77443E9C"/>
    <w:rsid w:val="775C1F10"/>
    <w:rsid w:val="777C610E"/>
    <w:rsid w:val="77876861"/>
    <w:rsid w:val="778B6351"/>
    <w:rsid w:val="77E912C9"/>
    <w:rsid w:val="780D320A"/>
    <w:rsid w:val="78103B8E"/>
    <w:rsid w:val="78144198"/>
    <w:rsid w:val="78656115"/>
    <w:rsid w:val="786D3CA8"/>
    <w:rsid w:val="78745E66"/>
    <w:rsid w:val="78874D6A"/>
    <w:rsid w:val="788B412F"/>
    <w:rsid w:val="78AD2B6B"/>
    <w:rsid w:val="78B13B95"/>
    <w:rsid w:val="78B672EF"/>
    <w:rsid w:val="78B90675"/>
    <w:rsid w:val="78BE62B2"/>
    <w:rsid w:val="78EF4F8A"/>
    <w:rsid w:val="79004B1D"/>
    <w:rsid w:val="790A5742"/>
    <w:rsid w:val="791C4A14"/>
    <w:rsid w:val="791E4FA3"/>
    <w:rsid w:val="793F164A"/>
    <w:rsid w:val="793F2627"/>
    <w:rsid w:val="79414FD9"/>
    <w:rsid w:val="79921C19"/>
    <w:rsid w:val="79A65FEE"/>
    <w:rsid w:val="79A8354E"/>
    <w:rsid w:val="79E87A8A"/>
    <w:rsid w:val="7A1D79A6"/>
    <w:rsid w:val="7A31097F"/>
    <w:rsid w:val="7A324462"/>
    <w:rsid w:val="7AB756AF"/>
    <w:rsid w:val="7AC8154C"/>
    <w:rsid w:val="7AD973D3"/>
    <w:rsid w:val="7AF338BB"/>
    <w:rsid w:val="7AF83FDE"/>
    <w:rsid w:val="7B002BB2"/>
    <w:rsid w:val="7B0971CC"/>
    <w:rsid w:val="7B6475E5"/>
    <w:rsid w:val="7B6875DF"/>
    <w:rsid w:val="7BA455AA"/>
    <w:rsid w:val="7BAE0860"/>
    <w:rsid w:val="7BB70B45"/>
    <w:rsid w:val="7BBD6CF5"/>
    <w:rsid w:val="7BEE6C31"/>
    <w:rsid w:val="7C1E3AF3"/>
    <w:rsid w:val="7C3A3311"/>
    <w:rsid w:val="7C3E7E36"/>
    <w:rsid w:val="7C531364"/>
    <w:rsid w:val="7C686C61"/>
    <w:rsid w:val="7CA7518C"/>
    <w:rsid w:val="7CC540B3"/>
    <w:rsid w:val="7CCC215B"/>
    <w:rsid w:val="7CD73DE6"/>
    <w:rsid w:val="7CDE025A"/>
    <w:rsid w:val="7D413480"/>
    <w:rsid w:val="7D52346D"/>
    <w:rsid w:val="7D924933"/>
    <w:rsid w:val="7D9F4904"/>
    <w:rsid w:val="7DC932AE"/>
    <w:rsid w:val="7E066731"/>
    <w:rsid w:val="7E074257"/>
    <w:rsid w:val="7E130E4E"/>
    <w:rsid w:val="7E1C41A7"/>
    <w:rsid w:val="7E61605D"/>
    <w:rsid w:val="7E7538B7"/>
    <w:rsid w:val="7E7E0931"/>
    <w:rsid w:val="7E8C5F3F"/>
    <w:rsid w:val="7E905976"/>
    <w:rsid w:val="7E953F59"/>
    <w:rsid w:val="7E987975"/>
    <w:rsid w:val="7E9C441C"/>
    <w:rsid w:val="7E9F0934"/>
    <w:rsid w:val="7EB27F29"/>
    <w:rsid w:val="7ED036EE"/>
    <w:rsid w:val="7EE71500"/>
    <w:rsid w:val="7EFE15DE"/>
    <w:rsid w:val="7F030EC3"/>
    <w:rsid w:val="7F3B065C"/>
    <w:rsid w:val="7F480FCB"/>
    <w:rsid w:val="7F5D4A77"/>
    <w:rsid w:val="7F7B4EFD"/>
    <w:rsid w:val="7F826ECE"/>
    <w:rsid w:val="7F8738A2"/>
    <w:rsid w:val="7FAC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autoRedefine/>
    <w:qFormat/>
    <w:uiPriority w:val="0"/>
    <w:pPr>
      <w:keepNext/>
      <w:keepLines/>
      <w:numPr>
        <w:ilvl w:val="0"/>
        <w:numId w:val="1"/>
      </w:numPr>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3" w:lineRule="auto"/>
      <w:outlineLvl w:val="1"/>
    </w:pPr>
    <w:rPr>
      <w:rFonts w:ascii="Arial" w:hAnsi="Arial" w:eastAsia="黑体"/>
      <w:b/>
      <w:bCs/>
      <w:kern w:val="0"/>
      <w:sz w:val="32"/>
      <w:szCs w:val="32"/>
    </w:rPr>
  </w:style>
  <w:style w:type="paragraph" w:styleId="6">
    <w:name w:val="heading 3"/>
    <w:basedOn w:val="1"/>
    <w:next w:val="1"/>
    <w:autoRedefine/>
    <w:qFormat/>
    <w:uiPriority w:val="0"/>
    <w:pPr>
      <w:keepNext/>
      <w:keepLines/>
      <w:numPr>
        <w:ilvl w:val="2"/>
        <w:numId w:val="1"/>
      </w:numPr>
      <w:spacing w:before="260" w:after="260" w:line="413" w:lineRule="auto"/>
      <w:outlineLvl w:val="2"/>
    </w:pPr>
    <w:rPr>
      <w:rFonts w:eastAsia="仿宋_GB2312"/>
      <w:b/>
      <w:bCs/>
      <w:kern w:val="0"/>
      <w:sz w:val="32"/>
      <w:szCs w:val="32"/>
    </w:rPr>
  </w:style>
  <w:style w:type="paragraph" w:styleId="7">
    <w:name w:val="heading 4"/>
    <w:basedOn w:val="1"/>
    <w:next w:val="1"/>
    <w:autoRedefine/>
    <w:qFormat/>
    <w:uiPriority w:val="0"/>
    <w:pPr>
      <w:keepNext/>
      <w:keepLines/>
      <w:numPr>
        <w:ilvl w:val="3"/>
        <w:numId w:val="2"/>
      </w:numPr>
      <w:spacing w:line="360" w:lineRule="auto"/>
      <w:outlineLvl w:val="3"/>
    </w:pPr>
    <w:rPr>
      <w:rFonts w:ascii="Arial" w:hAnsi="Arial"/>
      <w:b/>
      <w:bCs/>
      <w:szCs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styleId="3">
    <w:name w:val="Body Text 2"/>
    <w:basedOn w:val="1"/>
    <w:next w:val="2"/>
    <w:autoRedefine/>
    <w:qFormat/>
    <w:uiPriority w:val="0"/>
    <w:pPr>
      <w:spacing w:after="120" w:line="480" w:lineRule="auto"/>
    </w:pPr>
  </w:style>
  <w:style w:type="paragraph" w:styleId="8">
    <w:name w:val="Normal Indent"/>
    <w:basedOn w:val="1"/>
    <w:autoRedefine/>
    <w:qFormat/>
    <w:uiPriority w:val="0"/>
    <w:pPr>
      <w:ind w:firstLine="420" w:firstLineChars="200"/>
    </w:pPr>
  </w:style>
  <w:style w:type="paragraph" w:styleId="9">
    <w:name w:val="Body Text Indent"/>
    <w:basedOn w:val="1"/>
    <w:autoRedefine/>
    <w:qFormat/>
    <w:uiPriority w:val="0"/>
    <w:pPr>
      <w:spacing w:after="120"/>
      <w:ind w:left="420" w:leftChars="200"/>
    </w:pPr>
  </w:style>
  <w:style w:type="paragraph" w:styleId="10">
    <w:name w:val="toc 3"/>
    <w:basedOn w:val="1"/>
    <w:next w:val="1"/>
    <w:autoRedefine/>
    <w:qFormat/>
    <w:uiPriority w:val="0"/>
    <w:pPr>
      <w:ind w:left="840" w:leftChars="400"/>
    </w:pPr>
  </w:style>
  <w:style w:type="paragraph" w:styleId="11">
    <w:name w:val="Plain Text"/>
    <w:basedOn w:val="1"/>
    <w:autoRedefine/>
    <w:qFormat/>
    <w:uiPriority w:val="0"/>
    <w:rPr>
      <w:rFonts w:ascii="宋体" w:hAnsi="Courier New"/>
      <w:szCs w:val="20"/>
    </w:rPr>
  </w:style>
  <w:style w:type="paragraph" w:styleId="12">
    <w:name w:val="Balloon Text"/>
    <w:basedOn w:val="1"/>
    <w:link w:val="56"/>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qFormat/>
    <w:uiPriority w:val="0"/>
    <w:pPr>
      <w:pBdr>
        <w:bottom w:val="single" w:color="auto" w:sz="6" w:space="1"/>
      </w:pBdr>
      <w:tabs>
        <w:tab w:val="center" w:pos="4153"/>
        <w:tab w:val="right" w:pos="8306"/>
      </w:tabs>
      <w:snapToGrid w:val="0"/>
    </w:pPr>
    <w:rPr>
      <w:sz w:val="18"/>
      <w:szCs w:val="18"/>
    </w:rPr>
  </w:style>
  <w:style w:type="paragraph" w:styleId="15">
    <w:name w:val="toc 1"/>
    <w:basedOn w:val="1"/>
    <w:next w:val="1"/>
    <w:autoRedefine/>
    <w:qFormat/>
    <w:uiPriority w:val="0"/>
    <w:pPr>
      <w:widowControl/>
      <w:spacing w:after="100" w:line="276" w:lineRule="auto"/>
      <w:jc w:val="left"/>
    </w:pPr>
    <w:rPr>
      <w:kern w:val="0"/>
      <w:sz w:val="22"/>
      <w:szCs w:val="22"/>
    </w:rPr>
  </w:style>
  <w:style w:type="paragraph" w:styleId="16">
    <w:name w:val="List 5"/>
    <w:basedOn w:val="1"/>
    <w:autoRedefine/>
    <w:unhideWhenUsed/>
    <w:qFormat/>
    <w:uiPriority w:val="99"/>
    <w:pPr>
      <w:ind w:left="2100" w:hanging="420"/>
      <w:jc w:val="left"/>
    </w:pPr>
    <w:rPr>
      <w:rFonts w:eastAsia="楷体_GB2312"/>
      <w:sz w:val="32"/>
      <w:szCs w:val="20"/>
    </w:rPr>
  </w:style>
  <w:style w:type="paragraph" w:styleId="17">
    <w:name w:val="toc 2"/>
    <w:basedOn w:val="1"/>
    <w:next w:val="1"/>
    <w:autoRedefine/>
    <w:qFormat/>
    <w:uiPriority w:val="0"/>
    <w:pPr>
      <w:widowControl/>
      <w:spacing w:after="100" w:line="276" w:lineRule="auto"/>
      <w:ind w:left="220"/>
      <w:jc w:val="left"/>
    </w:pPr>
    <w:rPr>
      <w:kern w:val="0"/>
      <w:sz w:val="22"/>
      <w:szCs w:val="22"/>
    </w:rPr>
  </w:style>
  <w:style w:type="paragraph" w:styleId="18">
    <w:name w:val="Normal (Web)"/>
    <w:basedOn w:val="1"/>
    <w:autoRedefine/>
    <w:qFormat/>
    <w:uiPriority w:val="0"/>
    <w:pPr>
      <w:jc w:val="left"/>
    </w:pPr>
    <w:rPr>
      <w:rFonts w:cs="Times New Roman"/>
      <w:kern w:val="0"/>
      <w:sz w:val="24"/>
    </w:rPr>
  </w:style>
  <w:style w:type="paragraph" w:styleId="19">
    <w:name w:val="Body Text First Indent"/>
    <w:basedOn w:val="2"/>
    <w:next w:val="1"/>
    <w:autoRedefine/>
    <w:qFormat/>
    <w:uiPriority w:val="0"/>
    <w:pPr>
      <w:spacing w:line="360" w:lineRule="auto"/>
      <w:ind w:firstLine="420" w:firstLineChars="100"/>
    </w:pPr>
    <w:rPr>
      <w:szCs w:val="21"/>
    </w:rPr>
  </w:style>
  <w:style w:type="paragraph" w:styleId="20">
    <w:name w:val="Body Text First Indent 2"/>
    <w:basedOn w:val="9"/>
    <w:autoRedefine/>
    <w:qFormat/>
    <w:uiPriority w:val="0"/>
    <w:pPr>
      <w:ind w:firstLine="420" w:firstLineChars="200"/>
    </w:pPr>
    <w:rPr>
      <w:kern w:val="0"/>
      <w:sz w:val="20"/>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style>
  <w:style w:type="character" w:styleId="25">
    <w:name w:val="page number"/>
    <w:autoRedefine/>
    <w:qFormat/>
    <w:uiPriority w:val="0"/>
  </w:style>
  <w:style w:type="character" w:styleId="26">
    <w:name w:val="FollowedHyperlink"/>
    <w:basedOn w:val="23"/>
    <w:autoRedefine/>
    <w:qFormat/>
    <w:uiPriority w:val="0"/>
    <w:rPr>
      <w:color w:val="333333"/>
      <w:u w:val="none"/>
    </w:rPr>
  </w:style>
  <w:style w:type="character" w:styleId="27">
    <w:name w:val="Emphasis"/>
    <w:basedOn w:val="23"/>
    <w:autoRedefine/>
    <w:qFormat/>
    <w:uiPriority w:val="0"/>
  </w:style>
  <w:style w:type="character" w:styleId="28">
    <w:name w:val="HTML Definition"/>
    <w:basedOn w:val="23"/>
    <w:autoRedefine/>
    <w:qFormat/>
    <w:uiPriority w:val="0"/>
  </w:style>
  <w:style w:type="character" w:styleId="29">
    <w:name w:val="HTML Typewriter"/>
    <w:basedOn w:val="23"/>
    <w:autoRedefine/>
    <w:qFormat/>
    <w:uiPriority w:val="0"/>
    <w:rPr>
      <w:rFonts w:ascii="monospace" w:hAnsi="monospace" w:eastAsia="monospace" w:cs="monospace"/>
      <w:sz w:val="20"/>
    </w:rPr>
  </w:style>
  <w:style w:type="character" w:styleId="30">
    <w:name w:val="HTML Acronym"/>
    <w:basedOn w:val="23"/>
    <w:autoRedefine/>
    <w:qFormat/>
    <w:uiPriority w:val="0"/>
  </w:style>
  <w:style w:type="character" w:styleId="31">
    <w:name w:val="HTML Variable"/>
    <w:basedOn w:val="23"/>
    <w:autoRedefine/>
    <w:qFormat/>
    <w:uiPriority w:val="0"/>
  </w:style>
  <w:style w:type="character" w:styleId="32">
    <w:name w:val="Hyperlink"/>
    <w:basedOn w:val="23"/>
    <w:autoRedefine/>
    <w:qFormat/>
    <w:uiPriority w:val="0"/>
    <w:rPr>
      <w:color w:val="333333"/>
      <w:u w:val="none"/>
    </w:rPr>
  </w:style>
  <w:style w:type="character" w:styleId="33">
    <w:name w:val="HTML Code"/>
    <w:basedOn w:val="23"/>
    <w:autoRedefine/>
    <w:qFormat/>
    <w:uiPriority w:val="0"/>
    <w:rPr>
      <w:rFonts w:hint="default" w:ascii="monospace" w:hAnsi="monospace" w:eastAsia="monospace" w:cs="monospace"/>
      <w:sz w:val="20"/>
    </w:rPr>
  </w:style>
  <w:style w:type="character" w:styleId="34">
    <w:name w:val="HTML Cite"/>
    <w:basedOn w:val="23"/>
    <w:autoRedefine/>
    <w:qFormat/>
    <w:uiPriority w:val="0"/>
  </w:style>
  <w:style w:type="character" w:styleId="35">
    <w:name w:val="HTML Keyboard"/>
    <w:basedOn w:val="23"/>
    <w:autoRedefine/>
    <w:qFormat/>
    <w:uiPriority w:val="0"/>
    <w:rPr>
      <w:rFonts w:hint="default" w:ascii="monospace" w:hAnsi="monospace" w:eastAsia="monospace" w:cs="monospace"/>
      <w:sz w:val="20"/>
    </w:rPr>
  </w:style>
  <w:style w:type="character" w:styleId="36">
    <w:name w:val="HTML Sample"/>
    <w:basedOn w:val="23"/>
    <w:autoRedefine/>
    <w:qFormat/>
    <w:uiPriority w:val="0"/>
    <w:rPr>
      <w:rFonts w:hint="default" w:ascii="monospace" w:hAnsi="monospace" w:eastAsia="monospace" w:cs="monospace"/>
    </w:rPr>
  </w:style>
  <w:style w:type="paragraph" w:customStyle="1" w:styleId="37">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标题 1 New New New"/>
    <w:basedOn w:val="39"/>
    <w:next w:val="39"/>
    <w:autoRedefine/>
    <w:qFormat/>
    <w:uiPriority w:val="0"/>
    <w:pPr>
      <w:keepNext/>
      <w:keepLines/>
      <w:numPr>
        <w:ilvl w:val="0"/>
        <w:numId w:val="3"/>
      </w:numPr>
      <w:spacing w:before="340" w:after="330" w:line="576" w:lineRule="auto"/>
      <w:outlineLvl w:val="0"/>
    </w:pPr>
    <w:rPr>
      <w:rFonts w:ascii="Times New Roman" w:hAnsi="Times New Roman" w:cs="Times New Roman"/>
      <w:b/>
      <w:bCs/>
      <w:kern w:val="44"/>
      <w:sz w:val="44"/>
      <w:szCs w:val="44"/>
    </w:rPr>
  </w:style>
  <w:style w:type="paragraph" w:customStyle="1" w:styleId="39">
    <w:name w:val="正文 New New"/>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40">
    <w:name w:val="普通(网站)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1">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kern w:val="2"/>
      <w:sz w:val="28"/>
      <w:szCs w:val="20"/>
    </w:rPr>
  </w:style>
  <w:style w:type="paragraph" w:customStyle="1" w:styleId="42">
    <w:name w:val="正文文本 31"/>
    <w:basedOn w:val="1"/>
    <w:autoRedefine/>
    <w:qFormat/>
    <w:uiPriority w:val="0"/>
    <w:rPr>
      <w:sz w:val="24"/>
      <w:szCs w:val="20"/>
    </w:rPr>
  </w:style>
  <w:style w:type="paragraph" w:customStyle="1" w:styleId="43">
    <w:name w:val="样式 标题 3 + (中文) 黑体 小四 非加粗 段前: 7.8 磅 段后: 0 磅 行距: 固定值 20 磅"/>
    <w:basedOn w:val="6"/>
    <w:autoRedefine/>
    <w:qFormat/>
    <w:uiPriority w:val="0"/>
    <w:pPr>
      <w:numPr>
        <w:numId w:val="0"/>
      </w:numPr>
      <w:spacing w:before="0" w:after="0" w:line="400" w:lineRule="exact"/>
    </w:pPr>
    <w:rPr>
      <w:rFonts w:eastAsia="黑体" w:cs="宋体"/>
      <w:b w:val="0"/>
      <w:bCs w:val="0"/>
      <w:kern w:val="2"/>
      <w:sz w:val="24"/>
      <w:szCs w:val="20"/>
    </w:rPr>
  </w:style>
  <w:style w:type="character" w:customStyle="1" w:styleId="44">
    <w:name w:val="页码1"/>
    <w:basedOn w:val="23"/>
    <w:autoRedefine/>
    <w:qFormat/>
    <w:uiPriority w:val="0"/>
  </w:style>
  <w:style w:type="paragraph" w:customStyle="1" w:styleId="45">
    <w:name w:val="Pa3"/>
    <w:basedOn w:val="37"/>
    <w:next w:val="37"/>
    <w:autoRedefine/>
    <w:unhideWhenUsed/>
    <w:qFormat/>
    <w:uiPriority w:val="99"/>
    <w:pPr>
      <w:spacing w:line="241" w:lineRule="atLeast"/>
    </w:pPr>
  </w:style>
  <w:style w:type="paragraph" w:customStyle="1" w:styleId="46">
    <w:name w:val="Pa5"/>
    <w:basedOn w:val="37"/>
    <w:next w:val="37"/>
    <w:autoRedefine/>
    <w:unhideWhenUsed/>
    <w:qFormat/>
    <w:uiPriority w:val="99"/>
    <w:pPr>
      <w:spacing w:line="241" w:lineRule="atLeast"/>
    </w:pPr>
  </w:style>
  <w:style w:type="paragraph" w:customStyle="1" w:styleId="47">
    <w:name w:val="Table Paragraph"/>
    <w:basedOn w:val="1"/>
    <w:autoRedefine/>
    <w:qFormat/>
    <w:uiPriority w:val="1"/>
    <w:rPr>
      <w:rFonts w:ascii="宋体" w:hAnsi="宋体" w:cs="宋体"/>
      <w:lang w:val="zh-CN" w:bidi="zh-CN"/>
    </w:rPr>
  </w:style>
  <w:style w:type="paragraph" w:styleId="48">
    <w:name w:val="List Paragraph"/>
    <w:basedOn w:val="1"/>
    <w:autoRedefine/>
    <w:qFormat/>
    <w:uiPriority w:val="1"/>
    <w:pPr>
      <w:ind w:left="383" w:hanging="602"/>
    </w:pPr>
    <w:rPr>
      <w:rFonts w:ascii="宋体" w:hAnsi="宋体" w:cs="宋体"/>
      <w:lang w:val="zh-CN" w:bidi="zh-CN"/>
    </w:rPr>
  </w:style>
  <w:style w:type="paragraph" w:customStyle="1" w:styleId="49">
    <w:name w:val="_Style 29"/>
    <w:basedOn w:val="1"/>
    <w:next w:val="1"/>
    <w:autoRedefine/>
    <w:qFormat/>
    <w:uiPriority w:val="0"/>
    <w:pPr>
      <w:pBdr>
        <w:bottom w:val="single" w:color="auto" w:sz="6" w:space="1"/>
      </w:pBdr>
      <w:jc w:val="center"/>
    </w:pPr>
    <w:rPr>
      <w:rFonts w:ascii="Arial"/>
      <w:vanish/>
      <w:sz w:val="16"/>
    </w:rPr>
  </w:style>
  <w:style w:type="paragraph" w:customStyle="1" w:styleId="50">
    <w:name w:val="_Style 30"/>
    <w:basedOn w:val="1"/>
    <w:next w:val="1"/>
    <w:autoRedefine/>
    <w:qFormat/>
    <w:uiPriority w:val="0"/>
    <w:pPr>
      <w:pBdr>
        <w:top w:val="single" w:color="auto" w:sz="6" w:space="1"/>
      </w:pBdr>
      <w:jc w:val="center"/>
    </w:pPr>
    <w:rPr>
      <w:rFonts w:ascii="Arial"/>
      <w:vanish/>
      <w:sz w:val="16"/>
    </w:rPr>
  </w:style>
  <w:style w:type="paragraph" w:styleId="51">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
    <w:name w:val="_Style 34"/>
    <w:basedOn w:val="1"/>
    <w:next w:val="1"/>
    <w:autoRedefine/>
    <w:qFormat/>
    <w:uiPriority w:val="0"/>
    <w:pPr>
      <w:pBdr>
        <w:bottom w:val="single" w:color="auto" w:sz="6" w:space="1"/>
      </w:pBdr>
      <w:jc w:val="center"/>
    </w:pPr>
    <w:rPr>
      <w:rFonts w:ascii="Arial"/>
      <w:vanish/>
      <w:sz w:val="16"/>
    </w:rPr>
  </w:style>
  <w:style w:type="paragraph" w:customStyle="1" w:styleId="53">
    <w:name w:val="_Style 35"/>
    <w:basedOn w:val="1"/>
    <w:next w:val="1"/>
    <w:autoRedefine/>
    <w:qFormat/>
    <w:uiPriority w:val="0"/>
    <w:pPr>
      <w:pBdr>
        <w:top w:val="single" w:color="auto" w:sz="6" w:space="1"/>
      </w:pBdr>
      <w:jc w:val="center"/>
    </w:pPr>
    <w:rPr>
      <w:rFonts w:ascii="Arial"/>
      <w:vanish/>
      <w:sz w:val="16"/>
    </w:rPr>
  </w:style>
  <w:style w:type="character" w:customStyle="1" w:styleId="54">
    <w:name w:val="toolbarlabel"/>
    <w:basedOn w:val="23"/>
    <w:autoRedefine/>
    <w:qFormat/>
    <w:uiPriority w:val="0"/>
    <w:rPr>
      <w:color w:val="333333"/>
      <w:sz w:val="14"/>
      <w:szCs w:val="14"/>
    </w:rPr>
  </w:style>
  <w:style w:type="table" w:customStyle="1" w:styleId="55">
    <w:name w:val="Table Normal"/>
    <w:autoRedefine/>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character" w:customStyle="1" w:styleId="56">
    <w:name w:val="批注框文本 Char"/>
    <w:basedOn w:val="23"/>
    <w:link w:val="12"/>
    <w:autoRedefine/>
    <w:qFormat/>
    <w:uiPriority w:val="0"/>
    <w:rPr>
      <w:rFonts w:ascii="Calibri" w:hAnsi="Calibri" w:cs="黑体"/>
      <w:kern w:val="2"/>
      <w:sz w:val="18"/>
      <w:szCs w:val="18"/>
    </w:rPr>
  </w:style>
  <w:style w:type="paragraph" w:customStyle="1" w:styleId="57">
    <w:name w:val="Normal"/>
    <w:autoRedefine/>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65A63-3F70-47F7-82B2-5E1F6D0FD4B5}">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46</Pages>
  <Words>18729</Words>
  <Characters>19989</Characters>
  <Lines>42</Lines>
  <Paragraphs>52</Paragraphs>
  <TotalTime>0</TotalTime>
  <ScaleCrop>false</ScaleCrop>
  <LinksUpToDate>false</LinksUpToDate>
  <CharactersWithSpaces>21502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2023-12-28T07:44:00Z</dcterms:created>
  <dc:creator>Administrator</dc:creator>
  <cp:lastModifiedBy>Administrator</cp:lastModifiedBy>
  <cp:lastPrinted>2024-04-17T15:11:00Z</cp:lastPrinted>
  <dcterms:modified xsi:type="dcterms:W3CDTF">2024-04-19T03:20:36Z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CEF950454F264AFB976F09F85D481DDC</vt:lpwstr>
  </property>
</Properties>
</file>