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190"/>
        </w:tabs>
        <w:spacing w:line="600" w:lineRule="exact"/>
        <w:jc w:val="left"/>
        <w:rPr>
          <w:rFonts w:ascii="宋体" w:hAnsi="宋体"/>
          <w:b/>
          <w:bCs/>
          <w:sz w:val="36"/>
          <w:szCs w:val="36"/>
        </w:rPr>
      </w:pPr>
      <w:bookmarkStart w:id="0" w:name="EptNR_招标文件填写时间"/>
    </w:p>
    <w:p>
      <w:pPr>
        <w:spacing w:line="360" w:lineRule="auto"/>
        <w:jc w:val="center"/>
        <w:rPr>
          <w:rFonts w:hint="eastAsia" w:ascii="宋体" w:hAnsi="宋体"/>
          <w:b/>
          <w:bCs/>
          <w:sz w:val="36"/>
          <w:szCs w:val="36"/>
        </w:rPr>
      </w:pPr>
      <w:bookmarkStart w:id="1" w:name="EptNR_工程名称1"/>
      <w:bookmarkEnd w:id="1"/>
      <w:r>
        <w:rPr>
          <w:rFonts w:hint="eastAsia" w:ascii="宋体" w:hAnsi="宋体"/>
          <w:b/>
          <w:bCs/>
          <w:sz w:val="36"/>
          <w:szCs w:val="36"/>
          <w:lang w:eastAsia="zh-CN"/>
        </w:rPr>
        <w:t>唐河县2023年增发国债高标准农田项目配套低压输电线路工程</w:t>
      </w:r>
    </w:p>
    <w:p>
      <w:pPr>
        <w:spacing w:line="360" w:lineRule="auto"/>
        <w:jc w:val="center"/>
        <w:rPr>
          <w:rFonts w:ascii="宋体" w:hAnsi="宋体"/>
          <w:b/>
          <w:bCs/>
          <w:sz w:val="36"/>
          <w:szCs w:val="36"/>
          <w:u w:val="single"/>
        </w:rPr>
      </w:pPr>
      <w:r>
        <w:rPr>
          <w:rFonts w:ascii="宋体" w:hAnsi="宋体"/>
          <w:b/>
          <w:bCs/>
          <w:sz w:val="36"/>
          <w:szCs w:val="36"/>
        </w:rPr>
        <w:t>项目编号：</w:t>
      </w:r>
      <w:r>
        <w:rPr>
          <w:rFonts w:hint="eastAsia" w:ascii="宋体" w:hAnsi="宋体"/>
          <w:b/>
          <w:bCs/>
          <w:sz w:val="36"/>
          <w:szCs w:val="36"/>
        </w:rPr>
        <w:t>thggzygcjy-2024-038</w:t>
      </w:r>
    </w:p>
    <w:p>
      <w:pPr>
        <w:spacing w:line="360" w:lineRule="auto"/>
        <w:rPr>
          <w:rFonts w:ascii="宋体" w:hAnsi="宋体"/>
          <w:b/>
          <w:bCs/>
          <w:sz w:val="36"/>
          <w:szCs w:val="36"/>
        </w:rPr>
      </w:pPr>
    </w:p>
    <w:p>
      <w:pPr>
        <w:spacing w:line="360" w:lineRule="auto"/>
        <w:rPr>
          <w:rFonts w:ascii="宋体" w:hAnsi="宋体"/>
          <w:b/>
          <w:bCs/>
          <w:sz w:val="36"/>
          <w:szCs w:val="36"/>
        </w:rPr>
      </w:pPr>
    </w:p>
    <w:p>
      <w:pPr>
        <w:jc w:val="center"/>
        <w:rPr>
          <w:rFonts w:ascii="宋体" w:hAnsi="宋体"/>
          <w:b/>
          <w:color w:val="000000"/>
          <w:sz w:val="84"/>
        </w:rPr>
      </w:pPr>
      <w:r>
        <w:rPr>
          <w:rFonts w:hint="eastAsia" w:ascii="宋体" w:hAnsi="宋体"/>
          <w:b/>
          <w:color w:val="000000"/>
          <w:sz w:val="84"/>
        </w:rPr>
        <w:t>招标文件</w:t>
      </w:r>
    </w:p>
    <w:p>
      <w:pPr>
        <w:spacing w:line="360" w:lineRule="auto"/>
        <w:ind w:firstLine="1391" w:firstLineChars="495"/>
        <w:rPr>
          <w:rFonts w:ascii="宋体" w:hAnsi="宋体"/>
          <w:b/>
          <w:bCs/>
          <w:sz w:val="28"/>
          <w:szCs w:val="28"/>
        </w:rPr>
      </w:pPr>
    </w:p>
    <w:p>
      <w:pPr>
        <w:spacing w:line="360" w:lineRule="auto"/>
        <w:ind w:firstLine="1391" w:firstLineChars="495"/>
        <w:rPr>
          <w:rFonts w:ascii="宋体" w:hAnsi="宋体"/>
          <w:b/>
          <w:bCs/>
          <w:sz w:val="28"/>
          <w:szCs w:val="28"/>
        </w:rPr>
      </w:pPr>
    </w:p>
    <w:p>
      <w:pPr>
        <w:spacing w:line="360" w:lineRule="auto"/>
        <w:ind w:firstLine="1391" w:firstLineChars="495"/>
        <w:rPr>
          <w:rFonts w:ascii="宋体" w:hAnsi="宋体"/>
          <w:b/>
          <w:bCs/>
          <w:sz w:val="28"/>
          <w:szCs w:val="28"/>
        </w:rPr>
      </w:pPr>
    </w:p>
    <w:p>
      <w:pPr>
        <w:pStyle w:val="27"/>
        <w:rPr>
          <w:rFonts w:ascii="宋体" w:hAnsi="宋体"/>
          <w:b/>
          <w:bCs/>
          <w:sz w:val="28"/>
          <w:szCs w:val="28"/>
        </w:rPr>
      </w:pPr>
    </w:p>
    <w:p>
      <w:pPr>
        <w:pStyle w:val="24"/>
        <w:rPr>
          <w:rFonts w:ascii="宋体" w:hAnsi="宋体"/>
          <w:b/>
          <w:bCs/>
          <w:sz w:val="28"/>
          <w:szCs w:val="28"/>
        </w:rPr>
      </w:pPr>
    </w:p>
    <w:p>
      <w:pPr>
        <w:pStyle w:val="22"/>
        <w:rPr>
          <w:rFonts w:ascii="宋体" w:hAnsi="宋体"/>
          <w:b/>
          <w:bCs/>
          <w:sz w:val="28"/>
          <w:szCs w:val="28"/>
        </w:rPr>
      </w:pPr>
    </w:p>
    <w:p>
      <w:pPr>
        <w:rPr>
          <w:rFonts w:ascii="宋体" w:hAnsi="宋体"/>
          <w:b/>
          <w:bCs/>
          <w:sz w:val="28"/>
          <w:szCs w:val="28"/>
        </w:rPr>
      </w:pPr>
    </w:p>
    <w:p>
      <w:pPr>
        <w:pStyle w:val="27"/>
      </w:pPr>
    </w:p>
    <w:p>
      <w:pPr>
        <w:spacing w:line="360" w:lineRule="auto"/>
        <w:ind w:firstLine="1391" w:firstLineChars="495"/>
        <w:rPr>
          <w:rFonts w:ascii="宋体" w:hAnsi="宋体"/>
          <w:b/>
          <w:bCs/>
          <w:sz w:val="28"/>
          <w:szCs w:val="28"/>
        </w:rPr>
      </w:pPr>
    </w:p>
    <w:p>
      <w:pPr>
        <w:spacing w:line="360" w:lineRule="auto"/>
        <w:ind w:firstLine="1391" w:firstLineChars="495"/>
        <w:rPr>
          <w:rFonts w:ascii="宋体" w:hAnsi="宋体"/>
          <w:b/>
          <w:bCs/>
          <w:sz w:val="28"/>
          <w:szCs w:val="28"/>
        </w:rPr>
      </w:pPr>
    </w:p>
    <w:p>
      <w:pPr>
        <w:spacing w:line="360" w:lineRule="auto"/>
        <w:ind w:firstLine="1391" w:firstLineChars="495"/>
        <w:rPr>
          <w:rFonts w:ascii="宋体" w:hAnsi="宋体"/>
          <w:b/>
          <w:bCs/>
          <w:sz w:val="28"/>
          <w:szCs w:val="28"/>
        </w:rPr>
      </w:pPr>
    </w:p>
    <w:bookmarkEnd w:id="0"/>
    <w:p>
      <w:pPr>
        <w:spacing w:line="360" w:lineRule="auto"/>
        <w:ind w:firstLine="843" w:firstLineChars="300"/>
        <w:rPr>
          <w:rFonts w:hint="eastAsia" w:ascii="宋体" w:hAnsi="宋体" w:eastAsia="宋体"/>
          <w:b/>
          <w:bCs/>
          <w:color w:val="000000"/>
          <w:sz w:val="28"/>
          <w:szCs w:val="28"/>
          <w:highlight w:val="white"/>
        </w:rPr>
      </w:pPr>
      <w:bookmarkStart w:id="2" w:name="EptNR_招标文件填写时间年"/>
      <w:bookmarkEnd w:id="2"/>
      <w:r>
        <w:rPr>
          <w:rFonts w:hint="eastAsia" w:ascii="宋体" w:hAnsi="宋体" w:eastAsia="宋体"/>
          <w:b/>
          <w:bCs/>
          <w:color w:val="000000"/>
          <w:sz w:val="28"/>
          <w:szCs w:val="28"/>
          <w:highlight w:val="white"/>
        </w:rPr>
        <w:t>招 标 人：唐河县农业农村发展服务中心</w:t>
      </w:r>
    </w:p>
    <w:p>
      <w:pPr>
        <w:spacing w:line="360" w:lineRule="auto"/>
        <w:ind w:firstLine="281" w:firstLineChars="100"/>
        <w:jc w:val="both"/>
        <w:rPr>
          <w:rFonts w:hint="eastAsia" w:ascii="宋体" w:hAnsi="宋体" w:eastAsia="宋体"/>
          <w:b/>
          <w:bCs/>
          <w:color w:val="000000"/>
          <w:sz w:val="28"/>
          <w:szCs w:val="28"/>
        </w:rPr>
      </w:pPr>
      <w:r>
        <w:rPr>
          <w:rFonts w:hint="eastAsia" w:ascii="宋体" w:hAnsi="宋体" w:eastAsia="宋体"/>
          <w:b/>
          <w:bCs/>
          <w:color w:val="000000"/>
          <w:sz w:val="28"/>
          <w:szCs w:val="28"/>
          <w:highlight w:val="white"/>
        </w:rPr>
        <w:t>招标代理机构：河南宇盛工程咨询有限公司</w:t>
      </w:r>
    </w:p>
    <w:p>
      <w:pPr>
        <w:spacing w:line="360" w:lineRule="auto"/>
        <w:ind w:left="2"/>
        <w:jc w:val="center"/>
        <w:rPr>
          <w:rFonts w:hint="default" w:ascii="宋体" w:hAnsi="宋体" w:eastAsia="宋体"/>
          <w:b/>
          <w:bCs/>
          <w:color w:val="000000"/>
          <w:sz w:val="28"/>
          <w:szCs w:val="24"/>
          <w:lang w:val="en-US" w:eastAsia="zh-CN"/>
        </w:rPr>
      </w:pPr>
      <w:r>
        <w:rPr>
          <w:rFonts w:hint="eastAsia" w:ascii="宋体" w:hAnsi="宋体" w:eastAsia="宋体"/>
          <w:b/>
          <w:bCs/>
          <w:color w:val="000000"/>
          <w:sz w:val="28"/>
          <w:szCs w:val="24"/>
          <w:lang w:val="en-US" w:eastAsia="zh-CN"/>
        </w:rPr>
        <w:t>2024年4月</w:t>
      </w:r>
    </w:p>
    <w:p>
      <w:pPr>
        <w:widowControl/>
        <w:jc w:val="left"/>
      </w:pPr>
    </w:p>
    <w:p>
      <w:pPr>
        <w:spacing w:line="360" w:lineRule="auto"/>
        <w:jc w:val="center"/>
        <w:rPr>
          <w:rFonts w:ascii="黑体" w:hAnsi="宋体" w:eastAsia="黑体"/>
          <w:b/>
          <w:sz w:val="32"/>
          <w:szCs w:val="32"/>
        </w:rPr>
      </w:pPr>
      <w:bookmarkStart w:id="3" w:name="_Toc367615940"/>
      <w:r>
        <w:rPr>
          <w:rFonts w:hint="eastAsia" w:ascii="黑体" w:hAnsi="宋体" w:eastAsia="黑体"/>
          <w:b/>
          <w:sz w:val="32"/>
          <w:szCs w:val="32"/>
        </w:rPr>
        <w:t>目  录</w:t>
      </w:r>
    </w:p>
    <w:p>
      <w:pPr>
        <w:pStyle w:val="31"/>
        <w:tabs>
          <w:tab w:val="right" w:leader="dot" w:pos="8504"/>
        </w:tabs>
      </w:pPr>
      <w:r>
        <w:rPr>
          <w:rFonts w:ascii="宋体" w:hAnsi="宋体"/>
        </w:rPr>
        <w:fldChar w:fldCharType="begin"/>
      </w:r>
      <w:r>
        <w:rPr>
          <w:rFonts w:ascii="宋体" w:hAnsi="宋体"/>
        </w:rPr>
        <w:instrText xml:space="preserve"> TOC \o "1-3" \h \z \u </w:instrText>
      </w:r>
      <w:r>
        <w:rPr>
          <w:rFonts w:ascii="宋体" w:hAnsi="宋体"/>
        </w:rPr>
        <w:fldChar w:fldCharType="separate"/>
      </w:r>
      <w:r>
        <w:rPr>
          <w:rFonts w:ascii="宋体" w:hAnsi="宋体"/>
        </w:rPr>
        <w:fldChar w:fldCharType="begin"/>
      </w:r>
      <w:r>
        <w:rPr>
          <w:rFonts w:ascii="宋体" w:hAnsi="宋体"/>
        </w:rPr>
        <w:instrText xml:space="preserve"> HYPERLINK \l _Toc24971 </w:instrText>
      </w:r>
      <w:r>
        <w:rPr>
          <w:rFonts w:ascii="宋体" w:hAnsi="宋体"/>
        </w:rPr>
        <w:fldChar w:fldCharType="separate"/>
      </w:r>
      <w:r>
        <w:rPr>
          <w:rFonts w:hint="eastAsia"/>
        </w:rPr>
        <w:t>第一章 招标公告</w:t>
      </w:r>
      <w:r>
        <w:tab/>
      </w:r>
      <w:r>
        <w:fldChar w:fldCharType="begin"/>
      </w:r>
      <w:r>
        <w:instrText xml:space="preserve"> PAGEREF _Toc24971 \h </w:instrText>
      </w:r>
      <w:r>
        <w:fldChar w:fldCharType="separate"/>
      </w:r>
      <w:r>
        <w:t>3</w:t>
      </w:r>
      <w:r>
        <w:fldChar w:fldCharType="end"/>
      </w:r>
      <w:r>
        <w:rPr>
          <w:rFonts w:ascii="宋体" w:hAnsi="宋体"/>
        </w:rPr>
        <w:fldChar w:fldCharType="end"/>
      </w:r>
    </w:p>
    <w:p>
      <w:pPr>
        <w:pStyle w:val="31"/>
        <w:tabs>
          <w:tab w:val="right" w:leader="dot" w:pos="8504"/>
        </w:tabs>
      </w:pPr>
      <w:r>
        <w:fldChar w:fldCharType="begin"/>
      </w:r>
      <w:r>
        <w:instrText xml:space="preserve"> HYPERLINK \l _Toc24206 </w:instrText>
      </w:r>
      <w:r>
        <w:fldChar w:fldCharType="separate"/>
      </w:r>
      <w:r>
        <w:t>第</w:t>
      </w:r>
      <w:r>
        <w:rPr>
          <w:rFonts w:hint="eastAsia"/>
        </w:rPr>
        <w:t>二</w:t>
      </w:r>
      <w:r>
        <w:t>章 投标人须知</w:t>
      </w:r>
      <w:r>
        <w:tab/>
      </w:r>
      <w:r>
        <w:fldChar w:fldCharType="begin"/>
      </w:r>
      <w:r>
        <w:instrText xml:space="preserve"> PAGEREF _Toc24206 \h </w:instrText>
      </w:r>
      <w:r>
        <w:fldChar w:fldCharType="separate"/>
      </w:r>
      <w:r>
        <w:t>7</w:t>
      </w:r>
      <w:r>
        <w:fldChar w:fldCharType="end"/>
      </w:r>
      <w:r>
        <w:fldChar w:fldCharType="end"/>
      </w:r>
    </w:p>
    <w:p>
      <w:pPr>
        <w:pStyle w:val="36"/>
        <w:tabs>
          <w:tab w:val="right" w:leader="dot" w:pos="8504"/>
        </w:tabs>
      </w:pPr>
      <w:r>
        <w:fldChar w:fldCharType="begin"/>
      </w:r>
      <w:r>
        <w:instrText xml:space="preserve"> HYPERLINK \l _Toc22045 </w:instrText>
      </w:r>
      <w:r>
        <w:fldChar w:fldCharType="separate"/>
      </w:r>
      <w:r>
        <w:t>投标人须知前附表</w:t>
      </w:r>
      <w:r>
        <w:tab/>
      </w:r>
      <w:r>
        <w:fldChar w:fldCharType="begin"/>
      </w:r>
      <w:r>
        <w:instrText xml:space="preserve"> PAGEREF _Toc22045 \h </w:instrText>
      </w:r>
      <w:r>
        <w:fldChar w:fldCharType="separate"/>
      </w:r>
      <w:r>
        <w:t>7</w:t>
      </w:r>
      <w:r>
        <w:fldChar w:fldCharType="end"/>
      </w:r>
      <w:r>
        <w:fldChar w:fldCharType="end"/>
      </w:r>
    </w:p>
    <w:p>
      <w:pPr>
        <w:pStyle w:val="36"/>
        <w:tabs>
          <w:tab w:val="right" w:leader="dot" w:pos="8504"/>
        </w:tabs>
      </w:pPr>
      <w:r>
        <w:fldChar w:fldCharType="begin"/>
      </w:r>
      <w:r>
        <w:instrText xml:space="preserve"> HYPERLINK \l _Toc23700 </w:instrText>
      </w:r>
      <w:r>
        <w:fldChar w:fldCharType="separate"/>
      </w:r>
      <w:r>
        <w:t>1. 总则</w:t>
      </w:r>
      <w:r>
        <w:tab/>
      </w:r>
      <w:r>
        <w:fldChar w:fldCharType="begin"/>
      </w:r>
      <w:r>
        <w:instrText xml:space="preserve"> PAGEREF _Toc23700 \h </w:instrText>
      </w:r>
      <w:r>
        <w:fldChar w:fldCharType="separate"/>
      </w:r>
      <w:r>
        <w:t>19</w:t>
      </w:r>
      <w:r>
        <w:fldChar w:fldCharType="end"/>
      </w:r>
      <w:r>
        <w:fldChar w:fldCharType="end"/>
      </w:r>
    </w:p>
    <w:p>
      <w:pPr>
        <w:pStyle w:val="36"/>
        <w:tabs>
          <w:tab w:val="right" w:leader="dot" w:pos="8504"/>
        </w:tabs>
      </w:pPr>
      <w:r>
        <w:fldChar w:fldCharType="begin"/>
      </w:r>
      <w:r>
        <w:instrText xml:space="preserve"> HYPERLINK \l _Toc5878 </w:instrText>
      </w:r>
      <w:r>
        <w:fldChar w:fldCharType="separate"/>
      </w:r>
      <w:r>
        <w:t>2. 招标文件</w:t>
      </w:r>
      <w:r>
        <w:tab/>
      </w:r>
      <w:r>
        <w:fldChar w:fldCharType="begin"/>
      </w:r>
      <w:r>
        <w:instrText xml:space="preserve"> PAGEREF _Toc5878 \h </w:instrText>
      </w:r>
      <w:r>
        <w:fldChar w:fldCharType="separate"/>
      </w:r>
      <w:r>
        <w:t>21</w:t>
      </w:r>
      <w:r>
        <w:fldChar w:fldCharType="end"/>
      </w:r>
      <w:r>
        <w:fldChar w:fldCharType="end"/>
      </w:r>
    </w:p>
    <w:p>
      <w:pPr>
        <w:pStyle w:val="36"/>
        <w:tabs>
          <w:tab w:val="right" w:leader="dot" w:pos="8504"/>
        </w:tabs>
      </w:pPr>
      <w:r>
        <w:fldChar w:fldCharType="begin"/>
      </w:r>
      <w:r>
        <w:instrText xml:space="preserve"> HYPERLINK \l _Toc32497 </w:instrText>
      </w:r>
      <w:r>
        <w:fldChar w:fldCharType="separate"/>
      </w:r>
      <w:r>
        <w:rPr>
          <w:rFonts w:hint="eastAsia"/>
        </w:rPr>
        <w:t>3</w:t>
      </w:r>
      <w:r>
        <w:t>.投标文件</w:t>
      </w:r>
      <w:r>
        <w:tab/>
      </w:r>
      <w:r>
        <w:fldChar w:fldCharType="begin"/>
      </w:r>
      <w:r>
        <w:instrText xml:space="preserve"> PAGEREF _Toc32497 \h </w:instrText>
      </w:r>
      <w:r>
        <w:fldChar w:fldCharType="separate"/>
      </w:r>
      <w:r>
        <w:t>23</w:t>
      </w:r>
      <w:r>
        <w:fldChar w:fldCharType="end"/>
      </w:r>
      <w:r>
        <w:fldChar w:fldCharType="end"/>
      </w:r>
    </w:p>
    <w:p>
      <w:pPr>
        <w:pStyle w:val="36"/>
        <w:tabs>
          <w:tab w:val="right" w:leader="dot" w:pos="8504"/>
        </w:tabs>
      </w:pPr>
      <w:r>
        <w:fldChar w:fldCharType="begin"/>
      </w:r>
      <w:r>
        <w:instrText xml:space="preserve"> HYPERLINK \l _Toc16463 </w:instrText>
      </w:r>
      <w:r>
        <w:fldChar w:fldCharType="separate"/>
      </w:r>
      <w:r>
        <w:t>4. 投标</w:t>
      </w:r>
      <w:r>
        <w:tab/>
      </w:r>
      <w:r>
        <w:fldChar w:fldCharType="begin"/>
      </w:r>
      <w:r>
        <w:instrText xml:space="preserve"> PAGEREF _Toc16463 \h </w:instrText>
      </w:r>
      <w:r>
        <w:fldChar w:fldCharType="separate"/>
      </w:r>
      <w:r>
        <w:t>25</w:t>
      </w:r>
      <w:r>
        <w:fldChar w:fldCharType="end"/>
      </w:r>
      <w:r>
        <w:fldChar w:fldCharType="end"/>
      </w:r>
    </w:p>
    <w:p>
      <w:pPr>
        <w:pStyle w:val="36"/>
        <w:tabs>
          <w:tab w:val="right" w:leader="dot" w:pos="8504"/>
        </w:tabs>
      </w:pPr>
      <w:r>
        <w:fldChar w:fldCharType="begin"/>
      </w:r>
      <w:r>
        <w:instrText xml:space="preserve"> HYPERLINK \l _Toc5171 </w:instrText>
      </w:r>
      <w:r>
        <w:fldChar w:fldCharType="separate"/>
      </w:r>
      <w:r>
        <w:t>5. 开标</w:t>
      </w:r>
      <w:r>
        <w:tab/>
      </w:r>
      <w:r>
        <w:fldChar w:fldCharType="begin"/>
      </w:r>
      <w:r>
        <w:instrText xml:space="preserve"> PAGEREF _Toc5171 \h </w:instrText>
      </w:r>
      <w:r>
        <w:fldChar w:fldCharType="separate"/>
      </w:r>
      <w:r>
        <w:t>26</w:t>
      </w:r>
      <w:r>
        <w:fldChar w:fldCharType="end"/>
      </w:r>
      <w:r>
        <w:fldChar w:fldCharType="end"/>
      </w:r>
    </w:p>
    <w:p>
      <w:pPr>
        <w:pStyle w:val="36"/>
        <w:tabs>
          <w:tab w:val="right" w:leader="dot" w:pos="8504"/>
        </w:tabs>
      </w:pPr>
      <w:r>
        <w:fldChar w:fldCharType="begin"/>
      </w:r>
      <w:r>
        <w:instrText xml:space="preserve"> HYPERLINK \l _Toc1210 </w:instrText>
      </w:r>
      <w:r>
        <w:fldChar w:fldCharType="separate"/>
      </w:r>
      <w:r>
        <w:t>6.评标</w:t>
      </w:r>
      <w:r>
        <w:tab/>
      </w:r>
      <w:r>
        <w:fldChar w:fldCharType="begin"/>
      </w:r>
      <w:r>
        <w:instrText xml:space="preserve"> PAGEREF _Toc1210 \h </w:instrText>
      </w:r>
      <w:r>
        <w:fldChar w:fldCharType="separate"/>
      </w:r>
      <w:r>
        <w:t>26</w:t>
      </w:r>
      <w:r>
        <w:fldChar w:fldCharType="end"/>
      </w:r>
      <w:r>
        <w:fldChar w:fldCharType="end"/>
      </w:r>
    </w:p>
    <w:p>
      <w:pPr>
        <w:pStyle w:val="36"/>
        <w:tabs>
          <w:tab w:val="right" w:leader="dot" w:pos="8504"/>
        </w:tabs>
      </w:pPr>
      <w:r>
        <w:fldChar w:fldCharType="begin"/>
      </w:r>
      <w:r>
        <w:instrText xml:space="preserve"> HYPERLINK \l _Toc4607 </w:instrText>
      </w:r>
      <w:r>
        <w:fldChar w:fldCharType="separate"/>
      </w:r>
      <w:r>
        <w:t>7. 合同授予</w:t>
      </w:r>
      <w:r>
        <w:tab/>
      </w:r>
      <w:r>
        <w:fldChar w:fldCharType="begin"/>
      </w:r>
      <w:r>
        <w:instrText xml:space="preserve"> PAGEREF _Toc4607 \h </w:instrText>
      </w:r>
      <w:r>
        <w:fldChar w:fldCharType="separate"/>
      </w:r>
      <w:r>
        <w:t>27</w:t>
      </w:r>
      <w:r>
        <w:fldChar w:fldCharType="end"/>
      </w:r>
      <w:r>
        <w:fldChar w:fldCharType="end"/>
      </w:r>
    </w:p>
    <w:p>
      <w:pPr>
        <w:pStyle w:val="36"/>
        <w:tabs>
          <w:tab w:val="right" w:leader="dot" w:pos="8504"/>
        </w:tabs>
      </w:pPr>
      <w:r>
        <w:fldChar w:fldCharType="begin"/>
      </w:r>
      <w:r>
        <w:instrText xml:space="preserve"> HYPERLINK \l _Toc9042 </w:instrText>
      </w:r>
      <w:r>
        <w:fldChar w:fldCharType="separate"/>
      </w:r>
      <w:r>
        <w:t>8. 重新招标和不再招标</w:t>
      </w:r>
      <w:r>
        <w:tab/>
      </w:r>
      <w:r>
        <w:fldChar w:fldCharType="begin"/>
      </w:r>
      <w:r>
        <w:instrText xml:space="preserve"> PAGEREF _Toc9042 \h </w:instrText>
      </w:r>
      <w:r>
        <w:fldChar w:fldCharType="separate"/>
      </w:r>
      <w:r>
        <w:t>28</w:t>
      </w:r>
      <w:r>
        <w:fldChar w:fldCharType="end"/>
      </w:r>
      <w:r>
        <w:fldChar w:fldCharType="end"/>
      </w:r>
    </w:p>
    <w:p>
      <w:pPr>
        <w:pStyle w:val="36"/>
        <w:tabs>
          <w:tab w:val="right" w:leader="dot" w:pos="8504"/>
        </w:tabs>
      </w:pPr>
      <w:r>
        <w:fldChar w:fldCharType="begin"/>
      </w:r>
      <w:r>
        <w:instrText xml:space="preserve"> HYPERLINK \l _Toc738 </w:instrText>
      </w:r>
      <w:r>
        <w:fldChar w:fldCharType="separate"/>
      </w:r>
      <w:r>
        <w:t>9. 纪律和监督</w:t>
      </w:r>
      <w:r>
        <w:tab/>
      </w:r>
      <w:r>
        <w:fldChar w:fldCharType="begin"/>
      </w:r>
      <w:r>
        <w:instrText xml:space="preserve"> PAGEREF _Toc738 \h </w:instrText>
      </w:r>
      <w:r>
        <w:fldChar w:fldCharType="separate"/>
      </w:r>
      <w:r>
        <w:t>28</w:t>
      </w:r>
      <w:r>
        <w:fldChar w:fldCharType="end"/>
      </w:r>
      <w:r>
        <w:fldChar w:fldCharType="end"/>
      </w:r>
    </w:p>
    <w:p>
      <w:pPr>
        <w:pStyle w:val="36"/>
        <w:tabs>
          <w:tab w:val="right" w:leader="dot" w:pos="8504"/>
        </w:tabs>
      </w:pPr>
      <w:r>
        <w:fldChar w:fldCharType="begin"/>
      </w:r>
      <w:r>
        <w:instrText xml:space="preserve"> HYPERLINK \l _Toc11468 </w:instrText>
      </w:r>
      <w:r>
        <w:fldChar w:fldCharType="separate"/>
      </w:r>
      <w:r>
        <w:t>10. 需要补充的其他内容</w:t>
      </w:r>
      <w:r>
        <w:tab/>
      </w:r>
      <w:r>
        <w:fldChar w:fldCharType="begin"/>
      </w:r>
      <w:r>
        <w:instrText xml:space="preserve"> PAGEREF _Toc11468 \h </w:instrText>
      </w:r>
      <w:r>
        <w:fldChar w:fldCharType="separate"/>
      </w:r>
      <w:r>
        <w:t>29</w:t>
      </w:r>
      <w:r>
        <w:fldChar w:fldCharType="end"/>
      </w:r>
      <w:r>
        <w:fldChar w:fldCharType="end"/>
      </w:r>
    </w:p>
    <w:p>
      <w:pPr>
        <w:pStyle w:val="31"/>
        <w:tabs>
          <w:tab w:val="right" w:leader="dot" w:pos="8504"/>
        </w:tabs>
      </w:pPr>
      <w:r>
        <w:fldChar w:fldCharType="begin"/>
      </w:r>
      <w:r>
        <w:instrText xml:space="preserve"> HYPERLINK \l _Toc2990 </w:instrText>
      </w:r>
      <w:r>
        <w:fldChar w:fldCharType="separate"/>
      </w:r>
      <w:r>
        <w:rPr>
          <w:rFonts w:hint="eastAsia"/>
        </w:rPr>
        <w:t>第三章 评标办法</w:t>
      </w:r>
      <w:r>
        <w:t>（综合</w:t>
      </w:r>
      <w:r>
        <w:rPr>
          <w:rFonts w:hint="eastAsia"/>
        </w:rPr>
        <w:t>评估</w:t>
      </w:r>
      <w:r>
        <w:t>法）</w:t>
      </w:r>
      <w:r>
        <w:tab/>
      </w:r>
      <w:r>
        <w:fldChar w:fldCharType="begin"/>
      </w:r>
      <w:r>
        <w:instrText xml:space="preserve"> PAGEREF _Toc2990 \h </w:instrText>
      </w:r>
      <w:r>
        <w:fldChar w:fldCharType="separate"/>
      </w:r>
      <w:r>
        <w:t>36</w:t>
      </w:r>
      <w:r>
        <w:fldChar w:fldCharType="end"/>
      </w:r>
      <w:r>
        <w:fldChar w:fldCharType="end"/>
      </w:r>
    </w:p>
    <w:p>
      <w:pPr>
        <w:pStyle w:val="36"/>
        <w:tabs>
          <w:tab w:val="right" w:leader="dot" w:pos="8504"/>
        </w:tabs>
      </w:pPr>
      <w:r>
        <w:fldChar w:fldCharType="begin"/>
      </w:r>
      <w:r>
        <w:instrText xml:space="preserve"> HYPERLINK \l _Toc30170 </w:instrText>
      </w:r>
      <w:r>
        <w:fldChar w:fldCharType="separate"/>
      </w:r>
      <w:r>
        <w:rPr>
          <w:rFonts w:hint="eastAsia"/>
        </w:rPr>
        <w:t>一、评标办法前附表</w:t>
      </w:r>
      <w:r>
        <w:tab/>
      </w:r>
      <w:r>
        <w:fldChar w:fldCharType="begin"/>
      </w:r>
      <w:r>
        <w:instrText xml:space="preserve"> PAGEREF _Toc30170 \h </w:instrText>
      </w:r>
      <w:r>
        <w:fldChar w:fldCharType="separate"/>
      </w:r>
      <w:r>
        <w:t>36</w:t>
      </w:r>
      <w:r>
        <w:fldChar w:fldCharType="end"/>
      </w:r>
      <w:r>
        <w:fldChar w:fldCharType="end"/>
      </w:r>
    </w:p>
    <w:p>
      <w:pPr>
        <w:pStyle w:val="36"/>
        <w:tabs>
          <w:tab w:val="right" w:leader="dot" w:pos="8504"/>
        </w:tabs>
      </w:pPr>
      <w:r>
        <w:fldChar w:fldCharType="begin"/>
      </w:r>
      <w:r>
        <w:instrText xml:space="preserve"> HYPERLINK \l _Toc3279 </w:instrText>
      </w:r>
      <w:r>
        <w:fldChar w:fldCharType="separate"/>
      </w:r>
      <w:r>
        <w:rPr>
          <w:rFonts w:hint="eastAsia"/>
        </w:rPr>
        <w:t>二、综合评估法评标办法</w:t>
      </w:r>
      <w:r>
        <w:tab/>
      </w:r>
      <w:r>
        <w:fldChar w:fldCharType="begin"/>
      </w:r>
      <w:r>
        <w:instrText xml:space="preserve"> PAGEREF _Toc3279 \h </w:instrText>
      </w:r>
      <w:r>
        <w:fldChar w:fldCharType="separate"/>
      </w:r>
      <w:r>
        <w:t>42</w:t>
      </w:r>
      <w:r>
        <w:fldChar w:fldCharType="end"/>
      </w:r>
      <w:r>
        <w:fldChar w:fldCharType="end"/>
      </w:r>
    </w:p>
    <w:p>
      <w:pPr>
        <w:pStyle w:val="31"/>
        <w:tabs>
          <w:tab w:val="right" w:leader="dot" w:pos="8504"/>
        </w:tabs>
      </w:pPr>
      <w:r>
        <w:fldChar w:fldCharType="begin"/>
      </w:r>
      <w:r>
        <w:instrText xml:space="preserve"> HYPERLINK \l _Toc18864 </w:instrText>
      </w:r>
      <w:r>
        <w:fldChar w:fldCharType="separate"/>
      </w:r>
      <w:r>
        <w:rPr>
          <w:rFonts w:hint="eastAsia"/>
          <w:highlight w:val="white"/>
        </w:rPr>
        <w:t>第四章 合同条款及格式</w:t>
      </w:r>
      <w:r>
        <w:tab/>
      </w:r>
      <w:r>
        <w:fldChar w:fldCharType="begin"/>
      </w:r>
      <w:r>
        <w:instrText xml:space="preserve"> PAGEREF _Toc18864 \h </w:instrText>
      </w:r>
      <w:r>
        <w:fldChar w:fldCharType="separate"/>
      </w:r>
      <w:r>
        <w:t>61</w:t>
      </w:r>
      <w:r>
        <w:fldChar w:fldCharType="end"/>
      </w:r>
      <w:r>
        <w:fldChar w:fldCharType="end"/>
      </w:r>
    </w:p>
    <w:p>
      <w:pPr>
        <w:pStyle w:val="36"/>
        <w:tabs>
          <w:tab w:val="right" w:leader="dot" w:pos="8504"/>
        </w:tabs>
      </w:pPr>
      <w:r>
        <w:fldChar w:fldCharType="begin"/>
      </w:r>
      <w:r>
        <w:instrText xml:space="preserve"> HYPERLINK \l _Toc18238 </w:instrText>
      </w:r>
      <w:r>
        <w:fldChar w:fldCharType="separate"/>
      </w:r>
      <w:r>
        <w:rPr>
          <w:rFonts w:hint="eastAsia" w:ascii="宋体" w:hAnsi="宋体" w:eastAsia="宋体"/>
          <w:szCs w:val="21"/>
        </w:rPr>
        <w:t>第一部分 合同协议书</w:t>
      </w:r>
      <w:r>
        <w:tab/>
      </w:r>
      <w:r>
        <w:fldChar w:fldCharType="begin"/>
      </w:r>
      <w:r>
        <w:instrText xml:space="preserve"> PAGEREF _Toc18238 \h </w:instrText>
      </w:r>
      <w:r>
        <w:fldChar w:fldCharType="separate"/>
      </w:r>
      <w:r>
        <w:t>61</w:t>
      </w:r>
      <w:r>
        <w:fldChar w:fldCharType="end"/>
      </w:r>
      <w:r>
        <w:fldChar w:fldCharType="end"/>
      </w:r>
    </w:p>
    <w:p>
      <w:pPr>
        <w:pStyle w:val="36"/>
        <w:tabs>
          <w:tab w:val="right" w:leader="dot" w:pos="8504"/>
        </w:tabs>
      </w:pPr>
      <w:r>
        <w:fldChar w:fldCharType="begin"/>
      </w:r>
      <w:r>
        <w:instrText xml:space="preserve"> HYPERLINK \l _Toc17841 </w:instrText>
      </w:r>
      <w:r>
        <w:fldChar w:fldCharType="separate"/>
      </w:r>
      <w:r>
        <w:rPr>
          <w:rFonts w:hint="eastAsia" w:ascii="宋体" w:hAnsi="宋体" w:eastAsia="宋体"/>
          <w:szCs w:val="21"/>
        </w:rPr>
        <w:t>第二部分 通用条款</w:t>
      </w:r>
      <w:r>
        <w:tab/>
      </w:r>
      <w:r>
        <w:fldChar w:fldCharType="begin"/>
      </w:r>
      <w:r>
        <w:instrText xml:space="preserve"> PAGEREF _Toc17841 \h </w:instrText>
      </w:r>
      <w:r>
        <w:fldChar w:fldCharType="separate"/>
      </w:r>
      <w:r>
        <w:t>65</w:t>
      </w:r>
      <w:r>
        <w:fldChar w:fldCharType="end"/>
      </w:r>
      <w:r>
        <w:fldChar w:fldCharType="end"/>
      </w:r>
    </w:p>
    <w:p>
      <w:pPr>
        <w:pStyle w:val="36"/>
        <w:tabs>
          <w:tab w:val="right" w:leader="dot" w:pos="8504"/>
        </w:tabs>
      </w:pPr>
      <w:r>
        <w:fldChar w:fldCharType="begin"/>
      </w:r>
      <w:r>
        <w:instrText xml:space="preserve"> HYPERLINK \l _Toc27122 </w:instrText>
      </w:r>
      <w:r>
        <w:fldChar w:fldCharType="separate"/>
      </w:r>
      <w:r>
        <w:rPr>
          <w:rFonts w:hint="eastAsia" w:ascii="宋体" w:hAnsi="宋体" w:eastAsia="宋体"/>
        </w:rPr>
        <w:t>第三部分 专用合同条款</w:t>
      </w:r>
      <w:r>
        <w:tab/>
      </w:r>
      <w:r>
        <w:fldChar w:fldCharType="begin"/>
      </w:r>
      <w:r>
        <w:instrText xml:space="preserve"> PAGEREF _Toc27122 \h </w:instrText>
      </w:r>
      <w:r>
        <w:fldChar w:fldCharType="separate"/>
      </w:r>
      <w:r>
        <w:t>66</w:t>
      </w:r>
      <w:r>
        <w:fldChar w:fldCharType="end"/>
      </w:r>
      <w:r>
        <w:fldChar w:fldCharType="end"/>
      </w:r>
    </w:p>
    <w:p>
      <w:pPr>
        <w:pStyle w:val="31"/>
        <w:tabs>
          <w:tab w:val="right" w:leader="dot" w:pos="8504"/>
        </w:tabs>
      </w:pPr>
      <w:r>
        <w:fldChar w:fldCharType="begin"/>
      </w:r>
      <w:r>
        <w:instrText xml:space="preserve"> HYPERLINK \l _Toc20368 </w:instrText>
      </w:r>
      <w:r>
        <w:fldChar w:fldCharType="separate"/>
      </w:r>
      <w:r>
        <w:t>第</w:t>
      </w:r>
      <w:r>
        <w:rPr>
          <w:rFonts w:hint="eastAsia"/>
        </w:rPr>
        <w:t>五</w:t>
      </w:r>
      <w:r>
        <w:t>章  工程量清单</w:t>
      </w:r>
      <w:r>
        <w:tab/>
      </w:r>
      <w:r>
        <w:fldChar w:fldCharType="begin"/>
      </w:r>
      <w:r>
        <w:instrText xml:space="preserve"> PAGEREF _Toc20368 \h </w:instrText>
      </w:r>
      <w:r>
        <w:fldChar w:fldCharType="separate"/>
      </w:r>
      <w:r>
        <w:t>103</w:t>
      </w:r>
      <w:r>
        <w:fldChar w:fldCharType="end"/>
      </w:r>
      <w:r>
        <w:fldChar w:fldCharType="end"/>
      </w:r>
    </w:p>
    <w:p>
      <w:pPr>
        <w:pStyle w:val="31"/>
        <w:tabs>
          <w:tab w:val="right" w:leader="dot" w:pos="8504"/>
        </w:tabs>
      </w:pPr>
      <w:r>
        <w:fldChar w:fldCharType="begin"/>
      </w:r>
      <w:r>
        <w:instrText xml:space="preserve"> HYPERLINK \l _Toc21511 </w:instrText>
      </w:r>
      <w:r>
        <w:fldChar w:fldCharType="separate"/>
      </w:r>
      <w:r>
        <w:rPr>
          <w:rFonts w:hint="eastAsia"/>
        </w:rPr>
        <w:t>第六章图纸</w:t>
      </w:r>
      <w:r>
        <w:tab/>
      </w:r>
      <w:r>
        <w:fldChar w:fldCharType="begin"/>
      </w:r>
      <w:r>
        <w:instrText xml:space="preserve"> PAGEREF _Toc21511 \h </w:instrText>
      </w:r>
      <w:r>
        <w:fldChar w:fldCharType="separate"/>
      </w:r>
      <w:r>
        <w:t>104</w:t>
      </w:r>
      <w:r>
        <w:fldChar w:fldCharType="end"/>
      </w:r>
      <w:r>
        <w:fldChar w:fldCharType="end"/>
      </w:r>
    </w:p>
    <w:p>
      <w:pPr>
        <w:pStyle w:val="31"/>
        <w:tabs>
          <w:tab w:val="right" w:leader="dot" w:pos="8504"/>
        </w:tabs>
      </w:pPr>
      <w:r>
        <w:fldChar w:fldCharType="begin"/>
      </w:r>
      <w:r>
        <w:instrText xml:space="preserve"> HYPERLINK \l _Toc24933 </w:instrText>
      </w:r>
      <w:r>
        <w:fldChar w:fldCharType="separate"/>
      </w:r>
      <w:r>
        <w:rPr>
          <w:rFonts w:hint="eastAsia"/>
        </w:rPr>
        <w:t>第七章技术标准和要求</w:t>
      </w:r>
      <w:r>
        <w:tab/>
      </w:r>
      <w:r>
        <w:fldChar w:fldCharType="begin"/>
      </w:r>
      <w:r>
        <w:instrText xml:space="preserve"> PAGEREF _Toc24933 \h </w:instrText>
      </w:r>
      <w:r>
        <w:fldChar w:fldCharType="separate"/>
      </w:r>
      <w:r>
        <w:t>106</w:t>
      </w:r>
      <w:r>
        <w:fldChar w:fldCharType="end"/>
      </w:r>
      <w:r>
        <w:fldChar w:fldCharType="end"/>
      </w:r>
    </w:p>
    <w:p>
      <w:pPr>
        <w:pStyle w:val="36"/>
        <w:tabs>
          <w:tab w:val="right" w:leader="dot" w:pos="8504"/>
        </w:tabs>
      </w:pPr>
      <w:r>
        <w:fldChar w:fldCharType="begin"/>
      </w:r>
      <w:r>
        <w:instrText xml:space="preserve"> HYPERLINK \l _Toc30960 </w:instrText>
      </w:r>
      <w:r>
        <w:fldChar w:fldCharType="separate"/>
      </w:r>
      <w:r>
        <w:rPr>
          <w:rFonts w:hint="eastAsia"/>
        </w:rPr>
        <w:t>第一节  一般要求</w:t>
      </w:r>
      <w:r>
        <w:tab/>
      </w:r>
      <w:r>
        <w:fldChar w:fldCharType="begin"/>
      </w:r>
      <w:r>
        <w:instrText xml:space="preserve"> PAGEREF _Toc30960 \h </w:instrText>
      </w:r>
      <w:r>
        <w:fldChar w:fldCharType="separate"/>
      </w:r>
      <w:r>
        <w:t>106</w:t>
      </w:r>
      <w:r>
        <w:fldChar w:fldCharType="end"/>
      </w:r>
      <w:r>
        <w:fldChar w:fldCharType="end"/>
      </w:r>
    </w:p>
    <w:p>
      <w:pPr>
        <w:pStyle w:val="36"/>
        <w:tabs>
          <w:tab w:val="right" w:leader="dot" w:pos="8504"/>
        </w:tabs>
      </w:pPr>
      <w:r>
        <w:fldChar w:fldCharType="begin"/>
      </w:r>
      <w:r>
        <w:instrText xml:space="preserve"> HYPERLINK \l _Toc907 </w:instrText>
      </w:r>
      <w:r>
        <w:fldChar w:fldCharType="separate"/>
      </w:r>
      <w:r>
        <w:rPr>
          <w:rFonts w:hint="eastAsia"/>
        </w:rPr>
        <w:t>第三节  适用的国家、行业以及地方规范、标准和规程</w:t>
      </w:r>
      <w:r>
        <w:tab/>
      </w:r>
      <w:r>
        <w:fldChar w:fldCharType="begin"/>
      </w:r>
      <w:r>
        <w:instrText xml:space="preserve"> PAGEREF _Toc907 \h </w:instrText>
      </w:r>
      <w:r>
        <w:fldChar w:fldCharType="separate"/>
      </w:r>
      <w:r>
        <w:t>131</w:t>
      </w:r>
      <w:r>
        <w:fldChar w:fldCharType="end"/>
      </w:r>
      <w:r>
        <w:fldChar w:fldCharType="end"/>
      </w:r>
    </w:p>
    <w:p>
      <w:pPr>
        <w:pStyle w:val="31"/>
        <w:tabs>
          <w:tab w:val="right" w:leader="dot" w:pos="8504"/>
        </w:tabs>
      </w:pPr>
      <w:r>
        <w:fldChar w:fldCharType="begin"/>
      </w:r>
      <w:r>
        <w:instrText xml:space="preserve"> HYPERLINK \l _Toc32628 </w:instrText>
      </w:r>
      <w:r>
        <w:fldChar w:fldCharType="separate"/>
      </w:r>
      <w:r>
        <w:rPr>
          <w:rFonts w:hint="eastAsia"/>
        </w:rPr>
        <w:t>第八章  投标文件格式</w:t>
      </w:r>
      <w:r>
        <w:tab/>
      </w:r>
      <w:r>
        <w:fldChar w:fldCharType="begin"/>
      </w:r>
      <w:r>
        <w:instrText xml:space="preserve"> PAGEREF _Toc32628 \h </w:instrText>
      </w:r>
      <w:r>
        <w:fldChar w:fldCharType="separate"/>
      </w:r>
      <w:r>
        <w:t>133</w:t>
      </w:r>
      <w:r>
        <w:fldChar w:fldCharType="end"/>
      </w:r>
      <w:r>
        <w:fldChar w:fldCharType="end"/>
      </w:r>
    </w:p>
    <w:p>
      <w:pPr>
        <w:pStyle w:val="36"/>
        <w:tabs>
          <w:tab w:val="right" w:leader="dot" w:pos="8504"/>
        </w:tabs>
      </w:pPr>
      <w:r>
        <w:fldChar w:fldCharType="begin"/>
      </w:r>
      <w:r>
        <w:instrText xml:space="preserve"> HYPERLINK \l _Toc19006 </w:instrText>
      </w:r>
      <w:r>
        <w:fldChar w:fldCharType="separate"/>
      </w:r>
      <w:r>
        <w:rPr>
          <w:rFonts w:hint="eastAsia"/>
        </w:rPr>
        <w:t>一、法定代表人申明</w:t>
      </w:r>
      <w:r>
        <w:tab/>
      </w:r>
      <w:r>
        <w:fldChar w:fldCharType="begin"/>
      </w:r>
      <w:r>
        <w:instrText xml:space="preserve"> PAGEREF _Toc19006 \h </w:instrText>
      </w:r>
      <w:r>
        <w:fldChar w:fldCharType="separate"/>
      </w:r>
      <w:r>
        <w:t>136</w:t>
      </w:r>
      <w:r>
        <w:fldChar w:fldCharType="end"/>
      </w:r>
      <w:r>
        <w:fldChar w:fldCharType="end"/>
      </w:r>
    </w:p>
    <w:p>
      <w:pPr>
        <w:pStyle w:val="36"/>
        <w:tabs>
          <w:tab w:val="right" w:leader="dot" w:pos="8504"/>
        </w:tabs>
      </w:pPr>
      <w:r>
        <w:fldChar w:fldCharType="begin"/>
      </w:r>
      <w:r>
        <w:instrText xml:space="preserve"> HYPERLINK \l _Toc14656 </w:instrText>
      </w:r>
      <w:r>
        <w:fldChar w:fldCharType="separate"/>
      </w:r>
      <w:r>
        <w:rPr>
          <w:rFonts w:hint="eastAsia"/>
        </w:rPr>
        <w:t>二、投标人资格审查申请书</w:t>
      </w:r>
      <w:r>
        <w:tab/>
      </w:r>
      <w:r>
        <w:fldChar w:fldCharType="begin"/>
      </w:r>
      <w:r>
        <w:instrText xml:space="preserve"> PAGEREF _Toc14656 \h </w:instrText>
      </w:r>
      <w:r>
        <w:fldChar w:fldCharType="separate"/>
      </w:r>
      <w:r>
        <w:t>137</w:t>
      </w:r>
      <w:r>
        <w:fldChar w:fldCharType="end"/>
      </w:r>
      <w:r>
        <w:fldChar w:fldCharType="end"/>
      </w:r>
    </w:p>
    <w:p>
      <w:pPr>
        <w:pStyle w:val="36"/>
        <w:tabs>
          <w:tab w:val="right" w:leader="dot" w:pos="8504"/>
        </w:tabs>
      </w:pPr>
      <w:r>
        <w:fldChar w:fldCharType="begin"/>
      </w:r>
      <w:r>
        <w:instrText xml:space="preserve"> HYPERLINK \l _Toc7503 </w:instrText>
      </w:r>
      <w:r>
        <w:fldChar w:fldCharType="separate"/>
      </w:r>
      <w:r>
        <w:rPr>
          <w:rFonts w:hint="eastAsia"/>
        </w:rPr>
        <w:t>三</w:t>
      </w:r>
      <w:r>
        <w:t>、商</w:t>
      </w:r>
      <w:r>
        <w:rPr>
          <w:rFonts w:hint="eastAsia"/>
        </w:rPr>
        <w:t>务标部分</w:t>
      </w:r>
      <w:r>
        <w:tab/>
      </w:r>
      <w:r>
        <w:fldChar w:fldCharType="begin"/>
      </w:r>
      <w:r>
        <w:instrText xml:space="preserve"> PAGEREF _Toc7503 \h </w:instrText>
      </w:r>
      <w:r>
        <w:fldChar w:fldCharType="separate"/>
      </w:r>
      <w:r>
        <w:t>151</w:t>
      </w:r>
      <w:r>
        <w:fldChar w:fldCharType="end"/>
      </w:r>
      <w:r>
        <w:fldChar w:fldCharType="end"/>
      </w:r>
    </w:p>
    <w:p>
      <w:pPr>
        <w:pStyle w:val="23"/>
        <w:tabs>
          <w:tab w:val="right" w:leader="dot" w:pos="8504"/>
        </w:tabs>
      </w:pPr>
      <w:r>
        <w:fldChar w:fldCharType="begin"/>
      </w:r>
      <w:r>
        <w:instrText xml:space="preserve"> HYPERLINK \l _Toc16464 </w:instrText>
      </w:r>
      <w:r>
        <w:fldChar w:fldCharType="separate"/>
      </w:r>
      <w:r>
        <w:rPr>
          <w:rFonts w:hint="eastAsia"/>
        </w:rPr>
        <w:t>（一）投标函及投标函附录</w:t>
      </w:r>
      <w:r>
        <w:tab/>
      </w:r>
      <w:r>
        <w:fldChar w:fldCharType="begin"/>
      </w:r>
      <w:r>
        <w:instrText xml:space="preserve"> PAGEREF _Toc16464 \h </w:instrText>
      </w:r>
      <w:r>
        <w:fldChar w:fldCharType="separate"/>
      </w:r>
      <w:r>
        <w:t>151</w:t>
      </w:r>
      <w:r>
        <w:fldChar w:fldCharType="end"/>
      </w:r>
      <w:r>
        <w:fldChar w:fldCharType="end"/>
      </w:r>
    </w:p>
    <w:p>
      <w:pPr>
        <w:pStyle w:val="23"/>
        <w:tabs>
          <w:tab w:val="right" w:leader="dot" w:pos="8504"/>
        </w:tabs>
      </w:pPr>
      <w:r>
        <w:fldChar w:fldCharType="begin"/>
      </w:r>
      <w:r>
        <w:instrText xml:space="preserve"> HYPERLINK \l _Toc626 </w:instrText>
      </w:r>
      <w:r>
        <w:fldChar w:fldCharType="separate"/>
      </w:r>
      <w:r>
        <w:rPr>
          <w:rFonts w:hint="eastAsia"/>
        </w:rPr>
        <w:t>（二）已标价工程量清单</w:t>
      </w:r>
      <w:r>
        <w:tab/>
      </w:r>
      <w:r>
        <w:fldChar w:fldCharType="begin"/>
      </w:r>
      <w:r>
        <w:instrText xml:space="preserve"> PAGEREF _Toc626 \h </w:instrText>
      </w:r>
      <w:r>
        <w:fldChar w:fldCharType="separate"/>
      </w:r>
      <w:r>
        <w:t>152</w:t>
      </w:r>
      <w:r>
        <w:fldChar w:fldCharType="end"/>
      </w:r>
      <w:r>
        <w:fldChar w:fldCharType="end"/>
      </w:r>
    </w:p>
    <w:p>
      <w:pPr>
        <w:pStyle w:val="23"/>
        <w:tabs>
          <w:tab w:val="right" w:leader="dot" w:pos="8504"/>
        </w:tabs>
      </w:pPr>
      <w:r>
        <w:fldChar w:fldCharType="begin"/>
      </w:r>
      <w:r>
        <w:instrText xml:space="preserve"> HYPERLINK \l _Toc12428 </w:instrText>
      </w:r>
      <w:r>
        <w:fldChar w:fldCharType="separate"/>
      </w:r>
      <w:r>
        <w:rPr>
          <w:rFonts w:hint="eastAsia"/>
        </w:rPr>
        <w:t>（</w:t>
      </w:r>
      <w:r>
        <w:rPr>
          <w:rFonts w:hint="eastAsia"/>
          <w:lang w:val="en-US" w:eastAsia="zh-CN"/>
        </w:rPr>
        <w:t>三</w:t>
      </w:r>
      <w:r>
        <w:t>）</w:t>
      </w:r>
      <w:r>
        <w:rPr>
          <w:rFonts w:hint="eastAsia"/>
        </w:rPr>
        <w:t>承诺书</w:t>
      </w:r>
      <w:r>
        <w:tab/>
      </w:r>
      <w:r>
        <w:fldChar w:fldCharType="begin"/>
      </w:r>
      <w:r>
        <w:instrText xml:space="preserve"> PAGEREF _Toc12428 \h </w:instrText>
      </w:r>
      <w:r>
        <w:fldChar w:fldCharType="separate"/>
      </w:r>
      <w:r>
        <w:t>153</w:t>
      </w:r>
      <w:r>
        <w:fldChar w:fldCharType="end"/>
      </w:r>
      <w:r>
        <w:fldChar w:fldCharType="end"/>
      </w:r>
    </w:p>
    <w:p>
      <w:pPr>
        <w:pStyle w:val="23"/>
        <w:tabs>
          <w:tab w:val="right" w:leader="dot" w:pos="8504"/>
        </w:tabs>
      </w:pPr>
      <w:r>
        <w:fldChar w:fldCharType="begin"/>
      </w:r>
      <w:r>
        <w:instrText xml:space="preserve"> HYPERLINK \l _Toc9962 </w:instrText>
      </w:r>
      <w:r>
        <w:fldChar w:fldCharType="separate"/>
      </w:r>
      <w:r>
        <w:rPr>
          <w:rFonts w:hint="eastAsia"/>
        </w:rPr>
        <w:t>（</w:t>
      </w:r>
      <w:r>
        <w:rPr>
          <w:rFonts w:hint="eastAsia"/>
          <w:lang w:val="en-US" w:eastAsia="zh-CN"/>
        </w:rPr>
        <w:t>四</w:t>
      </w:r>
      <w:r>
        <w:t>）</w:t>
      </w:r>
      <w:r>
        <w:rPr>
          <w:rFonts w:hint="eastAsia"/>
        </w:rPr>
        <w:t>其他材料</w:t>
      </w:r>
      <w:r>
        <w:tab/>
      </w:r>
      <w:r>
        <w:fldChar w:fldCharType="begin"/>
      </w:r>
      <w:r>
        <w:instrText xml:space="preserve"> PAGEREF _Toc9962 \h </w:instrText>
      </w:r>
      <w:r>
        <w:fldChar w:fldCharType="separate"/>
      </w:r>
      <w:r>
        <w:t>156</w:t>
      </w:r>
      <w:r>
        <w:fldChar w:fldCharType="end"/>
      </w:r>
      <w:r>
        <w:fldChar w:fldCharType="end"/>
      </w:r>
    </w:p>
    <w:p>
      <w:pPr>
        <w:pStyle w:val="36"/>
        <w:tabs>
          <w:tab w:val="right" w:leader="dot" w:pos="8504"/>
        </w:tabs>
      </w:pPr>
      <w:r>
        <w:fldChar w:fldCharType="begin"/>
      </w:r>
      <w:r>
        <w:instrText xml:space="preserve"> HYPERLINK \l _Toc26432 </w:instrText>
      </w:r>
      <w:r>
        <w:fldChar w:fldCharType="separate"/>
      </w:r>
      <w:r>
        <w:rPr>
          <w:rFonts w:hint="eastAsia"/>
        </w:rPr>
        <w:t>四、技术标</w:t>
      </w:r>
      <w:r>
        <w:tab/>
      </w:r>
      <w:r>
        <w:fldChar w:fldCharType="begin"/>
      </w:r>
      <w:r>
        <w:instrText xml:space="preserve"> PAGEREF _Toc26432 \h </w:instrText>
      </w:r>
      <w:r>
        <w:fldChar w:fldCharType="separate"/>
      </w:r>
      <w:r>
        <w:t>157</w:t>
      </w:r>
      <w:r>
        <w:fldChar w:fldCharType="end"/>
      </w:r>
      <w:r>
        <w:fldChar w:fldCharType="end"/>
      </w:r>
    </w:p>
    <w:p>
      <w:pPr>
        <w:pStyle w:val="2"/>
        <w:jc w:val="center"/>
      </w:pPr>
      <w:r>
        <w:fldChar w:fldCharType="end"/>
      </w:r>
      <w:bookmarkEnd w:id="3"/>
      <w:bookmarkStart w:id="4" w:name="_Toc521085055"/>
      <w:bookmarkStart w:id="5" w:name="_Toc24971"/>
      <w:r>
        <w:rPr>
          <w:rFonts w:hint="eastAsia"/>
        </w:rPr>
        <w:t>第一章 招标公告</w:t>
      </w:r>
      <w:bookmarkEnd w:id="4"/>
      <w:bookmarkEnd w:id="5"/>
    </w:p>
    <w:p>
      <w:pPr>
        <w:pStyle w:val="39"/>
        <w:spacing w:before="0" w:beforeAutospacing="0" w:after="0" w:afterAutospacing="0" w:line="360" w:lineRule="auto"/>
        <w:ind w:firstLine="420"/>
        <w:jc w:val="center"/>
        <w:rPr>
          <w:rFonts w:hint="eastAsia" w:eastAsia="宋体" w:cs="微软雅黑"/>
          <w:b/>
          <w:bCs/>
          <w:sz w:val="32"/>
          <w:szCs w:val="32"/>
        </w:rPr>
      </w:pPr>
      <w:r>
        <w:rPr>
          <w:rFonts w:hint="eastAsia" w:eastAsia="宋体" w:cs="微软雅黑"/>
          <w:b/>
          <w:bCs/>
          <w:sz w:val="32"/>
          <w:szCs w:val="32"/>
          <w:lang w:eastAsia="zh-CN"/>
        </w:rPr>
        <w:t>唐河县2023年增发国债高标准农田项目配套低压输电线路工程</w:t>
      </w:r>
      <w:r>
        <w:rPr>
          <w:rFonts w:hint="eastAsia" w:eastAsia="宋体" w:cs="微软雅黑"/>
          <w:b/>
          <w:bCs/>
          <w:sz w:val="32"/>
          <w:szCs w:val="32"/>
        </w:rPr>
        <w:t>招标公告</w:t>
      </w:r>
    </w:p>
    <w:p>
      <w:pPr>
        <w:pStyle w:val="3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2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一、招标条件:</w:t>
      </w:r>
    </w:p>
    <w:p>
      <w:pPr>
        <w:pStyle w:val="3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2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唐河县2023年增发国债高标准农田项目配套低压输电线路工程</w:t>
      </w:r>
      <w:r>
        <w:rPr>
          <w:rFonts w:hint="eastAsia" w:ascii="宋体" w:hAnsi="宋体" w:eastAsia="宋体" w:cs="宋体"/>
          <w:color w:val="000000"/>
          <w:sz w:val="21"/>
          <w:szCs w:val="21"/>
        </w:rPr>
        <w:t>已由南阳市农业农村局（项目文号：宛农(2024）14号）和唐河县发展和改革委员会（项目文号：唐发改农经（2023）269号）投资项目统一代码</w:t>
      </w:r>
      <w:r>
        <w:rPr>
          <w:rFonts w:hint="eastAsia" w:ascii="宋体" w:hAnsi="宋体" w:eastAsia="宋体" w:cs="宋体"/>
          <w:color w:val="000000"/>
          <w:sz w:val="21"/>
          <w:szCs w:val="21"/>
          <w:lang w:val="en-US" w:eastAsia="zh-CN"/>
        </w:rPr>
        <w:t>2309-411328-04-01-819588</w:t>
      </w:r>
      <w:r>
        <w:rPr>
          <w:rFonts w:hint="eastAsia" w:ascii="宋体" w:hAnsi="宋体" w:eastAsia="宋体" w:cs="宋体"/>
          <w:color w:val="000000"/>
          <w:sz w:val="21"/>
          <w:szCs w:val="21"/>
        </w:rPr>
        <w:t>批准建设；资金来源为财政资金。招标人为唐河县农业农村发展服务中心，招标代理机构为河南</w:t>
      </w:r>
      <w:r>
        <w:rPr>
          <w:rFonts w:hint="eastAsia" w:eastAsia="宋体" w:cs="宋体"/>
          <w:color w:val="000000"/>
          <w:sz w:val="21"/>
          <w:szCs w:val="21"/>
          <w:lang w:eastAsia="zh-CN"/>
        </w:rPr>
        <w:t>宇盛</w:t>
      </w:r>
      <w:r>
        <w:rPr>
          <w:rFonts w:hint="eastAsia" w:ascii="宋体" w:hAnsi="宋体" w:eastAsia="宋体" w:cs="宋体"/>
          <w:color w:val="000000"/>
          <w:sz w:val="21"/>
          <w:szCs w:val="21"/>
        </w:rPr>
        <w:t>工程</w:t>
      </w:r>
      <w:r>
        <w:rPr>
          <w:rFonts w:hint="eastAsia" w:eastAsia="宋体" w:cs="宋体"/>
          <w:color w:val="000000"/>
          <w:sz w:val="21"/>
          <w:szCs w:val="21"/>
          <w:lang w:eastAsia="zh-CN"/>
        </w:rPr>
        <w:t>咨询</w:t>
      </w:r>
      <w:r>
        <w:rPr>
          <w:rFonts w:hint="eastAsia" w:ascii="宋体" w:hAnsi="宋体" w:eastAsia="宋体" w:cs="宋体"/>
          <w:color w:val="000000"/>
          <w:sz w:val="21"/>
          <w:szCs w:val="21"/>
        </w:rPr>
        <w:t>有限公司，项目已具备招标条件，现对该项目施工进行国内公开招标。本次招标采用全流程电子辅助招投标。</w:t>
      </w:r>
    </w:p>
    <w:p>
      <w:pPr>
        <w:pStyle w:val="3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2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二、项目概况及编号</w:t>
      </w:r>
    </w:p>
    <w:p>
      <w:pPr>
        <w:pStyle w:val="3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2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（1）工程名称：</w:t>
      </w:r>
      <w:r>
        <w:rPr>
          <w:rFonts w:hint="eastAsia" w:ascii="宋体" w:hAnsi="宋体" w:eastAsia="宋体" w:cs="宋体"/>
          <w:color w:val="000000"/>
          <w:sz w:val="21"/>
          <w:szCs w:val="21"/>
          <w:lang w:eastAsia="zh-CN"/>
        </w:rPr>
        <w:t>唐河县2023年增发国债高标准农田项目配套低压输电线路工程</w:t>
      </w:r>
    </w:p>
    <w:p>
      <w:pPr>
        <w:pStyle w:val="3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2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（2）招标编号：thggzygcjy-2024-038</w:t>
      </w:r>
    </w:p>
    <w:p>
      <w:pPr>
        <w:pStyle w:val="3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2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（3）建设地点：</w:t>
      </w:r>
      <w:r>
        <w:rPr>
          <w:rFonts w:hint="eastAsia" w:ascii="宋体" w:hAnsi="宋体" w:eastAsia="宋体" w:cs="宋体"/>
          <w:color w:val="000000"/>
          <w:sz w:val="21"/>
          <w:szCs w:val="21"/>
          <w:lang w:eastAsia="zh-CN"/>
        </w:rPr>
        <w:t>临港街道、古城乡、大河屯镇、东王集乡、毕店镇、咎岗乡、郭滩镇、湖阳镇、龙潭镇。</w:t>
      </w:r>
    </w:p>
    <w:p>
      <w:pPr>
        <w:pStyle w:val="3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2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（4）招标范围：施工图纸及工程量清单范围内的全部内容</w:t>
      </w:r>
    </w:p>
    <w:p>
      <w:pPr>
        <w:pStyle w:val="3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2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（5）工期：210日历天；</w:t>
      </w:r>
    </w:p>
    <w:p>
      <w:pPr>
        <w:pStyle w:val="3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2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（6）质量要求：合格</w:t>
      </w:r>
    </w:p>
    <w:p>
      <w:pPr>
        <w:pStyle w:val="3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20"/>
        <w:jc w:val="both"/>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（7）标段划分：共划分一个标段</w:t>
      </w:r>
      <w:r>
        <w:rPr>
          <w:rFonts w:hint="eastAsia" w:eastAsia="宋体" w:cs="宋体"/>
          <w:color w:val="000000"/>
          <w:sz w:val="21"/>
          <w:szCs w:val="21"/>
          <w:lang w:eastAsia="zh-CN"/>
        </w:rPr>
        <w:t>：配套低压输电线路</w:t>
      </w:r>
      <w:r>
        <w:rPr>
          <w:rFonts w:hint="eastAsia" w:eastAsia="宋体" w:cs="宋体"/>
          <w:color w:val="000000"/>
          <w:sz w:val="21"/>
          <w:szCs w:val="21"/>
          <w:lang w:val="en-US" w:eastAsia="zh-CN"/>
        </w:rPr>
        <w:t>427.64公里</w:t>
      </w:r>
    </w:p>
    <w:p>
      <w:pPr>
        <w:pStyle w:val="3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2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三、投标人资格要求:</w:t>
      </w:r>
    </w:p>
    <w:p>
      <w:pPr>
        <w:pStyle w:val="3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20"/>
        <w:jc w:val="both"/>
        <w:textAlignment w:val="auto"/>
        <w:rPr>
          <w:rFonts w:hint="eastAsia" w:cs="宋体"/>
          <w:color w:val="000000"/>
          <w:sz w:val="21"/>
          <w:szCs w:val="21"/>
          <w:lang w:eastAsia="zh-CN"/>
        </w:rPr>
      </w:pPr>
      <w:r>
        <w:rPr>
          <w:rFonts w:hint="eastAsia" w:ascii="宋体" w:hAnsi="宋体" w:eastAsia="宋体" w:cs="宋体"/>
          <w:color w:val="000000"/>
          <w:sz w:val="21"/>
          <w:szCs w:val="21"/>
        </w:rPr>
        <w:t>3.1、具有独立法人资格，持有有效的营业执照、组织机构代码证、税务登记证（或三证合一营业执照）</w:t>
      </w:r>
      <w:r>
        <w:rPr>
          <w:rFonts w:hint="eastAsia" w:cs="宋体"/>
          <w:color w:val="000000"/>
          <w:sz w:val="21"/>
          <w:szCs w:val="21"/>
          <w:lang w:eastAsia="zh-CN"/>
        </w:rPr>
        <w:t>。</w:t>
      </w:r>
    </w:p>
    <w:p>
      <w:pPr>
        <w:pStyle w:val="3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2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、须具有电力工程施工总承包</w:t>
      </w:r>
      <w:r>
        <w:rPr>
          <w:rFonts w:hint="eastAsia" w:cs="宋体"/>
          <w:color w:val="000000"/>
          <w:sz w:val="21"/>
          <w:szCs w:val="21"/>
          <w:lang w:eastAsia="zh-CN"/>
        </w:rPr>
        <w:t>叁</w:t>
      </w:r>
      <w:r>
        <w:rPr>
          <w:rFonts w:hint="eastAsia" w:ascii="宋体" w:hAnsi="宋体" w:eastAsia="宋体" w:cs="宋体"/>
          <w:color w:val="000000"/>
          <w:sz w:val="21"/>
          <w:szCs w:val="21"/>
        </w:rPr>
        <w:t>级及以上资质</w:t>
      </w:r>
      <w:r>
        <w:rPr>
          <w:rFonts w:hint="eastAsia" w:cs="宋体"/>
          <w:color w:val="000000"/>
          <w:sz w:val="21"/>
          <w:szCs w:val="21"/>
          <w:lang w:val="en-US" w:eastAsia="zh-CN"/>
        </w:rPr>
        <w:t>,</w:t>
      </w:r>
      <w:r>
        <w:rPr>
          <w:rFonts w:hint="eastAsia" w:ascii="宋体" w:hAnsi="宋体" w:eastAsia="宋体" w:cs="宋体"/>
          <w:color w:val="000000"/>
          <w:sz w:val="21"/>
          <w:szCs w:val="21"/>
        </w:rPr>
        <w:t>同时具有</w:t>
      </w:r>
      <w:r>
        <w:rPr>
          <w:rFonts w:hint="eastAsia" w:cs="宋体"/>
          <w:color w:val="000000"/>
          <w:sz w:val="21"/>
          <w:szCs w:val="21"/>
          <w:lang w:eastAsia="zh-CN"/>
        </w:rPr>
        <w:t>五</w:t>
      </w:r>
      <w:r>
        <w:rPr>
          <w:rFonts w:hint="eastAsia" w:ascii="宋体" w:hAnsi="宋体" w:eastAsia="宋体" w:cs="宋体"/>
          <w:color w:val="000000"/>
          <w:sz w:val="21"/>
          <w:szCs w:val="21"/>
        </w:rPr>
        <w:t>级及以上承装(修、试)电力设施许可证（承装类），同时具备有效的企业安全生产许可证，并在人员、设备、资金等方面具备相应的专业能力。</w:t>
      </w:r>
    </w:p>
    <w:p>
      <w:pPr>
        <w:pStyle w:val="3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20"/>
        <w:jc w:val="both"/>
        <w:textAlignment w:val="auto"/>
        <w:rPr>
          <w:rFonts w:hint="eastAsia" w:cs="宋体"/>
          <w:color w:val="000000"/>
          <w:sz w:val="21"/>
          <w:szCs w:val="21"/>
          <w:lang w:eastAsia="zh-CN"/>
        </w:rPr>
      </w:pPr>
      <w:r>
        <w:rPr>
          <w:rFonts w:hint="eastAsia" w:ascii="宋体" w:hAnsi="宋体" w:eastAsia="宋体" w:cs="宋体"/>
          <w:color w:val="000000"/>
          <w:sz w:val="21"/>
          <w:szCs w:val="21"/>
        </w:rPr>
        <w:t>3.3</w:t>
      </w:r>
      <w:r>
        <w:rPr>
          <w:rFonts w:hint="eastAsia" w:cs="宋体"/>
          <w:color w:val="000000"/>
          <w:sz w:val="21"/>
          <w:szCs w:val="21"/>
          <w:lang w:eastAsia="zh-CN"/>
        </w:rPr>
        <w:t>、</w:t>
      </w:r>
      <w:r>
        <w:rPr>
          <w:rFonts w:hint="eastAsia" w:ascii="宋体" w:hAnsi="宋体" w:eastAsia="宋体" w:cs="宋体"/>
          <w:color w:val="000000"/>
          <w:sz w:val="21"/>
          <w:szCs w:val="21"/>
        </w:rPr>
        <w:t>拟派项目经理须具有机电工程专业</w:t>
      </w:r>
      <w:r>
        <w:rPr>
          <w:rFonts w:hint="eastAsia" w:cs="宋体"/>
          <w:color w:val="000000"/>
          <w:sz w:val="21"/>
          <w:szCs w:val="21"/>
          <w:lang w:eastAsia="zh-CN"/>
        </w:rPr>
        <w:t>壹</w:t>
      </w:r>
      <w:r>
        <w:rPr>
          <w:rFonts w:hint="eastAsia" w:ascii="宋体" w:hAnsi="宋体" w:eastAsia="宋体" w:cs="宋体"/>
          <w:color w:val="000000"/>
          <w:sz w:val="21"/>
          <w:szCs w:val="21"/>
        </w:rPr>
        <w:t>级注册建造师资格，持有有效的安全生产考核合格证，且未在正在施工项目中担任项目经理(出具无在建承诺书)</w:t>
      </w:r>
      <w:r>
        <w:rPr>
          <w:rFonts w:hint="eastAsia" w:cs="宋体"/>
          <w:color w:val="000000"/>
          <w:sz w:val="21"/>
          <w:szCs w:val="21"/>
          <w:lang w:eastAsia="zh-CN"/>
        </w:rPr>
        <w:t>。</w:t>
      </w:r>
    </w:p>
    <w:p>
      <w:pPr>
        <w:pStyle w:val="3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2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3.4、投标人近三年度财务状况良好，没有财务被接管冻结、破产状态，提供近三年第三方机构出具的财务报告(2020-2022或 2021-2023 年度，成立未满三年的企业按已有年份计算;新成立企业不足一个自然年度的,可提供近期财务报表)。</w:t>
      </w:r>
    </w:p>
    <w:p>
      <w:pPr>
        <w:pStyle w:val="3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20"/>
        <w:jc w:val="both"/>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3.5、投标人出具的无行贿行为承诺函（承诺对象包括投标人、法定代表人、项目经理）</w:t>
      </w:r>
      <w:r>
        <w:rPr>
          <w:rFonts w:hint="eastAsia" w:cs="宋体"/>
          <w:color w:val="000000"/>
          <w:sz w:val="21"/>
          <w:szCs w:val="21"/>
          <w:lang w:eastAsia="zh-CN"/>
        </w:rPr>
        <w:t>。</w:t>
      </w:r>
    </w:p>
    <w:p>
      <w:pPr>
        <w:pStyle w:val="3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20"/>
        <w:jc w:val="both"/>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3.6、列入失信被执行人、重大税收违法案件当事人名单的投标人，拒绝参与本项目招投标活动；【查询渠道</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“信用中国”网站（www.creditchina.gov.cn）；“中国裁判文书网 ”（</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"http://wenshu.court.gov.cn/"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t>http://wenshu.court.gov.cn/</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t>）或“中国执行信息公开网”（</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"http://zxgk.court.gov.cn/"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t>http://zxgk.court.gov.cn/</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t>） 查询投标人相关主体（企业、法定代表人、项目经理） 的查询结果，凡被列入重大违法案件（刑事案件、强制清算与破产）的，依法限制其参与投标和工程建设】（提供网站截图加盖公章，查询日期不得早于招标公告发布之日）</w:t>
      </w:r>
      <w:r>
        <w:rPr>
          <w:rFonts w:hint="eastAsia" w:cs="宋体"/>
          <w:color w:val="000000"/>
          <w:sz w:val="21"/>
          <w:szCs w:val="21"/>
          <w:lang w:eastAsia="zh-CN"/>
        </w:rPr>
        <w:t>。</w:t>
      </w:r>
    </w:p>
    <w:p>
      <w:pPr>
        <w:pStyle w:val="3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2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3.7、本次招标实行资格后审，审查内容以投标截止时间前填报上传南阳市企业诚信库信息为准，过期更改的诚信库信息不作为本项目评审依据。开评标现场不接受诚信库信息原件。诚信库上传信息必须内容齐全，真实有效，原件扫描件清晰可辨。投标文件中资格审查资料应与上传南阳市诚信库信息一致。否则，由此造成应得分而未得分或资格审查不合格等情况的，由投标企业承担责任。</w:t>
      </w:r>
    </w:p>
    <w:p>
      <w:pPr>
        <w:pStyle w:val="3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2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3.8、本次招标不接受联合体投标，不允许分包和转包。</w:t>
      </w:r>
    </w:p>
    <w:p>
      <w:pPr>
        <w:pStyle w:val="3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2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四、招标文件的获取方法</w:t>
      </w:r>
    </w:p>
    <w:p>
      <w:pPr>
        <w:pStyle w:val="3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2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（1）招标文件的获取方式：网上下载</w:t>
      </w:r>
    </w:p>
    <w:p>
      <w:pPr>
        <w:pStyle w:val="3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2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潜在投标人</w:t>
      </w:r>
      <w:r>
        <w:rPr>
          <w:rFonts w:hint="eastAsia" w:cs="宋体"/>
          <w:color w:val="000000"/>
          <w:sz w:val="21"/>
          <w:szCs w:val="21"/>
          <w:lang w:val="en-US" w:eastAsia="zh-CN"/>
        </w:rPr>
        <w:t>须</w:t>
      </w:r>
      <w:r>
        <w:rPr>
          <w:rFonts w:hint="eastAsia" w:ascii="宋体" w:hAnsi="宋体" w:eastAsia="宋体" w:cs="宋体"/>
          <w:color w:val="000000"/>
          <w:sz w:val="21"/>
          <w:szCs w:val="21"/>
        </w:rPr>
        <w:t>办理CA数字证书，在南阳市交易平台诚信库进行登记注册，验证通过后可直接运用CA证书登录唐河县公共资源交易中心网站（www.thggzy.cn）诚信库会员系统进行网上下载招标文件。唐河县公共资源交易平台与南阳市公共资源交易平台诚信库系统互认共享、CA数字证书互认共享。</w:t>
      </w:r>
    </w:p>
    <w:p>
      <w:pPr>
        <w:pStyle w:val="3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2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（2）获取招标文件时间：2024年</w:t>
      </w:r>
      <w:r>
        <w:rPr>
          <w:rFonts w:hint="eastAsia" w:cs="宋体"/>
          <w:color w:val="000000"/>
          <w:sz w:val="21"/>
          <w:szCs w:val="21"/>
          <w:lang w:val="en-US" w:eastAsia="zh-CN"/>
        </w:rPr>
        <w:t>4</w:t>
      </w:r>
      <w:r>
        <w:rPr>
          <w:rFonts w:hint="eastAsia" w:ascii="宋体" w:hAnsi="宋体" w:eastAsia="宋体" w:cs="宋体"/>
          <w:color w:val="000000"/>
          <w:sz w:val="21"/>
          <w:szCs w:val="21"/>
        </w:rPr>
        <w:t>月</w:t>
      </w:r>
      <w:r>
        <w:rPr>
          <w:rFonts w:hint="eastAsia" w:cs="宋体"/>
          <w:color w:val="000000"/>
          <w:sz w:val="21"/>
          <w:szCs w:val="21"/>
          <w:lang w:val="en-US" w:eastAsia="zh-CN"/>
        </w:rPr>
        <w:t>22</w:t>
      </w:r>
      <w:r>
        <w:rPr>
          <w:rFonts w:hint="eastAsia" w:ascii="宋体" w:hAnsi="宋体" w:eastAsia="宋体" w:cs="宋体"/>
          <w:color w:val="000000"/>
          <w:sz w:val="21"/>
          <w:szCs w:val="21"/>
        </w:rPr>
        <w:t>日10时00分至2024年</w:t>
      </w:r>
      <w:r>
        <w:rPr>
          <w:rFonts w:hint="eastAsia" w:cs="宋体"/>
          <w:color w:val="000000"/>
          <w:sz w:val="21"/>
          <w:szCs w:val="21"/>
          <w:lang w:val="en-US" w:eastAsia="zh-CN"/>
        </w:rPr>
        <w:t>4</w:t>
      </w:r>
      <w:r>
        <w:rPr>
          <w:rFonts w:hint="eastAsia" w:ascii="宋体" w:hAnsi="宋体" w:eastAsia="宋体" w:cs="宋体"/>
          <w:color w:val="000000"/>
          <w:sz w:val="21"/>
          <w:szCs w:val="21"/>
        </w:rPr>
        <w:t>月</w:t>
      </w:r>
      <w:r>
        <w:rPr>
          <w:rFonts w:hint="eastAsia" w:cs="宋体"/>
          <w:color w:val="000000"/>
          <w:sz w:val="21"/>
          <w:szCs w:val="21"/>
          <w:lang w:val="en-US" w:eastAsia="zh-CN"/>
        </w:rPr>
        <w:t>30</w:t>
      </w:r>
      <w:r>
        <w:rPr>
          <w:rFonts w:hint="eastAsia" w:ascii="宋体" w:hAnsi="宋体" w:eastAsia="宋体" w:cs="宋体"/>
          <w:color w:val="000000"/>
          <w:sz w:val="21"/>
          <w:szCs w:val="21"/>
        </w:rPr>
        <w:t>日17时30分。</w:t>
      </w:r>
    </w:p>
    <w:p>
      <w:pPr>
        <w:pStyle w:val="3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2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（3）招标文件售价：本项目不收取招标文件费用。</w:t>
      </w:r>
    </w:p>
    <w:p>
      <w:pPr>
        <w:pStyle w:val="3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2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（4）成功下载本项目招标文件的投标单位为合格投标人。</w:t>
      </w:r>
    </w:p>
    <w:p>
      <w:pPr>
        <w:pStyle w:val="3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2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五、投标文件的递交时间及地点：</w:t>
      </w:r>
    </w:p>
    <w:p>
      <w:pPr>
        <w:pStyle w:val="3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2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（1）电子投标文件递交的截止时间及开标时间：2024年</w:t>
      </w:r>
      <w:r>
        <w:rPr>
          <w:rFonts w:hint="eastAsia" w:cs="宋体"/>
          <w:color w:val="000000"/>
          <w:sz w:val="21"/>
          <w:szCs w:val="21"/>
          <w:lang w:val="en-US" w:eastAsia="zh-CN"/>
        </w:rPr>
        <w:t>5</w:t>
      </w:r>
      <w:r>
        <w:rPr>
          <w:rFonts w:hint="eastAsia" w:ascii="宋体" w:hAnsi="宋体" w:eastAsia="宋体" w:cs="宋体"/>
          <w:color w:val="000000"/>
          <w:sz w:val="21"/>
          <w:szCs w:val="21"/>
        </w:rPr>
        <w:t>月</w:t>
      </w:r>
      <w:r>
        <w:rPr>
          <w:rFonts w:hint="eastAsia" w:cs="宋体"/>
          <w:color w:val="000000"/>
          <w:sz w:val="21"/>
          <w:szCs w:val="21"/>
          <w:lang w:val="en-US" w:eastAsia="zh-CN"/>
        </w:rPr>
        <w:t>15</w:t>
      </w:r>
      <w:r>
        <w:rPr>
          <w:rFonts w:hint="eastAsia" w:ascii="宋体" w:hAnsi="宋体" w:eastAsia="宋体" w:cs="宋体"/>
          <w:color w:val="000000"/>
          <w:sz w:val="21"/>
          <w:szCs w:val="21"/>
        </w:rPr>
        <w:t>日上午9:30整；</w:t>
      </w:r>
    </w:p>
    <w:p>
      <w:pPr>
        <w:pStyle w:val="3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2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（2）开标地点：唐河县公共资源交易中心第</w:t>
      </w:r>
      <w:r>
        <w:rPr>
          <w:rFonts w:hint="eastAsia" w:ascii="宋体" w:hAnsi="宋体" w:eastAsia="宋体" w:cs="宋体"/>
          <w:color w:val="000000"/>
          <w:sz w:val="21"/>
          <w:szCs w:val="21"/>
          <w:lang w:val="en-US" w:eastAsia="zh-CN"/>
        </w:rPr>
        <w:t>三</w:t>
      </w:r>
      <w:r>
        <w:rPr>
          <w:rFonts w:hint="eastAsia" w:ascii="宋体" w:hAnsi="宋体" w:eastAsia="宋体" w:cs="宋体"/>
          <w:color w:val="000000"/>
          <w:sz w:val="21"/>
          <w:szCs w:val="21"/>
        </w:rPr>
        <w:t>开标室（本项目采用网上不见面方式开标，投标企业无需到达开标现场）；</w:t>
      </w:r>
    </w:p>
    <w:p>
      <w:pPr>
        <w:pStyle w:val="3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2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该项目需要使用不见面开标，告知投标人无需前往现场来参与投标。各投标人根据手册要求，提前做好相关准备工作。附件：操作手册地址(下载中心或办事指南中自行下载)、不见面开标大厅地址：唐河县公共资源交易中心网站首页“不见面开标大厅”模块。</w:t>
      </w:r>
    </w:p>
    <w:p>
      <w:pPr>
        <w:pStyle w:val="3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2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（4）该项目自行上传投标文件，无需寄送和递交非加密投标文件光盘等。</w:t>
      </w:r>
    </w:p>
    <w:p>
      <w:pPr>
        <w:pStyle w:val="3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2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（5）因投标人无需现场参与开标，所有准备工作需要自行到位。开标过程中如遇到紧急事项，可在不见面开标大厅中进行提出异议或文字交流。</w:t>
      </w:r>
    </w:p>
    <w:p>
      <w:pPr>
        <w:pStyle w:val="3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2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（6）不见面开标过程中，如投标人准备不到位，造成无法及时解密、网络问题等情况造成开标无法继续的，视为该投标人自动放弃投标（</w:t>
      </w:r>
      <w:r>
        <w:rPr>
          <w:rFonts w:hint="eastAsia" w:cs="宋体"/>
          <w:color w:val="000000"/>
          <w:sz w:val="21"/>
          <w:szCs w:val="21"/>
          <w:lang w:val="en-US" w:eastAsia="zh-CN"/>
        </w:rPr>
        <w:t>60</w:t>
      </w:r>
      <w:r>
        <w:rPr>
          <w:rFonts w:hint="eastAsia" w:ascii="宋体" w:hAnsi="宋体" w:eastAsia="宋体" w:cs="宋体"/>
          <w:color w:val="000000"/>
          <w:sz w:val="21"/>
          <w:szCs w:val="21"/>
        </w:rPr>
        <w:t>分钟内），将被退回投标文件；</w:t>
      </w:r>
    </w:p>
    <w:p>
      <w:pPr>
        <w:pStyle w:val="3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2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（7）电子投标文件应在招标文件规定的投标截止时间前到达交易系统。逾期到达交易系统的电子投标文件视为放弃本次投标。</w:t>
      </w:r>
    </w:p>
    <w:p>
      <w:pPr>
        <w:pStyle w:val="3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2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六、本次招标项目招标人不组织踏勘现场和投标预备会。</w:t>
      </w:r>
    </w:p>
    <w:p>
      <w:pPr>
        <w:pStyle w:val="3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2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七、发布公告的媒介：</w:t>
      </w:r>
    </w:p>
    <w:p>
      <w:pPr>
        <w:pStyle w:val="3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2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本次招标公告同时在《中国招标投标公共服务平台》、《河南省电子招标投标公共服务平台》、《唐河县公共资源交易中心》发布。</w:t>
      </w:r>
    </w:p>
    <w:p>
      <w:pPr>
        <w:pStyle w:val="39"/>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20"/>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八、联系方式:</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招标人：唐河县农业农村发展服务中心</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联系人：郭女士</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联系电话：13569267990</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联系地址：唐河县凤山南路</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监督单位：唐河县农业农村局</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联系人：刘先生</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联系电话：18638953996</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地址：唐河县新春路北段</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rPr>
      </w:pPr>
      <w:r>
        <w:rPr>
          <w:rFonts w:hint="eastAsia" w:ascii="宋体" w:hAnsi="宋体" w:eastAsia="宋体" w:cs="宋体"/>
        </w:rPr>
        <w:t>招标代理机构：</w:t>
      </w:r>
      <w:r>
        <w:rPr>
          <w:rFonts w:hint="eastAsia" w:ascii="宋体" w:hAnsi="宋体" w:eastAsia="宋体" w:cs="宋体"/>
          <w:kern w:val="0"/>
          <w:sz w:val="21"/>
          <w:szCs w:val="21"/>
          <w:lang w:bidi="ar"/>
        </w:rPr>
        <w:t>河南宇盛工程咨询有限公司</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default" w:ascii="宋体" w:hAnsi="宋体" w:eastAsia="宋体" w:cs="宋体"/>
          <w:lang w:val="en-US" w:eastAsia="zh-CN"/>
        </w:rPr>
      </w:pPr>
      <w:r>
        <w:rPr>
          <w:rFonts w:hint="eastAsia" w:ascii="宋体" w:hAnsi="宋体" w:eastAsia="宋体" w:cs="宋体"/>
        </w:rPr>
        <w:t>联系人：</w:t>
      </w:r>
      <w:r>
        <w:rPr>
          <w:rFonts w:hint="eastAsia" w:ascii="宋体" w:hAnsi="宋体" w:eastAsia="宋体" w:cs="宋体"/>
          <w:lang w:eastAsia="zh-CN"/>
        </w:rPr>
        <w:t>高朋林</w:t>
      </w:r>
      <w:r>
        <w:rPr>
          <w:rFonts w:hint="eastAsia" w:ascii="宋体" w:hAnsi="宋体" w:eastAsia="宋体" w:cs="宋体"/>
          <w:lang w:val="en-US" w:eastAsia="zh-CN"/>
        </w:rPr>
        <w:tab/>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rPr>
      </w:pPr>
      <w:r>
        <w:rPr>
          <w:rFonts w:hint="eastAsia" w:ascii="宋体" w:hAnsi="宋体" w:eastAsia="宋体" w:cs="宋体"/>
        </w:rPr>
        <w:t>电 话：</w:t>
      </w:r>
      <w:r>
        <w:rPr>
          <w:rFonts w:hint="eastAsia" w:ascii="宋体" w:hAnsi="宋体" w:eastAsia="宋体" w:cs="宋体"/>
          <w:lang w:val="en-US" w:eastAsia="zh-CN"/>
        </w:rPr>
        <w:t>18623908338</w:t>
      </w:r>
      <w:r>
        <w:rPr>
          <w:rFonts w:hint="eastAsia" w:ascii="宋体" w:hAnsi="宋体" w:eastAsia="宋体" w:cs="宋体"/>
        </w:rPr>
        <w:t> </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rPr>
      </w:pPr>
      <w:r>
        <w:rPr>
          <w:rFonts w:hint="eastAsia" w:ascii="宋体" w:hAnsi="宋体" w:eastAsia="宋体" w:cs="宋体"/>
        </w:rPr>
        <w:t>地 址：河南省南阳市卧龙区七一街道车站路660号(车站路与七一路交叉口向北60米路东四楼)</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唐河县公共资源交易中心</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联系人：</w:t>
      </w:r>
      <w:r>
        <w:rPr>
          <w:rFonts w:hint="eastAsia" w:ascii="宋体" w:hAnsi="宋体" w:eastAsia="宋体" w:cs="宋体"/>
          <w:color w:val="000000"/>
          <w:sz w:val="21"/>
          <w:szCs w:val="21"/>
          <w:lang w:val="en-US" w:eastAsia="zh-CN"/>
        </w:rPr>
        <w:t>杨</w:t>
      </w:r>
      <w:r>
        <w:rPr>
          <w:rFonts w:hint="eastAsia" w:ascii="宋体" w:hAnsi="宋体" w:eastAsia="宋体" w:cs="宋体"/>
          <w:color w:val="000000"/>
          <w:sz w:val="21"/>
          <w:szCs w:val="21"/>
        </w:rPr>
        <w:t>先生</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电话：0377-68513299</w:t>
      </w:r>
    </w:p>
    <w:p>
      <w:pPr>
        <w:keepNext w:val="0"/>
        <w:keepLines w:val="0"/>
        <w:pageBreakBefore w:val="0"/>
        <w:kinsoku/>
        <w:wordWrap/>
        <w:overflowPunct/>
        <w:topLinePunct w:val="0"/>
        <w:autoSpaceDE/>
        <w:autoSpaceDN/>
        <w:bidi w:val="0"/>
        <w:adjustRightInd/>
        <w:snapToGrid/>
        <w:spacing w:line="46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地址：唐河县和谐广场三号楼</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adjustRightInd/>
        <w:snapToGrid/>
        <w:spacing w:line="460" w:lineRule="exact"/>
        <w:jc w:val="righ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唐河县农业农村发展服务中心</w:t>
      </w:r>
    </w:p>
    <w:p>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000000"/>
          <w:sz w:val="21"/>
          <w:szCs w:val="21"/>
        </w:rPr>
      </w:pPr>
      <w:r>
        <w:rPr>
          <w:rFonts w:hint="eastAsia" w:ascii="宋体" w:hAnsi="宋体" w:eastAsia="宋体" w:cs="宋体"/>
          <w:kern w:val="0"/>
          <w:sz w:val="21"/>
          <w:szCs w:val="21"/>
          <w:lang w:bidi="ar"/>
        </w:rPr>
        <w:t>河南宇盛工程咨询有限公司</w:t>
      </w:r>
    </w:p>
    <w:p>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2024年</w:t>
      </w:r>
      <w:r>
        <w:rPr>
          <w:rFonts w:hint="eastAsia" w:ascii="宋体" w:hAnsi="宋体" w:eastAsia="宋体" w:cs="宋体"/>
          <w:color w:val="000000"/>
          <w:sz w:val="21"/>
          <w:szCs w:val="21"/>
          <w:lang w:val="en-US" w:eastAsia="zh-CN"/>
        </w:rPr>
        <w:t xml:space="preserve"> </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月</w:t>
      </w:r>
      <w:r>
        <w:rPr>
          <w:rFonts w:hint="eastAsia" w:ascii="宋体" w:hAnsi="宋体" w:eastAsia="宋体" w:cs="宋体"/>
          <w:color w:val="000000"/>
          <w:sz w:val="21"/>
          <w:szCs w:val="21"/>
          <w:lang w:val="en-US" w:eastAsia="zh-CN"/>
        </w:rPr>
        <w:t xml:space="preserve"> </w:t>
      </w:r>
      <w:r>
        <w:rPr>
          <w:rFonts w:hint="eastAsia" w:ascii="宋体" w:hAnsi="宋体" w:cs="宋体"/>
          <w:color w:val="000000"/>
          <w:sz w:val="21"/>
          <w:szCs w:val="21"/>
          <w:lang w:val="en-US" w:eastAsia="zh-CN"/>
        </w:rPr>
        <w:t>19</w:t>
      </w:r>
      <w:r>
        <w:rPr>
          <w:rFonts w:hint="eastAsia" w:ascii="宋体" w:hAnsi="宋体" w:eastAsia="宋体" w:cs="宋体"/>
          <w:color w:val="000000"/>
          <w:sz w:val="21"/>
          <w:szCs w:val="21"/>
          <w:lang w:val="en-US" w:eastAsia="zh-CN"/>
        </w:rPr>
        <w:t xml:space="preserve"> </w:t>
      </w:r>
      <w:r>
        <w:rPr>
          <w:rFonts w:hint="eastAsia" w:ascii="宋体" w:hAnsi="宋体" w:eastAsia="宋体" w:cs="宋体"/>
          <w:color w:val="000000"/>
          <w:sz w:val="21"/>
          <w:szCs w:val="21"/>
        </w:rPr>
        <w:t>日</w:t>
      </w:r>
    </w:p>
    <w:p>
      <w:pPr>
        <w:rPr>
          <w:rFonts w:ascii="Tahoma" w:hAnsi="Tahoma" w:eastAsia="微软雅黑"/>
          <w:szCs w:val="22"/>
        </w:rPr>
      </w:pPr>
    </w:p>
    <w:p>
      <w:pPr>
        <w:widowControl/>
        <w:jc w:val="left"/>
      </w:pPr>
      <w:r>
        <w:br w:type="page"/>
      </w:r>
    </w:p>
    <w:p>
      <w:pPr>
        <w:pStyle w:val="2"/>
        <w:jc w:val="center"/>
      </w:pPr>
      <w:bookmarkStart w:id="6" w:name="_Toc273437282"/>
      <w:bookmarkStart w:id="7" w:name="_Toc267475030"/>
      <w:bookmarkStart w:id="8" w:name="_Toc263403031"/>
      <w:bookmarkStart w:id="9" w:name="_Toc152042303"/>
      <w:bookmarkStart w:id="10" w:name="_Toc152045527"/>
      <w:bookmarkStart w:id="11" w:name="_Toc263777125"/>
      <w:bookmarkStart w:id="12" w:name="_Toc144974495"/>
      <w:bookmarkStart w:id="13" w:name="_Toc24206"/>
      <w:r>
        <w:t>第</w:t>
      </w:r>
      <w:r>
        <w:rPr>
          <w:rFonts w:hint="eastAsia"/>
        </w:rPr>
        <w:t>二</w:t>
      </w:r>
      <w:r>
        <w:t>章 投标人须知</w:t>
      </w:r>
      <w:bookmarkEnd w:id="6"/>
      <w:bookmarkEnd w:id="7"/>
      <w:bookmarkEnd w:id="8"/>
      <w:bookmarkEnd w:id="9"/>
      <w:bookmarkEnd w:id="10"/>
      <w:bookmarkEnd w:id="11"/>
      <w:bookmarkEnd w:id="12"/>
      <w:bookmarkEnd w:id="13"/>
    </w:p>
    <w:p>
      <w:pPr>
        <w:pStyle w:val="4"/>
        <w:jc w:val="center"/>
      </w:pPr>
      <w:bookmarkStart w:id="14" w:name="_Toc273437283"/>
      <w:bookmarkStart w:id="15" w:name="_Toc152042304"/>
      <w:bookmarkStart w:id="16" w:name="_Toc144974496"/>
      <w:bookmarkStart w:id="17" w:name="_Toc263403032"/>
      <w:bookmarkStart w:id="18" w:name="_Toc152045528"/>
      <w:bookmarkStart w:id="19" w:name="_Toc267475031"/>
      <w:bookmarkStart w:id="20" w:name="_Toc263777126"/>
      <w:bookmarkStart w:id="21" w:name="_Toc22045"/>
      <w:r>
        <w:t>投标人须知前附表</w:t>
      </w:r>
      <w:bookmarkEnd w:id="14"/>
      <w:bookmarkEnd w:id="15"/>
      <w:bookmarkEnd w:id="16"/>
      <w:bookmarkEnd w:id="17"/>
      <w:bookmarkEnd w:id="18"/>
      <w:bookmarkEnd w:id="19"/>
      <w:bookmarkEnd w:id="20"/>
      <w:bookmarkEnd w:id="21"/>
    </w:p>
    <w:tbl>
      <w:tblPr>
        <w:tblStyle w:val="44"/>
        <w:tblW w:w="10159" w:type="dxa"/>
        <w:tblInd w:w="108" w:type="dxa"/>
        <w:tblLayout w:type="fixed"/>
        <w:tblCellMar>
          <w:top w:w="0" w:type="dxa"/>
          <w:left w:w="108" w:type="dxa"/>
          <w:bottom w:w="0" w:type="dxa"/>
          <w:right w:w="108" w:type="dxa"/>
        </w:tblCellMar>
      </w:tblPr>
      <w:tblGrid>
        <w:gridCol w:w="904"/>
        <w:gridCol w:w="1786"/>
        <w:gridCol w:w="1582"/>
        <w:gridCol w:w="4209"/>
        <w:gridCol w:w="1678"/>
      </w:tblGrid>
      <w:tr>
        <w:tblPrEx>
          <w:tblCellMar>
            <w:top w:w="0" w:type="dxa"/>
            <w:left w:w="108" w:type="dxa"/>
            <w:bottom w:w="0" w:type="dxa"/>
            <w:right w:w="108" w:type="dxa"/>
          </w:tblCellMar>
        </w:tblPrEx>
        <w:trPr>
          <w:gridAfter w:val="1"/>
          <w:wAfter w:w="1678" w:type="dxa"/>
          <w:trHeight w:val="567" w:hRule="atLeast"/>
          <w:tblHeader/>
        </w:trPr>
        <w:tc>
          <w:tcPr>
            <w:tcW w:w="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rPr>
              <w:t>条款号</w:t>
            </w:r>
          </w:p>
        </w:tc>
        <w:tc>
          <w:tcPr>
            <w:tcW w:w="17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rPr>
              <w:t>条款名称</w:t>
            </w:r>
          </w:p>
        </w:tc>
        <w:tc>
          <w:tcPr>
            <w:tcW w:w="579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rPr>
            </w:pPr>
            <w:r>
              <w:rPr>
                <w:rFonts w:ascii="宋体" w:hAnsi="宋体"/>
              </w:rPr>
              <w:t>编  列  内  容</w:t>
            </w:r>
          </w:p>
        </w:tc>
      </w:tr>
      <w:tr>
        <w:tblPrEx>
          <w:tblCellMar>
            <w:top w:w="0" w:type="dxa"/>
            <w:left w:w="108" w:type="dxa"/>
            <w:bottom w:w="0" w:type="dxa"/>
            <w:right w:w="108" w:type="dxa"/>
          </w:tblCellMar>
        </w:tblPrEx>
        <w:trPr>
          <w:gridAfter w:val="1"/>
          <w:wAfter w:w="1678" w:type="dxa"/>
          <w:trHeight w:val="567" w:hRule="atLeast"/>
        </w:trPr>
        <w:tc>
          <w:tcPr>
            <w:tcW w:w="9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left"/>
              <w:rPr>
                <w:rFonts w:ascii="宋体" w:hAnsi="宋体"/>
              </w:rPr>
            </w:pPr>
            <w:r>
              <w:rPr>
                <w:rFonts w:ascii="宋体" w:hAnsi="宋体"/>
              </w:rPr>
              <w:t>1.1.</w:t>
            </w:r>
            <w:r>
              <w:rPr>
                <w:rFonts w:hint="eastAsia" w:ascii="宋体" w:hAnsi="宋体"/>
              </w:rPr>
              <w:t>1</w:t>
            </w:r>
          </w:p>
        </w:tc>
        <w:tc>
          <w:tcPr>
            <w:tcW w:w="178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rPr>
            </w:pPr>
            <w:r>
              <w:rPr>
                <w:rFonts w:ascii="宋体" w:hAnsi="宋体"/>
              </w:rPr>
              <w:t>招标人</w:t>
            </w:r>
          </w:p>
        </w:tc>
        <w:tc>
          <w:tcPr>
            <w:tcW w:w="579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hint="eastAsia" w:ascii="宋体" w:hAnsi="宋体"/>
              </w:rPr>
            </w:pPr>
            <w:r>
              <w:rPr>
                <w:rFonts w:hint="eastAsia" w:ascii="宋体" w:hAnsi="宋体"/>
              </w:rPr>
              <w:t>名称：唐河县农业农村发展服务中心</w:t>
            </w:r>
          </w:p>
          <w:p>
            <w:pPr>
              <w:pageBreakBefore w:val="0"/>
              <w:kinsoku/>
              <w:wordWrap/>
              <w:overflowPunct/>
              <w:topLinePunct w:val="0"/>
              <w:autoSpaceDE/>
              <w:autoSpaceDN/>
              <w:bidi w:val="0"/>
              <w:spacing w:line="360" w:lineRule="auto"/>
              <w:rPr>
                <w:rFonts w:ascii="宋体" w:hAnsi="宋体"/>
              </w:rPr>
            </w:pPr>
            <w:r>
              <w:rPr>
                <w:rFonts w:hint="eastAsia" w:ascii="宋体" w:hAnsi="宋体"/>
              </w:rPr>
              <w:t>联系人：郭女士</w:t>
            </w:r>
          </w:p>
          <w:p>
            <w:pPr>
              <w:pageBreakBefore w:val="0"/>
              <w:kinsoku/>
              <w:wordWrap/>
              <w:overflowPunct/>
              <w:topLinePunct w:val="0"/>
              <w:autoSpaceDE/>
              <w:autoSpaceDN/>
              <w:bidi w:val="0"/>
              <w:spacing w:line="360" w:lineRule="auto"/>
              <w:rPr>
                <w:rFonts w:hint="eastAsia" w:ascii="宋体" w:hAnsi="宋体"/>
              </w:rPr>
            </w:pPr>
            <w:r>
              <w:rPr>
                <w:rFonts w:hint="eastAsia" w:ascii="宋体" w:hAnsi="宋体"/>
              </w:rPr>
              <w:t>联系电话：13569267990</w:t>
            </w:r>
          </w:p>
          <w:p>
            <w:pPr>
              <w:pageBreakBefore w:val="0"/>
              <w:kinsoku/>
              <w:wordWrap/>
              <w:overflowPunct/>
              <w:topLinePunct w:val="0"/>
              <w:autoSpaceDE/>
              <w:autoSpaceDN/>
              <w:bidi w:val="0"/>
              <w:spacing w:line="360" w:lineRule="auto"/>
              <w:rPr>
                <w:rFonts w:ascii="宋体" w:hAnsi="宋体"/>
              </w:rPr>
            </w:pPr>
            <w:r>
              <w:rPr>
                <w:rFonts w:hint="eastAsia" w:ascii="宋体" w:hAnsi="宋体"/>
              </w:rPr>
              <w:t>地  址：唐河县凤山南路</w:t>
            </w:r>
          </w:p>
          <w:p>
            <w:pPr>
              <w:pageBreakBefore w:val="0"/>
              <w:kinsoku/>
              <w:wordWrap/>
              <w:overflowPunct/>
              <w:topLinePunct w:val="0"/>
              <w:autoSpaceDE/>
              <w:autoSpaceDN/>
              <w:bidi w:val="0"/>
              <w:spacing w:line="360" w:lineRule="auto"/>
              <w:rPr>
                <w:rFonts w:ascii="宋体" w:hAnsi="宋体"/>
              </w:rPr>
            </w:pPr>
            <w:r>
              <w:rPr>
                <w:rFonts w:hint="eastAsia" w:ascii="宋体" w:hAnsi="宋体"/>
              </w:rPr>
              <w:t>电子邮件：</w:t>
            </w:r>
            <w:bookmarkStart w:id="22" w:name="EB39048555aa614f01a9467b834ddb74b2"/>
            <w:r>
              <w:rPr>
                <w:rFonts w:hint="eastAsia" w:ascii="宋体" w:hAnsi="宋体"/>
              </w:rPr>
              <w:t>/</w:t>
            </w:r>
            <w:bookmarkEnd w:id="22"/>
          </w:p>
        </w:tc>
      </w:tr>
      <w:tr>
        <w:tblPrEx>
          <w:tblCellMar>
            <w:top w:w="0" w:type="dxa"/>
            <w:left w:w="108" w:type="dxa"/>
            <w:bottom w:w="0" w:type="dxa"/>
            <w:right w:w="108" w:type="dxa"/>
          </w:tblCellMar>
        </w:tblPrEx>
        <w:trPr>
          <w:gridAfter w:val="1"/>
          <w:wAfter w:w="1678" w:type="dxa"/>
          <w:trHeight w:val="567" w:hRule="atLeast"/>
        </w:trPr>
        <w:tc>
          <w:tcPr>
            <w:tcW w:w="9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left"/>
              <w:rPr>
                <w:rFonts w:ascii="宋体" w:hAnsi="宋体"/>
              </w:rPr>
            </w:pPr>
            <w:r>
              <w:rPr>
                <w:rFonts w:ascii="宋体" w:hAnsi="宋体"/>
              </w:rPr>
              <w:t>1.1.</w:t>
            </w:r>
            <w:r>
              <w:rPr>
                <w:rFonts w:hint="eastAsia" w:ascii="宋体" w:hAnsi="宋体"/>
              </w:rPr>
              <w:t>2</w:t>
            </w:r>
          </w:p>
        </w:tc>
        <w:tc>
          <w:tcPr>
            <w:tcW w:w="178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rPr>
            </w:pPr>
            <w:r>
              <w:rPr>
                <w:rFonts w:ascii="宋体" w:hAnsi="宋体"/>
              </w:rPr>
              <w:t>招标代理机构</w:t>
            </w:r>
          </w:p>
        </w:tc>
        <w:tc>
          <w:tcPr>
            <w:tcW w:w="579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eastAsia="宋体"/>
                <w:color w:val="000000"/>
              </w:rPr>
            </w:pPr>
            <w:r>
              <w:rPr>
                <w:rFonts w:hint="eastAsia" w:ascii="宋体" w:hAnsi="宋体" w:eastAsia="宋体"/>
                <w:color w:val="000000"/>
              </w:rPr>
              <w:t>名称：</w:t>
            </w:r>
            <w:r>
              <w:rPr>
                <w:rFonts w:hint="eastAsia" w:ascii="宋体" w:hAnsi="宋体" w:eastAsia="宋体" w:cs="宋体"/>
                <w:kern w:val="0"/>
                <w:sz w:val="21"/>
                <w:szCs w:val="21"/>
                <w:lang w:bidi="ar"/>
              </w:rPr>
              <w:t>河南宇盛工程咨询有限公司</w:t>
            </w:r>
          </w:p>
          <w:p>
            <w:pPr>
              <w:pageBreakBefore w:val="0"/>
              <w:kinsoku/>
              <w:wordWrap/>
              <w:overflowPunct/>
              <w:topLinePunct w:val="0"/>
              <w:autoSpaceDE/>
              <w:autoSpaceDN/>
              <w:bidi w:val="0"/>
              <w:spacing w:line="360" w:lineRule="auto"/>
              <w:rPr>
                <w:rFonts w:ascii="宋体" w:hAnsi="宋体" w:eastAsia="宋体"/>
                <w:color w:val="000000"/>
              </w:rPr>
            </w:pPr>
            <w:r>
              <w:rPr>
                <w:rFonts w:hint="eastAsia" w:ascii="宋体" w:hAnsi="宋体" w:eastAsia="宋体"/>
                <w:color w:val="000000"/>
              </w:rPr>
              <w:t>地址：</w:t>
            </w:r>
            <w:r>
              <w:rPr>
                <w:rFonts w:hint="eastAsia" w:ascii="宋体" w:hAnsi="宋体" w:eastAsia="宋体" w:cs="宋体"/>
              </w:rPr>
              <w:t>河南省南阳市卧龙区七一街道车站路660号(车站路与七一路交叉口向北60米路东四楼)</w:t>
            </w:r>
          </w:p>
          <w:p>
            <w:pPr>
              <w:pageBreakBefore w:val="0"/>
              <w:kinsoku/>
              <w:wordWrap/>
              <w:overflowPunct/>
              <w:topLinePunct w:val="0"/>
              <w:autoSpaceDE/>
              <w:autoSpaceDN/>
              <w:bidi w:val="0"/>
              <w:spacing w:line="360" w:lineRule="auto"/>
              <w:rPr>
                <w:rFonts w:hint="eastAsia" w:ascii="宋体" w:hAnsi="宋体" w:eastAsia="宋体"/>
                <w:color w:val="000000"/>
                <w:lang w:eastAsia="zh-CN"/>
              </w:rPr>
            </w:pPr>
            <w:r>
              <w:rPr>
                <w:rFonts w:hint="eastAsia" w:ascii="宋体" w:hAnsi="宋体" w:eastAsia="宋体"/>
                <w:color w:val="000000"/>
              </w:rPr>
              <w:t>联系人：</w:t>
            </w:r>
            <w:r>
              <w:rPr>
                <w:rFonts w:hint="eastAsia" w:ascii="宋体" w:hAnsi="宋体" w:eastAsia="宋体"/>
                <w:color w:val="000000"/>
                <w:lang w:eastAsia="zh-CN"/>
              </w:rPr>
              <w:t>高朋林</w:t>
            </w:r>
          </w:p>
          <w:p>
            <w:pPr>
              <w:pageBreakBefore w:val="0"/>
              <w:kinsoku/>
              <w:wordWrap/>
              <w:overflowPunct/>
              <w:topLinePunct w:val="0"/>
              <w:autoSpaceDE/>
              <w:autoSpaceDN/>
              <w:bidi w:val="0"/>
              <w:spacing w:line="360" w:lineRule="auto"/>
              <w:rPr>
                <w:rFonts w:hint="default" w:ascii="宋体" w:hAnsi="宋体" w:eastAsia="宋体"/>
                <w:color w:val="000000"/>
                <w:lang w:val="en-US" w:eastAsia="zh-CN"/>
              </w:rPr>
            </w:pPr>
            <w:r>
              <w:rPr>
                <w:rFonts w:hint="eastAsia" w:ascii="宋体" w:hAnsi="宋体" w:eastAsia="宋体"/>
                <w:color w:val="000000"/>
              </w:rPr>
              <w:t>电话：</w:t>
            </w:r>
            <w:r>
              <w:rPr>
                <w:rFonts w:hint="eastAsia" w:ascii="宋体" w:hAnsi="宋体" w:eastAsia="宋体"/>
                <w:color w:val="000000"/>
                <w:lang w:val="en-US" w:eastAsia="zh-CN"/>
              </w:rPr>
              <w:t>18623908338</w:t>
            </w:r>
          </w:p>
          <w:p>
            <w:pPr>
              <w:pageBreakBefore w:val="0"/>
              <w:kinsoku/>
              <w:wordWrap/>
              <w:overflowPunct/>
              <w:topLinePunct w:val="0"/>
              <w:autoSpaceDE/>
              <w:autoSpaceDN/>
              <w:bidi w:val="0"/>
              <w:spacing w:line="360" w:lineRule="auto"/>
              <w:rPr>
                <w:rFonts w:ascii="宋体" w:hAnsi="宋体"/>
              </w:rPr>
            </w:pPr>
            <w:r>
              <w:rPr>
                <w:rFonts w:hint="eastAsia" w:ascii="宋体" w:hAnsi="宋体" w:eastAsia="宋体"/>
                <w:color w:val="000000"/>
              </w:rPr>
              <w:t>电子邮件：/</w:t>
            </w:r>
          </w:p>
        </w:tc>
      </w:tr>
      <w:tr>
        <w:tblPrEx>
          <w:tblCellMar>
            <w:top w:w="0" w:type="dxa"/>
            <w:left w:w="108" w:type="dxa"/>
            <w:bottom w:w="0" w:type="dxa"/>
            <w:right w:w="108" w:type="dxa"/>
          </w:tblCellMar>
        </w:tblPrEx>
        <w:trPr>
          <w:gridAfter w:val="1"/>
          <w:wAfter w:w="1678" w:type="dxa"/>
          <w:trHeight w:val="567" w:hRule="atLeast"/>
        </w:trPr>
        <w:tc>
          <w:tcPr>
            <w:tcW w:w="9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left"/>
              <w:rPr>
                <w:rFonts w:ascii="宋体" w:hAnsi="宋体"/>
              </w:rPr>
            </w:pPr>
            <w:r>
              <w:rPr>
                <w:rFonts w:ascii="宋体" w:hAnsi="宋体"/>
              </w:rPr>
              <w:t>1.1.</w:t>
            </w:r>
            <w:r>
              <w:rPr>
                <w:rFonts w:hint="eastAsia" w:ascii="宋体" w:hAnsi="宋体"/>
              </w:rPr>
              <w:t>3</w:t>
            </w:r>
          </w:p>
        </w:tc>
        <w:tc>
          <w:tcPr>
            <w:tcW w:w="178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rPr>
            </w:pPr>
            <w:r>
              <w:rPr>
                <w:rFonts w:ascii="宋体" w:hAnsi="宋体"/>
              </w:rPr>
              <w:t>项目名称</w:t>
            </w:r>
          </w:p>
        </w:tc>
        <w:tc>
          <w:tcPr>
            <w:tcW w:w="579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color w:val="auto"/>
              </w:rPr>
            </w:pPr>
            <w:bookmarkStart w:id="23" w:name="EptNR_工程名称2"/>
            <w:bookmarkEnd w:id="23"/>
            <w:r>
              <w:rPr>
                <w:rFonts w:hint="eastAsia" w:ascii="宋体" w:hAnsi="宋体"/>
                <w:color w:val="auto"/>
                <w:lang w:eastAsia="zh-CN"/>
              </w:rPr>
              <w:t>唐河县2023年增发国债高标准农田项目配套低压输电线路工程</w:t>
            </w:r>
          </w:p>
        </w:tc>
      </w:tr>
      <w:tr>
        <w:tblPrEx>
          <w:tblCellMar>
            <w:top w:w="0" w:type="dxa"/>
            <w:left w:w="108" w:type="dxa"/>
            <w:bottom w:w="0" w:type="dxa"/>
            <w:right w:w="108" w:type="dxa"/>
          </w:tblCellMar>
        </w:tblPrEx>
        <w:trPr>
          <w:gridAfter w:val="1"/>
          <w:wAfter w:w="1678" w:type="dxa"/>
          <w:trHeight w:val="567" w:hRule="atLeast"/>
        </w:trPr>
        <w:tc>
          <w:tcPr>
            <w:tcW w:w="9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left"/>
              <w:rPr>
                <w:rFonts w:ascii="宋体" w:hAnsi="宋体"/>
              </w:rPr>
            </w:pPr>
            <w:r>
              <w:rPr>
                <w:rFonts w:ascii="宋体" w:hAnsi="宋体"/>
              </w:rPr>
              <w:t>1.1.</w:t>
            </w:r>
            <w:r>
              <w:rPr>
                <w:rFonts w:hint="eastAsia" w:ascii="宋体" w:hAnsi="宋体"/>
              </w:rPr>
              <w:t>4</w:t>
            </w:r>
          </w:p>
        </w:tc>
        <w:tc>
          <w:tcPr>
            <w:tcW w:w="178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rPr>
            </w:pPr>
            <w:r>
              <w:rPr>
                <w:rFonts w:ascii="宋体" w:hAnsi="宋体"/>
              </w:rPr>
              <w:t>建设地点</w:t>
            </w:r>
          </w:p>
        </w:tc>
        <w:tc>
          <w:tcPr>
            <w:tcW w:w="579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color w:val="auto"/>
              </w:rPr>
            </w:pPr>
            <w:bookmarkStart w:id="24" w:name="EptNR_工程地点2"/>
            <w:bookmarkEnd w:id="24"/>
            <w:r>
              <w:rPr>
                <w:rFonts w:hint="eastAsia" w:ascii="宋体" w:hAnsi="宋体"/>
                <w:color w:val="auto"/>
                <w:lang w:eastAsia="zh-CN"/>
              </w:rPr>
              <w:t>临港街道、古城乡、大河屯镇、东王集乡、毕店镇、咎岗乡、郭滩镇、湖阳镇、龙潭镇。</w:t>
            </w:r>
          </w:p>
        </w:tc>
      </w:tr>
      <w:tr>
        <w:tblPrEx>
          <w:tblCellMar>
            <w:top w:w="0" w:type="dxa"/>
            <w:left w:w="108" w:type="dxa"/>
            <w:bottom w:w="0" w:type="dxa"/>
            <w:right w:w="108" w:type="dxa"/>
          </w:tblCellMar>
        </w:tblPrEx>
        <w:trPr>
          <w:gridAfter w:val="1"/>
          <w:wAfter w:w="1678" w:type="dxa"/>
          <w:trHeight w:val="567" w:hRule="atLeast"/>
        </w:trPr>
        <w:tc>
          <w:tcPr>
            <w:tcW w:w="9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left"/>
              <w:rPr>
                <w:rFonts w:ascii="宋体" w:hAnsi="宋体"/>
              </w:rPr>
            </w:pPr>
            <w:r>
              <w:rPr>
                <w:rFonts w:ascii="宋体" w:hAnsi="宋体"/>
              </w:rPr>
              <w:t>1.2.1</w:t>
            </w:r>
          </w:p>
        </w:tc>
        <w:tc>
          <w:tcPr>
            <w:tcW w:w="178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rPr>
            </w:pPr>
            <w:r>
              <w:rPr>
                <w:rFonts w:ascii="宋体" w:hAnsi="宋体"/>
              </w:rPr>
              <w:t>资金来源</w:t>
            </w:r>
          </w:p>
        </w:tc>
        <w:tc>
          <w:tcPr>
            <w:tcW w:w="579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ind w:left="1749" w:hanging="1749" w:hangingChars="833"/>
              <w:rPr>
                <w:rFonts w:ascii="宋体" w:hAnsi="宋体"/>
                <w:color w:val="auto"/>
              </w:rPr>
            </w:pPr>
            <w:r>
              <w:rPr>
                <w:rFonts w:hint="eastAsia" w:ascii="宋体" w:hAnsi="宋体"/>
                <w:bCs/>
                <w:color w:val="auto"/>
              </w:rPr>
              <w:t>县财政资金</w:t>
            </w:r>
          </w:p>
        </w:tc>
      </w:tr>
      <w:tr>
        <w:tblPrEx>
          <w:tblCellMar>
            <w:top w:w="0" w:type="dxa"/>
            <w:left w:w="108" w:type="dxa"/>
            <w:bottom w:w="0" w:type="dxa"/>
            <w:right w:w="108" w:type="dxa"/>
          </w:tblCellMar>
        </w:tblPrEx>
        <w:trPr>
          <w:gridAfter w:val="1"/>
          <w:wAfter w:w="1678" w:type="dxa"/>
          <w:trHeight w:val="567" w:hRule="atLeast"/>
        </w:trPr>
        <w:tc>
          <w:tcPr>
            <w:tcW w:w="9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left"/>
              <w:rPr>
                <w:rFonts w:ascii="宋体" w:hAnsi="宋体"/>
              </w:rPr>
            </w:pPr>
            <w:r>
              <w:rPr>
                <w:rFonts w:ascii="宋体" w:hAnsi="宋体"/>
              </w:rPr>
              <w:t>1.2.2</w:t>
            </w:r>
          </w:p>
        </w:tc>
        <w:tc>
          <w:tcPr>
            <w:tcW w:w="178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rPr>
            </w:pPr>
            <w:r>
              <w:rPr>
                <w:rFonts w:ascii="宋体" w:hAnsi="宋体"/>
              </w:rPr>
              <w:t>出资比例</w:t>
            </w:r>
          </w:p>
        </w:tc>
        <w:tc>
          <w:tcPr>
            <w:tcW w:w="579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color w:val="auto"/>
              </w:rPr>
            </w:pPr>
            <w:r>
              <w:rPr>
                <w:rFonts w:hint="eastAsia" w:ascii="宋体" w:hAnsi="宋体"/>
                <w:color w:val="auto"/>
              </w:rPr>
              <w:t>100</w:t>
            </w:r>
            <w:r>
              <w:rPr>
                <w:rFonts w:ascii="宋体" w:hAnsi="宋体"/>
                <w:color w:val="auto"/>
              </w:rPr>
              <w:t>%</w:t>
            </w:r>
          </w:p>
        </w:tc>
      </w:tr>
      <w:tr>
        <w:tblPrEx>
          <w:tblCellMar>
            <w:top w:w="0" w:type="dxa"/>
            <w:left w:w="108" w:type="dxa"/>
            <w:bottom w:w="0" w:type="dxa"/>
            <w:right w:w="108" w:type="dxa"/>
          </w:tblCellMar>
        </w:tblPrEx>
        <w:trPr>
          <w:gridAfter w:val="1"/>
          <w:wAfter w:w="1678" w:type="dxa"/>
          <w:trHeight w:val="567" w:hRule="atLeast"/>
        </w:trPr>
        <w:tc>
          <w:tcPr>
            <w:tcW w:w="9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left"/>
              <w:rPr>
                <w:rFonts w:ascii="宋体" w:hAnsi="宋体"/>
              </w:rPr>
            </w:pPr>
            <w:r>
              <w:rPr>
                <w:rFonts w:ascii="宋体" w:hAnsi="宋体"/>
              </w:rPr>
              <w:t>1.2.3</w:t>
            </w:r>
          </w:p>
        </w:tc>
        <w:tc>
          <w:tcPr>
            <w:tcW w:w="178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rPr>
            </w:pPr>
            <w:r>
              <w:rPr>
                <w:rFonts w:ascii="宋体" w:hAnsi="宋体"/>
              </w:rPr>
              <w:t>资金落实情况</w:t>
            </w:r>
          </w:p>
        </w:tc>
        <w:tc>
          <w:tcPr>
            <w:tcW w:w="579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color w:val="auto"/>
              </w:rPr>
            </w:pPr>
            <w:bookmarkStart w:id="25" w:name="EptNR_资金落实情况"/>
            <w:bookmarkEnd w:id="25"/>
            <w:r>
              <w:rPr>
                <w:rFonts w:hint="eastAsia" w:ascii="宋体" w:hAnsi="宋体"/>
                <w:color w:val="auto"/>
              </w:rPr>
              <w:t>已</w:t>
            </w:r>
            <w:r>
              <w:rPr>
                <w:rFonts w:ascii="宋体" w:hAnsi="宋体"/>
                <w:color w:val="auto"/>
              </w:rPr>
              <w:t>落实</w:t>
            </w:r>
          </w:p>
        </w:tc>
      </w:tr>
      <w:tr>
        <w:tblPrEx>
          <w:tblCellMar>
            <w:top w:w="0" w:type="dxa"/>
            <w:left w:w="108" w:type="dxa"/>
            <w:bottom w:w="0" w:type="dxa"/>
            <w:right w:w="108" w:type="dxa"/>
          </w:tblCellMar>
        </w:tblPrEx>
        <w:trPr>
          <w:gridAfter w:val="1"/>
          <w:wAfter w:w="1678" w:type="dxa"/>
          <w:trHeight w:val="567" w:hRule="atLeast"/>
        </w:trPr>
        <w:tc>
          <w:tcPr>
            <w:tcW w:w="9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left"/>
              <w:rPr>
                <w:rFonts w:ascii="宋体" w:hAnsi="宋体"/>
              </w:rPr>
            </w:pPr>
            <w:r>
              <w:rPr>
                <w:rFonts w:ascii="宋体" w:hAnsi="宋体"/>
              </w:rPr>
              <w:t>1.3.1</w:t>
            </w:r>
          </w:p>
        </w:tc>
        <w:tc>
          <w:tcPr>
            <w:tcW w:w="178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rPr>
            </w:pPr>
            <w:r>
              <w:rPr>
                <w:rFonts w:ascii="宋体" w:hAnsi="宋体"/>
              </w:rPr>
              <w:t>招标范围</w:t>
            </w:r>
          </w:p>
        </w:tc>
        <w:tc>
          <w:tcPr>
            <w:tcW w:w="579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hint="eastAsia" w:ascii="宋体" w:hAnsi="宋体"/>
              </w:rPr>
            </w:pPr>
            <w:r>
              <w:rPr>
                <w:rFonts w:hint="eastAsia" w:ascii="宋体" w:hAnsi="宋体"/>
              </w:rPr>
              <w:t>施工图纸及工程量清单范围内的全部内容</w:t>
            </w:r>
          </w:p>
          <w:p>
            <w:pPr>
              <w:pageBreakBefore w:val="0"/>
              <w:kinsoku/>
              <w:wordWrap/>
              <w:overflowPunct/>
              <w:topLinePunct w:val="0"/>
              <w:autoSpaceDE/>
              <w:autoSpaceDN/>
              <w:bidi w:val="0"/>
              <w:spacing w:line="360" w:lineRule="auto"/>
              <w:rPr>
                <w:rFonts w:ascii="宋体" w:hAnsi="宋体"/>
              </w:rPr>
            </w:pPr>
            <w:r>
              <w:rPr>
                <w:rFonts w:hint="eastAsia" w:ascii="宋体" w:hAnsi="宋体"/>
              </w:rPr>
              <w:t>关于招标范围的详细说明见第七章“技术标准和要求”。</w:t>
            </w:r>
          </w:p>
        </w:tc>
      </w:tr>
      <w:tr>
        <w:tblPrEx>
          <w:tblCellMar>
            <w:top w:w="0" w:type="dxa"/>
            <w:left w:w="108" w:type="dxa"/>
            <w:bottom w:w="0" w:type="dxa"/>
            <w:right w:w="108" w:type="dxa"/>
          </w:tblCellMar>
        </w:tblPrEx>
        <w:trPr>
          <w:gridAfter w:val="1"/>
          <w:wAfter w:w="1678" w:type="dxa"/>
          <w:trHeight w:val="567" w:hRule="atLeast"/>
        </w:trPr>
        <w:tc>
          <w:tcPr>
            <w:tcW w:w="9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left"/>
              <w:rPr>
                <w:rFonts w:ascii="宋体" w:hAnsi="宋体"/>
              </w:rPr>
            </w:pPr>
            <w:r>
              <w:rPr>
                <w:rFonts w:ascii="宋体" w:hAnsi="宋体"/>
              </w:rPr>
              <w:t>1.3.2</w:t>
            </w:r>
          </w:p>
        </w:tc>
        <w:tc>
          <w:tcPr>
            <w:tcW w:w="178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rPr>
            </w:pPr>
            <w:r>
              <w:rPr>
                <w:rFonts w:ascii="宋体" w:hAnsi="宋体"/>
              </w:rPr>
              <w:t>计划工期</w:t>
            </w:r>
          </w:p>
        </w:tc>
        <w:tc>
          <w:tcPr>
            <w:tcW w:w="579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eastAsia="宋体" w:cs="宋体"/>
                <w:color w:val="000000"/>
                <w:szCs w:val="21"/>
              </w:rPr>
            </w:pPr>
            <w:bookmarkStart w:id="26" w:name="EptNR_计划工期"/>
            <w:bookmarkEnd w:id="26"/>
            <w:r>
              <w:rPr>
                <w:rFonts w:hint="eastAsia" w:ascii="宋体" w:hAnsi="宋体" w:eastAsia="宋体" w:cs="宋体"/>
                <w:color w:val="000000"/>
                <w:szCs w:val="21"/>
              </w:rPr>
              <w:t>计划工期：210日历天</w:t>
            </w:r>
          </w:p>
          <w:p>
            <w:pPr>
              <w:pageBreakBefore w:val="0"/>
              <w:kinsoku/>
              <w:wordWrap/>
              <w:overflowPunct/>
              <w:topLinePunct w:val="0"/>
              <w:autoSpaceDE/>
              <w:autoSpaceDN/>
              <w:bidi w:val="0"/>
              <w:spacing w:line="360" w:lineRule="auto"/>
              <w:rPr>
                <w:rFonts w:hint="eastAsia" w:ascii="宋体" w:hAnsi="宋体" w:eastAsia="宋体" w:cs="宋体"/>
                <w:color w:val="000000"/>
                <w:szCs w:val="21"/>
              </w:rPr>
            </w:pPr>
            <w:r>
              <w:rPr>
                <w:rFonts w:hint="eastAsia" w:ascii="宋体" w:hAnsi="宋体" w:eastAsia="宋体" w:cs="宋体"/>
                <w:color w:val="000000"/>
                <w:szCs w:val="21"/>
              </w:rPr>
              <w:t>除上述总工期外，发包人还要求以下标段工期：</w:t>
            </w:r>
            <w:bookmarkStart w:id="27" w:name="EB43dd7767083545c9a984b547cfaf0ec0"/>
            <w:r>
              <w:rPr>
                <w:rFonts w:hint="eastAsia" w:ascii="宋体" w:hAnsi="宋体" w:eastAsia="宋体" w:cs="宋体"/>
                <w:color w:val="000000"/>
                <w:szCs w:val="21"/>
              </w:rPr>
              <w:t>/</w:t>
            </w:r>
            <w:bookmarkEnd w:id="27"/>
          </w:p>
          <w:p>
            <w:pPr>
              <w:pageBreakBefore w:val="0"/>
              <w:kinsoku/>
              <w:wordWrap/>
              <w:overflowPunct/>
              <w:topLinePunct w:val="0"/>
              <w:autoSpaceDE/>
              <w:autoSpaceDN/>
              <w:bidi w:val="0"/>
              <w:adjustRightInd w:val="0"/>
              <w:snapToGrid w:val="0"/>
              <w:spacing w:line="360" w:lineRule="auto"/>
              <w:rPr>
                <w:rFonts w:ascii="宋体" w:hAnsi="宋体"/>
                <w:color w:val="00B0F0"/>
              </w:rPr>
            </w:pPr>
            <w:r>
              <w:rPr>
                <w:rFonts w:hint="eastAsia" w:ascii="宋体" w:hAnsi="宋体" w:eastAsia="宋体" w:cs="宋体"/>
                <w:color w:val="000000"/>
                <w:szCs w:val="21"/>
              </w:rPr>
              <w:t>有关工期的详细要求见第七章“技术标准和要求”。</w:t>
            </w:r>
          </w:p>
        </w:tc>
      </w:tr>
      <w:tr>
        <w:tblPrEx>
          <w:tblCellMar>
            <w:top w:w="0" w:type="dxa"/>
            <w:left w:w="108" w:type="dxa"/>
            <w:bottom w:w="0" w:type="dxa"/>
            <w:right w:w="108" w:type="dxa"/>
          </w:tblCellMar>
        </w:tblPrEx>
        <w:trPr>
          <w:gridAfter w:val="1"/>
          <w:wAfter w:w="1678" w:type="dxa"/>
          <w:trHeight w:val="567" w:hRule="atLeast"/>
        </w:trPr>
        <w:tc>
          <w:tcPr>
            <w:tcW w:w="9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left"/>
              <w:rPr>
                <w:rFonts w:ascii="宋体" w:hAnsi="宋体"/>
              </w:rPr>
            </w:pPr>
            <w:r>
              <w:rPr>
                <w:rFonts w:ascii="宋体" w:hAnsi="宋体"/>
              </w:rPr>
              <w:t>1.3.3</w:t>
            </w:r>
          </w:p>
        </w:tc>
        <w:tc>
          <w:tcPr>
            <w:tcW w:w="178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rPr>
            </w:pPr>
            <w:r>
              <w:rPr>
                <w:rFonts w:ascii="宋体" w:hAnsi="宋体"/>
              </w:rPr>
              <w:t>质量要求</w:t>
            </w:r>
          </w:p>
        </w:tc>
        <w:tc>
          <w:tcPr>
            <w:tcW w:w="579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rPr>
            </w:pPr>
            <w:r>
              <w:rPr>
                <w:rFonts w:hint="eastAsia" w:ascii="宋体" w:hAnsi="宋体"/>
              </w:rPr>
              <w:t>质量标准：</w:t>
            </w:r>
            <w:bookmarkStart w:id="28" w:name="EptNR_质量要求"/>
            <w:r>
              <w:rPr>
                <w:rFonts w:hint="eastAsia" w:ascii="宋体" w:hAnsi="宋体"/>
                <w:color w:val="0070C0"/>
              </w:rPr>
              <w:t>合格</w:t>
            </w:r>
          </w:p>
          <w:bookmarkEnd w:id="28"/>
          <w:p>
            <w:pPr>
              <w:pageBreakBefore w:val="0"/>
              <w:kinsoku/>
              <w:wordWrap/>
              <w:overflowPunct/>
              <w:topLinePunct w:val="0"/>
              <w:autoSpaceDE/>
              <w:autoSpaceDN/>
              <w:bidi w:val="0"/>
              <w:spacing w:line="360" w:lineRule="auto"/>
              <w:rPr>
                <w:rFonts w:ascii="宋体" w:hAnsi="宋体"/>
              </w:rPr>
            </w:pPr>
            <w:r>
              <w:rPr>
                <w:rFonts w:hint="eastAsia" w:ascii="宋体" w:hAnsi="宋体"/>
              </w:rPr>
              <w:t>关于质量要求的详细说明见第七章“技术标准和要求”。</w:t>
            </w:r>
          </w:p>
        </w:tc>
      </w:tr>
      <w:tr>
        <w:tblPrEx>
          <w:tblCellMar>
            <w:top w:w="0" w:type="dxa"/>
            <w:left w:w="108" w:type="dxa"/>
            <w:bottom w:w="0" w:type="dxa"/>
            <w:right w:w="108" w:type="dxa"/>
          </w:tblCellMar>
        </w:tblPrEx>
        <w:trPr>
          <w:gridAfter w:val="1"/>
          <w:wAfter w:w="1678" w:type="dxa"/>
          <w:trHeight w:val="567" w:hRule="atLeast"/>
        </w:trPr>
        <w:tc>
          <w:tcPr>
            <w:tcW w:w="9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left"/>
              <w:rPr>
                <w:rFonts w:ascii="宋体" w:hAnsi="宋体"/>
              </w:rPr>
            </w:pPr>
            <w:r>
              <w:rPr>
                <w:rFonts w:ascii="宋体" w:hAnsi="宋体"/>
              </w:rPr>
              <w:t>1.4</w:t>
            </w:r>
            <w:r>
              <w:rPr>
                <w:rFonts w:hint="eastAsia" w:ascii="宋体" w:hAnsi="宋体"/>
              </w:rPr>
              <w:t>.1</w:t>
            </w:r>
          </w:p>
        </w:tc>
        <w:tc>
          <w:tcPr>
            <w:tcW w:w="178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rPr>
            </w:pPr>
            <w:r>
              <w:rPr>
                <w:rFonts w:hint="eastAsia" w:ascii="宋体" w:hAnsi="宋体"/>
              </w:rPr>
              <w:t>投标人资质条件、能力和信誉</w:t>
            </w:r>
          </w:p>
        </w:tc>
        <w:tc>
          <w:tcPr>
            <w:tcW w:w="579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b/>
              </w:rPr>
            </w:pPr>
            <w:r>
              <w:rPr>
                <w:rFonts w:hint="eastAsia" w:ascii="宋体" w:hAnsi="宋体"/>
                <w:b/>
              </w:rPr>
              <w:t>资质条件：</w:t>
            </w:r>
          </w:p>
          <w:p>
            <w:pPr>
              <w:pStyle w:val="39"/>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cs="宋体"/>
                <w:color w:val="000000"/>
                <w:sz w:val="21"/>
                <w:szCs w:val="21"/>
                <w:lang w:eastAsia="zh-CN"/>
              </w:rPr>
            </w:pPr>
            <w:r>
              <w:rPr>
                <w:rFonts w:hint="eastAsia" w:ascii="宋体" w:hAnsi="宋体" w:eastAsia="宋体" w:cs="宋体"/>
                <w:color w:val="000000"/>
                <w:sz w:val="21"/>
                <w:szCs w:val="21"/>
              </w:rPr>
              <w:t>1、具有独立法人资格，持有有效的营业执照、组织机构代码证、税务登记证（或三证合一营业执照）</w:t>
            </w:r>
            <w:r>
              <w:rPr>
                <w:rFonts w:hint="eastAsia" w:cs="宋体"/>
                <w:color w:val="000000"/>
                <w:sz w:val="21"/>
                <w:szCs w:val="21"/>
                <w:lang w:eastAsia="zh-CN"/>
              </w:rPr>
              <w:t>。</w:t>
            </w:r>
          </w:p>
          <w:p>
            <w:pPr>
              <w:pStyle w:val="39"/>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、须具有电力工程施工总承包</w:t>
            </w:r>
            <w:r>
              <w:rPr>
                <w:rFonts w:hint="eastAsia" w:cs="宋体"/>
                <w:color w:val="000000"/>
                <w:sz w:val="21"/>
                <w:szCs w:val="21"/>
                <w:lang w:eastAsia="zh-CN"/>
              </w:rPr>
              <w:t>叁</w:t>
            </w:r>
            <w:r>
              <w:rPr>
                <w:rFonts w:hint="eastAsia" w:ascii="宋体" w:hAnsi="宋体" w:eastAsia="宋体" w:cs="宋体"/>
                <w:color w:val="000000"/>
                <w:sz w:val="21"/>
                <w:szCs w:val="21"/>
              </w:rPr>
              <w:t>级及以上资质</w:t>
            </w:r>
            <w:r>
              <w:rPr>
                <w:rFonts w:hint="eastAsia" w:cs="宋体"/>
                <w:color w:val="000000"/>
                <w:sz w:val="21"/>
                <w:szCs w:val="21"/>
                <w:lang w:val="en-US" w:eastAsia="zh-CN"/>
              </w:rPr>
              <w:t>,</w:t>
            </w:r>
            <w:r>
              <w:rPr>
                <w:rFonts w:hint="eastAsia" w:ascii="宋体" w:hAnsi="宋体" w:eastAsia="宋体" w:cs="宋体"/>
                <w:color w:val="000000"/>
                <w:sz w:val="21"/>
                <w:szCs w:val="21"/>
              </w:rPr>
              <w:t>同时具有</w:t>
            </w:r>
            <w:r>
              <w:rPr>
                <w:rFonts w:hint="eastAsia" w:cs="宋体"/>
                <w:color w:val="000000"/>
                <w:sz w:val="21"/>
                <w:szCs w:val="21"/>
                <w:lang w:eastAsia="zh-CN"/>
              </w:rPr>
              <w:t>五</w:t>
            </w:r>
            <w:r>
              <w:rPr>
                <w:rFonts w:hint="eastAsia" w:ascii="宋体" w:hAnsi="宋体" w:eastAsia="宋体" w:cs="宋体"/>
                <w:color w:val="000000"/>
                <w:sz w:val="21"/>
                <w:szCs w:val="21"/>
              </w:rPr>
              <w:t>级及以上承装(修、试)电力设施许可证（承装类），同时具备有效的企业安全生产许可证，并在人员、设备、资金等方面具备相应的专业能力。</w:t>
            </w:r>
          </w:p>
          <w:p>
            <w:pPr>
              <w:pStyle w:val="39"/>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cs="宋体"/>
                <w:color w:val="000000"/>
                <w:sz w:val="21"/>
                <w:szCs w:val="21"/>
                <w:lang w:eastAsia="zh-CN"/>
              </w:rPr>
            </w:pPr>
            <w:r>
              <w:rPr>
                <w:rFonts w:hint="eastAsia" w:ascii="宋体" w:hAnsi="宋体" w:eastAsia="宋体" w:cs="宋体"/>
                <w:color w:val="000000"/>
                <w:sz w:val="21"/>
                <w:szCs w:val="21"/>
              </w:rPr>
              <w:t>3</w:t>
            </w:r>
            <w:r>
              <w:rPr>
                <w:rFonts w:hint="eastAsia" w:cs="宋体"/>
                <w:color w:val="000000"/>
                <w:sz w:val="21"/>
                <w:szCs w:val="21"/>
                <w:lang w:eastAsia="zh-CN"/>
              </w:rPr>
              <w:t>、</w:t>
            </w:r>
            <w:r>
              <w:rPr>
                <w:rFonts w:hint="eastAsia" w:ascii="宋体" w:hAnsi="宋体" w:eastAsia="宋体" w:cs="宋体"/>
                <w:color w:val="000000"/>
                <w:sz w:val="21"/>
                <w:szCs w:val="21"/>
              </w:rPr>
              <w:t>拟派项目经理须具有机电工程专业</w:t>
            </w:r>
            <w:r>
              <w:rPr>
                <w:rFonts w:hint="eastAsia" w:cs="宋体"/>
                <w:color w:val="000000"/>
                <w:sz w:val="21"/>
                <w:szCs w:val="21"/>
                <w:lang w:eastAsia="zh-CN"/>
              </w:rPr>
              <w:t>壹</w:t>
            </w:r>
            <w:r>
              <w:rPr>
                <w:rFonts w:hint="eastAsia" w:ascii="宋体" w:hAnsi="宋体" w:eastAsia="宋体" w:cs="宋体"/>
                <w:color w:val="000000"/>
                <w:sz w:val="21"/>
                <w:szCs w:val="21"/>
              </w:rPr>
              <w:t>级注册建造师资格，持有有效的安全生产考核合格证，且未在正在施工项目中担任项目经理(出具无在建承诺书)</w:t>
            </w:r>
            <w:r>
              <w:rPr>
                <w:rFonts w:hint="eastAsia" w:cs="宋体"/>
                <w:color w:val="000000"/>
                <w:sz w:val="21"/>
                <w:szCs w:val="21"/>
                <w:lang w:eastAsia="zh-CN"/>
              </w:rPr>
              <w:t>。</w:t>
            </w:r>
          </w:p>
          <w:p>
            <w:pPr>
              <w:pStyle w:val="39"/>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4、投标人近三年度财务状况良好，没有财务被接管冻结、破产状态，提供近三年第三方机构出具的财务报告(2020-2022或 2021-2023 年度，成立未满三年的企业按已有年份计算;新成立企业不足一个自然年度的,可提供近期财务报表)。</w:t>
            </w:r>
          </w:p>
          <w:p>
            <w:pPr>
              <w:pStyle w:val="39"/>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5、投标人出具的无行贿行为承诺函（承诺对象包括投标人、法定代表人、项目经理）；</w:t>
            </w:r>
          </w:p>
          <w:p>
            <w:pPr>
              <w:pStyle w:val="39"/>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6、列入失信被执行人、重大税收违法案件当事人名单的投标人，拒绝参与本项目招投标活动；【查询渠道</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“信用中国”网站（www.creditchina.gov.cn）；“中国裁判文书网 ”（</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"http://wenshu.court.gov.cn/"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t>http://wenshu.court.gov.cn/</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t>）或“中国执行信息公开网”（</w:t>
            </w:r>
            <w:r>
              <w:rPr>
                <w:rFonts w:hint="eastAsia" w:ascii="宋体" w:hAnsi="宋体" w:eastAsia="宋体" w:cs="宋体"/>
                <w:color w:val="000000"/>
                <w:sz w:val="21"/>
                <w:szCs w:val="21"/>
              </w:rPr>
              <w:fldChar w:fldCharType="begin"/>
            </w:r>
            <w:r>
              <w:rPr>
                <w:rFonts w:hint="eastAsia" w:ascii="宋体" w:hAnsi="宋体" w:eastAsia="宋体" w:cs="宋体"/>
                <w:color w:val="000000"/>
                <w:sz w:val="21"/>
                <w:szCs w:val="21"/>
              </w:rPr>
              <w:instrText xml:space="preserve"> HYPERLINK "http://zxgk.court.gov.cn/" </w:instrText>
            </w:r>
            <w:r>
              <w:rPr>
                <w:rFonts w:hint="eastAsia" w:ascii="宋体" w:hAnsi="宋体" w:eastAsia="宋体" w:cs="宋体"/>
                <w:color w:val="000000"/>
                <w:sz w:val="21"/>
                <w:szCs w:val="21"/>
              </w:rPr>
              <w:fldChar w:fldCharType="separate"/>
            </w:r>
            <w:r>
              <w:rPr>
                <w:rFonts w:hint="eastAsia" w:ascii="宋体" w:hAnsi="宋体" w:eastAsia="宋体" w:cs="宋体"/>
                <w:color w:val="000000"/>
                <w:sz w:val="21"/>
                <w:szCs w:val="21"/>
              </w:rPr>
              <w:t>http://zxgk.court.gov.cn/</w:t>
            </w:r>
            <w:r>
              <w:rPr>
                <w:rFonts w:hint="eastAsia" w:ascii="宋体" w:hAnsi="宋体" w:eastAsia="宋体" w:cs="宋体"/>
                <w:color w:val="000000"/>
                <w:sz w:val="21"/>
                <w:szCs w:val="21"/>
              </w:rPr>
              <w:fldChar w:fldCharType="end"/>
            </w:r>
            <w:r>
              <w:rPr>
                <w:rFonts w:hint="eastAsia" w:ascii="宋体" w:hAnsi="宋体" w:eastAsia="宋体" w:cs="宋体"/>
                <w:color w:val="000000"/>
                <w:sz w:val="21"/>
                <w:szCs w:val="21"/>
              </w:rPr>
              <w:t>） 查询投标人相关主体（企业、法定代表人、项目经理） 的查询结果，凡被列入重大违法案件（刑事案件、强制清算与破产）的，依法限制其参与投标和工程建设】（提供网站截图加盖公章，查询日期不得早于招标公告发布之日）；</w:t>
            </w:r>
          </w:p>
          <w:p>
            <w:pPr>
              <w:pStyle w:val="39"/>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7、本次招标实行资格后审，审查内容以投标截止时间前填报上传南阳市企业诚信库信息为准，过期更改的诚信库信息不作为本项目评审依据。开评标现场不接受诚信库信息原件。诚信库上传信息必须内容齐全，真实有效，原件扫描件清晰可辨。投标文件中资格审查资料应与上传南阳市诚信库信息一致。否则，由此造成应得分而未得分或资格审查不合格等情况的，由投标企业承担责任。</w:t>
            </w:r>
          </w:p>
          <w:p>
            <w:pPr>
              <w:pStyle w:val="39"/>
              <w:keepNext w:val="0"/>
              <w:keepLines w:val="0"/>
              <w:pageBreakBefore w:val="0"/>
              <w:kinsoku/>
              <w:wordWrap/>
              <w:overflowPunct/>
              <w:topLinePunct w:val="0"/>
              <w:autoSpaceDE/>
              <w:autoSpaceDN/>
              <w:bidi w:val="0"/>
              <w:adjustRightInd/>
              <w:snapToGrid/>
              <w:spacing w:before="0" w:beforeAutospacing="0" w:after="0" w:afterAutospacing="0" w:line="360" w:lineRule="auto"/>
              <w:jc w:val="both"/>
              <w:textAlignment w:val="auto"/>
              <w:rPr>
                <w:rFonts w:ascii="宋体" w:hAnsi="宋体"/>
              </w:rPr>
            </w:pPr>
            <w:r>
              <w:rPr>
                <w:rFonts w:hint="eastAsia" w:ascii="宋体" w:hAnsi="宋体" w:eastAsia="宋体" w:cs="宋体"/>
                <w:color w:val="000000"/>
                <w:sz w:val="21"/>
                <w:szCs w:val="21"/>
              </w:rPr>
              <w:t>8、本次招标不接受联合体投标，不允许分包和转包。</w:t>
            </w:r>
          </w:p>
        </w:tc>
      </w:tr>
      <w:tr>
        <w:tblPrEx>
          <w:tblCellMar>
            <w:top w:w="0" w:type="dxa"/>
            <w:left w:w="108" w:type="dxa"/>
            <w:bottom w:w="0" w:type="dxa"/>
            <w:right w:w="108" w:type="dxa"/>
          </w:tblCellMar>
        </w:tblPrEx>
        <w:trPr>
          <w:gridAfter w:val="1"/>
          <w:wAfter w:w="1678" w:type="dxa"/>
          <w:trHeight w:val="567" w:hRule="atLeast"/>
        </w:trPr>
        <w:tc>
          <w:tcPr>
            <w:tcW w:w="9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left"/>
              <w:rPr>
                <w:rFonts w:ascii="宋体" w:hAnsi="宋体"/>
              </w:rPr>
            </w:pPr>
            <w:r>
              <w:rPr>
                <w:rFonts w:ascii="宋体" w:hAnsi="宋体"/>
              </w:rPr>
              <w:t>1.4.2</w:t>
            </w:r>
          </w:p>
        </w:tc>
        <w:tc>
          <w:tcPr>
            <w:tcW w:w="178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rPr>
            </w:pPr>
            <w:r>
              <w:rPr>
                <w:rFonts w:ascii="宋体" w:hAnsi="宋体"/>
              </w:rPr>
              <w:t>是否接受</w:t>
            </w:r>
            <w:r>
              <w:rPr>
                <w:rFonts w:hint="eastAsia" w:ascii="宋体" w:hAnsi="宋体"/>
              </w:rPr>
              <w:br w:type="textWrapping"/>
            </w:r>
            <w:r>
              <w:rPr>
                <w:rFonts w:ascii="宋体" w:hAnsi="宋体"/>
              </w:rPr>
              <w:t>联合体投标</w:t>
            </w:r>
          </w:p>
        </w:tc>
        <w:tc>
          <w:tcPr>
            <w:tcW w:w="579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color w:val="auto"/>
              </w:rPr>
            </w:pPr>
            <w:bookmarkStart w:id="29" w:name="EptNR_是否接受联合体投标"/>
            <w:r>
              <w:rPr>
                <w:rFonts w:ascii="宋体" w:hAnsi="宋体"/>
                <w:color w:val="auto"/>
              </w:rPr>
              <w:fldChar w:fldCharType="begin"/>
            </w:r>
            <w:r>
              <w:rPr>
                <w:rFonts w:hint="eastAsia" w:ascii="宋体" w:hAnsi="宋体"/>
                <w:color w:val="auto"/>
              </w:rPr>
              <w:instrText xml:space="preserve">eq \o\ac(□,</w:instrText>
            </w:r>
            <w:r>
              <w:rPr>
                <w:rFonts w:hint="eastAsia" w:ascii="宋体" w:hAnsi="宋体"/>
                <w:color w:val="auto"/>
                <w:position w:val="1"/>
                <w:sz w:val="14"/>
              </w:rPr>
              <w:instrText xml:space="preserve">√</w:instrText>
            </w:r>
            <w:r>
              <w:rPr>
                <w:rFonts w:hint="eastAsia" w:ascii="宋体" w:hAnsi="宋体"/>
                <w:color w:val="auto"/>
              </w:rPr>
              <w:instrText xml:space="preserve">)</w:instrText>
            </w:r>
            <w:r>
              <w:rPr>
                <w:rFonts w:ascii="宋体" w:hAnsi="宋体"/>
                <w:color w:val="auto"/>
              </w:rPr>
              <w:fldChar w:fldCharType="end"/>
            </w:r>
            <w:r>
              <w:rPr>
                <w:rFonts w:hint="eastAsia" w:ascii="宋体" w:hAnsi="宋体"/>
                <w:color w:val="auto"/>
              </w:rPr>
              <w:t>不接受</w:t>
            </w:r>
            <w:bookmarkStart w:id="30" w:name="EptNR_联合体投标应满足的要求"/>
          </w:p>
          <w:p>
            <w:pPr>
              <w:pageBreakBefore w:val="0"/>
              <w:kinsoku/>
              <w:wordWrap/>
              <w:overflowPunct/>
              <w:topLinePunct w:val="0"/>
              <w:autoSpaceDE/>
              <w:autoSpaceDN/>
              <w:bidi w:val="0"/>
              <w:spacing w:line="360" w:lineRule="auto"/>
              <w:rPr>
                <w:rFonts w:ascii="宋体" w:hAnsi="宋体"/>
                <w:color w:val="auto"/>
              </w:rPr>
            </w:pPr>
            <w:r>
              <w:rPr>
                <w:rFonts w:hint="eastAsia" w:ascii="宋体" w:hAnsi="宋体"/>
                <w:color w:val="auto"/>
              </w:rPr>
              <w:t>□接受，应满足下列要求：</w:t>
            </w:r>
            <w:bookmarkEnd w:id="29"/>
            <w:bookmarkEnd w:id="30"/>
          </w:p>
          <w:p>
            <w:pPr>
              <w:pageBreakBefore w:val="0"/>
              <w:kinsoku/>
              <w:wordWrap/>
              <w:overflowPunct/>
              <w:topLinePunct w:val="0"/>
              <w:autoSpaceDE/>
              <w:autoSpaceDN/>
              <w:bidi w:val="0"/>
              <w:spacing w:line="360" w:lineRule="auto"/>
              <w:rPr>
                <w:rFonts w:ascii="宋体" w:hAnsi="宋体"/>
                <w:color w:val="auto"/>
              </w:rPr>
            </w:pPr>
            <w:r>
              <w:rPr>
                <w:rFonts w:hint="eastAsia" w:ascii="宋体" w:hAnsi="宋体"/>
                <w:color w:val="auto"/>
              </w:rPr>
              <w:t>联合体资质按照联合体协议约定的分工认定。</w:t>
            </w:r>
          </w:p>
        </w:tc>
      </w:tr>
      <w:tr>
        <w:tblPrEx>
          <w:tblCellMar>
            <w:top w:w="0" w:type="dxa"/>
            <w:left w:w="108" w:type="dxa"/>
            <w:bottom w:w="0" w:type="dxa"/>
            <w:right w:w="108" w:type="dxa"/>
          </w:tblCellMar>
        </w:tblPrEx>
        <w:trPr>
          <w:gridAfter w:val="1"/>
          <w:wAfter w:w="1678" w:type="dxa"/>
          <w:trHeight w:val="567" w:hRule="atLeast"/>
        </w:trPr>
        <w:tc>
          <w:tcPr>
            <w:tcW w:w="9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left"/>
              <w:rPr>
                <w:rFonts w:ascii="宋体" w:hAnsi="宋体"/>
              </w:rPr>
            </w:pPr>
            <w:r>
              <w:rPr>
                <w:rFonts w:ascii="宋体" w:hAnsi="宋体"/>
              </w:rPr>
              <w:t>1.</w:t>
            </w:r>
            <w:r>
              <w:rPr>
                <w:rFonts w:hint="eastAsia" w:ascii="宋体" w:hAnsi="宋体"/>
              </w:rPr>
              <w:t>5.1</w:t>
            </w:r>
          </w:p>
        </w:tc>
        <w:tc>
          <w:tcPr>
            <w:tcW w:w="178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rPr>
            </w:pPr>
            <w:r>
              <w:rPr>
                <w:rFonts w:ascii="宋体" w:hAnsi="宋体"/>
              </w:rPr>
              <w:t>踏勘现场</w:t>
            </w:r>
          </w:p>
        </w:tc>
        <w:tc>
          <w:tcPr>
            <w:tcW w:w="579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color w:val="auto"/>
              </w:rPr>
            </w:pPr>
            <w:r>
              <w:rPr>
                <w:rFonts w:ascii="宋体" w:hAnsi="宋体"/>
                <w:color w:val="auto"/>
              </w:rPr>
              <w:fldChar w:fldCharType="begin"/>
            </w:r>
            <w:r>
              <w:rPr>
                <w:rFonts w:hint="eastAsia" w:ascii="宋体" w:hAnsi="宋体"/>
                <w:color w:val="auto"/>
              </w:rPr>
              <w:instrText xml:space="preserve">eq \o\ac(□,</w:instrText>
            </w:r>
            <w:r>
              <w:rPr>
                <w:rFonts w:hint="eastAsia" w:ascii="宋体" w:hAnsi="宋体"/>
                <w:color w:val="auto"/>
                <w:position w:val="1"/>
                <w:sz w:val="14"/>
              </w:rPr>
              <w:instrText xml:space="preserve">√</w:instrText>
            </w:r>
            <w:r>
              <w:rPr>
                <w:rFonts w:hint="eastAsia" w:ascii="宋体" w:hAnsi="宋体"/>
                <w:color w:val="auto"/>
              </w:rPr>
              <w:instrText xml:space="preserve">)</w:instrText>
            </w:r>
            <w:r>
              <w:rPr>
                <w:rFonts w:ascii="宋体" w:hAnsi="宋体"/>
                <w:color w:val="auto"/>
              </w:rPr>
              <w:fldChar w:fldCharType="end"/>
            </w:r>
            <w:r>
              <w:rPr>
                <w:rFonts w:hint="eastAsia"/>
                <w:color w:val="auto"/>
              </w:rPr>
              <w:t>不组织</w:t>
            </w:r>
          </w:p>
          <w:p>
            <w:pPr>
              <w:pageBreakBefore w:val="0"/>
              <w:kinsoku/>
              <w:wordWrap/>
              <w:overflowPunct/>
              <w:topLinePunct w:val="0"/>
              <w:autoSpaceDE/>
              <w:autoSpaceDN/>
              <w:bidi w:val="0"/>
              <w:spacing w:line="360" w:lineRule="auto"/>
              <w:rPr>
                <w:color w:val="auto"/>
              </w:rPr>
            </w:pPr>
            <w:r>
              <w:rPr>
                <w:rFonts w:hint="eastAsia"/>
                <w:color w:val="auto"/>
              </w:rPr>
              <w:t>□组织，踏勘时间：/</w:t>
            </w:r>
          </w:p>
          <w:p>
            <w:pPr>
              <w:pageBreakBefore w:val="0"/>
              <w:kinsoku/>
              <w:wordWrap/>
              <w:overflowPunct/>
              <w:topLinePunct w:val="0"/>
              <w:autoSpaceDE/>
              <w:autoSpaceDN/>
              <w:bidi w:val="0"/>
              <w:spacing w:line="360" w:lineRule="auto"/>
              <w:rPr>
                <w:rFonts w:ascii="宋体" w:hAnsi="宋体"/>
                <w:color w:val="auto"/>
              </w:rPr>
            </w:pPr>
            <w:r>
              <w:rPr>
                <w:rFonts w:hint="eastAsia"/>
                <w:color w:val="auto"/>
              </w:rPr>
              <w:t>踏勘集中地点：/</w:t>
            </w:r>
          </w:p>
        </w:tc>
      </w:tr>
      <w:tr>
        <w:tblPrEx>
          <w:tblCellMar>
            <w:top w:w="0" w:type="dxa"/>
            <w:left w:w="108" w:type="dxa"/>
            <w:bottom w:w="0" w:type="dxa"/>
            <w:right w:w="108" w:type="dxa"/>
          </w:tblCellMar>
        </w:tblPrEx>
        <w:trPr>
          <w:gridAfter w:val="1"/>
          <w:wAfter w:w="1678" w:type="dxa"/>
          <w:trHeight w:val="567" w:hRule="atLeast"/>
        </w:trPr>
        <w:tc>
          <w:tcPr>
            <w:tcW w:w="9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left"/>
              <w:rPr>
                <w:rFonts w:ascii="宋体" w:hAnsi="宋体"/>
              </w:rPr>
            </w:pPr>
            <w:r>
              <w:rPr>
                <w:rFonts w:hint="eastAsia" w:ascii="宋体" w:hAnsi="宋体"/>
              </w:rPr>
              <w:t>1.6.1</w:t>
            </w:r>
          </w:p>
        </w:tc>
        <w:tc>
          <w:tcPr>
            <w:tcW w:w="178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rPr>
            </w:pPr>
            <w:r>
              <w:rPr>
                <w:rFonts w:hint="eastAsia" w:ascii="宋体" w:hAnsi="宋体"/>
              </w:rPr>
              <w:t>投标预备会</w:t>
            </w:r>
          </w:p>
        </w:tc>
        <w:tc>
          <w:tcPr>
            <w:tcW w:w="579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color w:val="auto"/>
              </w:rPr>
            </w:pPr>
            <w:r>
              <w:rPr>
                <w:rFonts w:ascii="宋体" w:hAnsi="宋体"/>
                <w:color w:val="auto"/>
              </w:rPr>
              <w:fldChar w:fldCharType="begin"/>
            </w:r>
            <w:r>
              <w:rPr>
                <w:rFonts w:hint="eastAsia" w:ascii="宋体" w:hAnsi="宋体"/>
                <w:color w:val="auto"/>
              </w:rPr>
              <w:instrText xml:space="preserve">eq \o\ac(□,</w:instrText>
            </w:r>
            <w:r>
              <w:rPr>
                <w:rFonts w:hint="eastAsia" w:ascii="宋体" w:hAnsi="宋体"/>
                <w:color w:val="auto"/>
                <w:position w:val="1"/>
                <w:sz w:val="14"/>
              </w:rPr>
              <w:instrText xml:space="preserve">√</w:instrText>
            </w:r>
            <w:r>
              <w:rPr>
                <w:rFonts w:hint="eastAsia" w:ascii="宋体" w:hAnsi="宋体"/>
                <w:color w:val="auto"/>
              </w:rPr>
              <w:instrText xml:space="preserve">)</w:instrText>
            </w:r>
            <w:r>
              <w:rPr>
                <w:rFonts w:ascii="宋体" w:hAnsi="宋体"/>
                <w:color w:val="auto"/>
              </w:rPr>
              <w:fldChar w:fldCharType="end"/>
            </w:r>
            <w:r>
              <w:rPr>
                <w:rFonts w:hint="eastAsia"/>
                <w:color w:val="auto"/>
              </w:rPr>
              <w:t>不召开</w:t>
            </w:r>
          </w:p>
          <w:p>
            <w:pPr>
              <w:pageBreakBefore w:val="0"/>
              <w:kinsoku/>
              <w:wordWrap/>
              <w:overflowPunct/>
              <w:topLinePunct w:val="0"/>
              <w:autoSpaceDE/>
              <w:autoSpaceDN/>
              <w:bidi w:val="0"/>
              <w:spacing w:line="360" w:lineRule="auto"/>
              <w:rPr>
                <w:color w:val="auto"/>
              </w:rPr>
            </w:pPr>
            <w:r>
              <w:rPr>
                <w:rFonts w:hint="eastAsia"/>
                <w:color w:val="auto"/>
              </w:rPr>
              <w:t>□召开，召开时间：/</w:t>
            </w:r>
          </w:p>
          <w:p>
            <w:pPr>
              <w:pageBreakBefore w:val="0"/>
              <w:kinsoku/>
              <w:wordWrap/>
              <w:overflowPunct/>
              <w:topLinePunct w:val="0"/>
              <w:autoSpaceDE/>
              <w:autoSpaceDN/>
              <w:bidi w:val="0"/>
              <w:spacing w:line="360" w:lineRule="auto"/>
              <w:rPr>
                <w:rFonts w:ascii="宋体" w:hAnsi="宋体"/>
                <w:color w:val="auto"/>
              </w:rPr>
            </w:pPr>
            <w:r>
              <w:rPr>
                <w:rFonts w:hint="eastAsia"/>
                <w:color w:val="auto"/>
              </w:rPr>
              <w:t>召开地点：/</w:t>
            </w:r>
          </w:p>
        </w:tc>
      </w:tr>
      <w:tr>
        <w:tblPrEx>
          <w:tblCellMar>
            <w:top w:w="0" w:type="dxa"/>
            <w:left w:w="108" w:type="dxa"/>
            <w:bottom w:w="0" w:type="dxa"/>
            <w:right w:w="108" w:type="dxa"/>
          </w:tblCellMar>
        </w:tblPrEx>
        <w:trPr>
          <w:gridAfter w:val="1"/>
          <w:wAfter w:w="1678" w:type="dxa"/>
          <w:trHeight w:val="567" w:hRule="atLeast"/>
        </w:trPr>
        <w:tc>
          <w:tcPr>
            <w:tcW w:w="9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left"/>
              <w:rPr>
                <w:rFonts w:ascii="宋体" w:hAnsi="宋体"/>
              </w:rPr>
            </w:pPr>
            <w:r>
              <w:rPr>
                <w:rFonts w:ascii="宋体" w:hAnsi="宋体"/>
              </w:rPr>
              <w:t>1.</w:t>
            </w:r>
            <w:r>
              <w:rPr>
                <w:rFonts w:hint="eastAsia" w:ascii="宋体" w:hAnsi="宋体"/>
              </w:rPr>
              <w:t>7.1</w:t>
            </w:r>
          </w:p>
        </w:tc>
        <w:tc>
          <w:tcPr>
            <w:tcW w:w="178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rPr>
            </w:pPr>
            <w:r>
              <w:rPr>
                <w:rFonts w:ascii="宋体" w:hAnsi="宋体"/>
              </w:rPr>
              <w:t>分包</w:t>
            </w:r>
          </w:p>
        </w:tc>
        <w:tc>
          <w:tcPr>
            <w:tcW w:w="579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color w:val="auto"/>
              </w:rPr>
            </w:pPr>
            <w:bookmarkStart w:id="31" w:name="EptNR_是否接受分包"/>
            <w:r>
              <w:rPr>
                <w:rFonts w:ascii="宋体" w:hAnsi="宋体"/>
                <w:color w:val="auto"/>
              </w:rPr>
              <w:fldChar w:fldCharType="begin"/>
            </w:r>
            <w:r>
              <w:rPr>
                <w:rFonts w:hint="eastAsia" w:ascii="宋体" w:hAnsi="宋体"/>
                <w:color w:val="auto"/>
              </w:rPr>
              <w:instrText xml:space="preserve">eq \o\ac(□,</w:instrText>
            </w:r>
            <w:r>
              <w:rPr>
                <w:rFonts w:hint="eastAsia" w:ascii="宋体" w:hAnsi="宋体"/>
                <w:color w:val="auto"/>
                <w:position w:val="1"/>
                <w:sz w:val="14"/>
              </w:rPr>
              <w:instrText xml:space="preserve">√</w:instrText>
            </w:r>
            <w:r>
              <w:rPr>
                <w:rFonts w:hint="eastAsia" w:ascii="宋体" w:hAnsi="宋体"/>
                <w:color w:val="auto"/>
              </w:rPr>
              <w:instrText xml:space="preserve">)</w:instrText>
            </w:r>
            <w:r>
              <w:rPr>
                <w:rFonts w:ascii="宋体" w:hAnsi="宋体"/>
                <w:color w:val="auto"/>
              </w:rPr>
              <w:fldChar w:fldCharType="end"/>
            </w:r>
            <w:r>
              <w:rPr>
                <w:rFonts w:hint="eastAsia" w:ascii="宋体" w:hAnsi="宋体"/>
                <w:color w:val="auto"/>
              </w:rPr>
              <w:t>不允许</w:t>
            </w:r>
          </w:p>
          <w:p>
            <w:pPr>
              <w:pageBreakBefore w:val="0"/>
              <w:kinsoku/>
              <w:wordWrap/>
              <w:overflowPunct/>
              <w:topLinePunct w:val="0"/>
              <w:autoSpaceDE/>
              <w:autoSpaceDN/>
              <w:bidi w:val="0"/>
              <w:spacing w:line="360" w:lineRule="auto"/>
              <w:rPr>
                <w:rFonts w:ascii="宋体" w:hAnsi="宋体"/>
                <w:color w:val="auto"/>
              </w:rPr>
            </w:pPr>
            <w:r>
              <w:rPr>
                <w:rFonts w:hint="eastAsia" w:ascii="宋体" w:hAnsi="宋体"/>
                <w:color w:val="auto"/>
              </w:rPr>
              <w:t>□允许，分包内容要求：/</w:t>
            </w:r>
          </w:p>
          <w:p>
            <w:pPr>
              <w:pageBreakBefore w:val="0"/>
              <w:kinsoku/>
              <w:wordWrap/>
              <w:overflowPunct/>
              <w:topLinePunct w:val="0"/>
              <w:autoSpaceDE/>
              <w:autoSpaceDN/>
              <w:bidi w:val="0"/>
              <w:spacing w:line="360" w:lineRule="auto"/>
              <w:rPr>
                <w:rFonts w:ascii="宋体" w:hAnsi="宋体"/>
                <w:color w:val="auto"/>
              </w:rPr>
            </w:pPr>
            <w:r>
              <w:rPr>
                <w:rFonts w:hint="eastAsia" w:ascii="宋体" w:hAnsi="宋体"/>
                <w:color w:val="auto"/>
              </w:rPr>
              <w:t>分包金额要求：/</w:t>
            </w:r>
          </w:p>
          <w:p>
            <w:pPr>
              <w:pageBreakBefore w:val="0"/>
              <w:kinsoku/>
              <w:wordWrap/>
              <w:overflowPunct/>
              <w:topLinePunct w:val="0"/>
              <w:autoSpaceDE/>
              <w:autoSpaceDN/>
              <w:bidi w:val="0"/>
              <w:spacing w:line="360" w:lineRule="auto"/>
              <w:rPr>
                <w:rFonts w:ascii="宋体" w:hAnsi="宋体"/>
                <w:color w:val="auto"/>
              </w:rPr>
            </w:pPr>
            <w:r>
              <w:rPr>
                <w:rFonts w:hint="eastAsia" w:ascii="宋体" w:hAnsi="宋体"/>
                <w:color w:val="auto"/>
              </w:rPr>
              <w:t>接受分包的第三人资质要求：</w:t>
            </w:r>
            <w:bookmarkEnd w:id="31"/>
            <w:r>
              <w:rPr>
                <w:rFonts w:hint="eastAsia" w:ascii="宋体" w:hAnsi="宋体"/>
                <w:color w:val="auto"/>
              </w:rPr>
              <w:t>/</w:t>
            </w:r>
          </w:p>
        </w:tc>
      </w:tr>
      <w:tr>
        <w:tblPrEx>
          <w:tblCellMar>
            <w:top w:w="0" w:type="dxa"/>
            <w:left w:w="108" w:type="dxa"/>
            <w:bottom w:w="0" w:type="dxa"/>
            <w:right w:w="108" w:type="dxa"/>
          </w:tblCellMar>
        </w:tblPrEx>
        <w:trPr>
          <w:gridAfter w:val="1"/>
          <w:wAfter w:w="1678" w:type="dxa"/>
          <w:trHeight w:val="1893" w:hRule="atLeast"/>
        </w:trPr>
        <w:tc>
          <w:tcPr>
            <w:tcW w:w="9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left"/>
              <w:rPr>
                <w:rFonts w:ascii="宋体" w:hAnsi="宋体"/>
              </w:rPr>
            </w:pPr>
            <w:r>
              <w:rPr>
                <w:rFonts w:ascii="宋体" w:hAnsi="宋体"/>
              </w:rPr>
              <w:t>1.</w:t>
            </w:r>
            <w:r>
              <w:rPr>
                <w:rFonts w:hint="eastAsia" w:ascii="宋体" w:hAnsi="宋体"/>
              </w:rPr>
              <w:t>.8.1</w:t>
            </w:r>
          </w:p>
        </w:tc>
        <w:tc>
          <w:tcPr>
            <w:tcW w:w="178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rPr>
            </w:pPr>
            <w:r>
              <w:rPr>
                <w:rFonts w:ascii="宋体" w:hAnsi="宋体"/>
              </w:rPr>
              <w:t>偏离</w:t>
            </w:r>
          </w:p>
        </w:tc>
        <w:tc>
          <w:tcPr>
            <w:tcW w:w="579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color w:val="auto"/>
              </w:rPr>
            </w:pPr>
            <w:bookmarkStart w:id="32" w:name="EptNR_是否允许偏离"/>
            <w:r>
              <w:rPr>
                <w:rFonts w:ascii="宋体" w:hAnsi="宋体"/>
                <w:color w:val="auto"/>
              </w:rPr>
              <w:fldChar w:fldCharType="begin"/>
            </w:r>
            <w:r>
              <w:rPr>
                <w:rFonts w:hint="eastAsia" w:ascii="宋体" w:hAnsi="宋体"/>
                <w:color w:val="auto"/>
              </w:rPr>
              <w:instrText xml:space="preserve">eq \o\ac(□,</w:instrText>
            </w:r>
            <w:r>
              <w:rPr>
                <w:rFonts w:hint="eastAsia" w:ascii="宋体" w:hAnsi="宋体"/>
                <w:color w:val="auto"/>
                <w:position w:val="1"/>
                <w:sz w:val="14"/>
              </w:rPr>
              <w:instrText xml:space="preserve">√</w:instrText>
            </w:r>
            <w:r>
              <w:rPr>
                <w:rFonts w:hint="eastAsia" w:ascii="宋体" w:hAnsi="宋体"/>
                <w:color w:val="auto"/>
              </w:rPr>
              <w:instrText xml:space="preserve">)</w:instrText>
            </w:r>
            <w:r>
              <w:rPr>
                <w:rFonts w:ascii="宋体" w:hAnsi="宋体"/>
                <w:color w:val="auto"/>
              </w:rPr>
              <w:fldChar w:fldCharType="end"/>
            </w:r>
            <w:r>
              <w:rPr>
                <w:rFonts w:hint="eastAsia" w:ascii="宋体" w:hAnsi="宋体"/>
                <w:color w:val="auto"/>
              </w:rPr>
              <w:t>不允许</w:t>
            </w:r>
          </w:p>
          <w:p>
            <w:pPr>
              <w:pageBreakBefore w:val="0"/>
              <w:kinsoku/>
              <w:wordWrap/>
              <w:overflowPunct/>
              <w:topLinePunct w:val="0"/>
              <w:autoSpaceDE/>
              <w:autoSpaceDN/>
              <w:bidi w:val="0"/>
              <w:spacing w:line="360" w:lineRule="auto"/>
              <w:rPr>
                <w:rFonts w:ascii="宋体" w:hAnsi="宋体"/>
                <w:color w:val="auto"/>
              </w:rPr>
            </w:pPr>
            <w:r>
              <w:rPr>
                <w:rFonts w:hint="eastAsia" w:ascii="宋体" w:hAnsi="宋体"/>
                <w:color w:val="auto"/>
              </w:rPr>
              <w:t>□允许，可偏离的项目和范围见第七章“技术标准和要求”，</w:t>
            </w:r>
          </w:p>
          <w:p>
            <w:pPr>
              <w:pageBreakBefore w:val="0"/>
              <w:kinsoku/>
              <w:wordWrap/>
              <w:overflowPunct/>
              <w:topLinePunct w:val="0"/>
              <w:autoSpaceDE/>
              <w:autoSpaceDN/>
              <w:bidi w:val="0"/>
              <w:spacing w:line="360" w:lineRule="auto"/>
              <w:rPr>
                <w:rFonts w:ascii="宋体" w:hAnsi="宋体"/>
                <w:color w:val="auto"/>
              </w:rPr>
            </w:pPr>
            <w:r>
              <w:rPr>
                <w:rFonts w:hint="eastAsia" w:ascii="宋体" w:hAnsi="宋体"/>
                <w:color w:val="auto"/>
              </w:rPr>
              <w:t xml:space="preserve">        允许偏离最高项数：</w:t>
            </w:r>
            <w:bookmarkStart w:id="33" w:name="EptNR_允许偏离最高项数"/>
            <w:bookmarkEnd w:id="33"/>
            <w:r>
              <w:rPr>
                <w:rFonts w:hint="eastAsia" w:ascii="宋体" w:hAnsi="宋体"/>
                <w:color w:val="auto"/>
              </w:rPr>
              <w:t>/</w:t>
            </w:r>
          </w:p>
          <w:p>
            <w:pPr>
              <w:pageBreakBefore w:val="0"/>
              <w:kinsoku/>
              <w:wordWrap/>
              <w:overflowPunct/>
              <w:topLinePunct w:val="0"/>
              <w:autoSpaceDE/>
              <w:autoSpaceDN/>
              <w:bidi w:val="0"/>
              <w:spacing w:line="360" w:lineRule="auto"/>
              <w:rPr>
                <w:rFonts w:ascii="宋体" w:hAnsi="宋体"/>
                <w:color w:val="auto"/>
              </w:rPr>
            </w:pPr>
            <w:r>
              <w:rPr>
                <w:rFonts w:hint="eastAsia" w:ascii="宋体" w:hAnsi="宋体"/>
                <w:color w:val="auto"/>
              </w:rPr>
              <w:t xml:space="preserve">        偏差调整方法：</w:t>
            </w:r>
            <w:bookmarkEnd w:id="32"/>
            <w:bookmarkStart w:id="34" w:name="EptNR_偏差调整方法"/>
            <w:bookmarkEnd w:id="34"/>
            <w:r>
              <w:rPr>
                <w:rFonts w:hint="eastAsia" w:ascii="宋体" w:hAnsi="宋体"/>
                <w:color w:val="auto"/>
              </w:rPr>
              <w:t>/</w:t>
            </w:r>
          </w:p>
        </w:tc>
      </w:tr>
      <w:tr>
        <w:tblPrEx>
          <w:tblCellMar>
            <w:top w:w="0" w:type="dxa"/>
            <w:left w:w="108" w:type="dxa"/>
            <w:bottom w:w="0" w:type="dxa"/>
            <w:right w:w="108" w:type="dxa"/>
          </w:tblCellMar>
        </w:tblPrEx>
        <w:trPr>
          <w:gridAfter w:val="1"/>
          <w:wAfter w:w="1678" w:type="dxa"/>
          <w:trHeight w:val="567" w:hRule="atLeast"/>
        </w:trPr>
        <w:tc>
          <w:tcPr>
            <w:tcW w:w="9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left"/>
              <w:rPr>
                <w:rFonts w:ascii="宋体" w:hAnsi="宋体"/>
              </w:rPr>
            </w:pPr>
            <w:r>
              <w:rPr>
                <w:rFonts w:ascii="宋体" w:hAnsi="宋体"/>
              </w:rPr>
              <w:t>2.1</w:t>
            </w:r>
          </w:p>
        </w:tc>
        <w:tc>
          <w:tcPr>
            <w:tcW w:w="178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rPr>
            </w:pPr>
            <w:r>
              <w:rPr>
                <w:rFonts w:ascii="宋体" w:hAnsi="宋体"/>
              </w:rPr>
              <w:t>构成招标文件的其他材料</w:t>
            </w:r>
          </w:p>
        </w:tc>
        <w:tc>
          <w:tcPr>
            <w:tcW w:w="579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color w:val="auto"/>
              </w:rPr>
            </w:pPr>
            <w:bookmarkStart w:id="35" w:name="EptNR_构成招标文件的其他材料"/>
            <w:bookmarkEnd w:id="35"/>
            <w:r>
              <w:rPr>
                <w:rFonts w:hint="eastAsia" w:ascii="宋体" w:hAnsi="宋体"/>
                <w:color w:val="auto"/>
              </w:rPr>
              <w:t>招标文件补充文件、澄清、修改、答疑</w:t>
            </w:r>
          </w:p>
        </w:tc>
      </w:tr>
      <w:tr>
        <w:tblPrEx>
          <w:tblCellMar>
            <w:top w:w="0" w:type="dxa"/>
            <w:left w:w="108" w:type="dxa"/>
            <w:bottom w:w="0" w:type="dxa"/>
            <w:right w:w="108" w:type="dxa"/>
          </w:tblCellMar>
        </w:tblPrEx>
        <w:trPr>
          <w:gridAfter w:val="1"/>
          <w:wAfter w:w="1678" w:type="dxa"/>
          <w:trHeight w:val="567" w:hRule="atLeast"/>
        </w:trPr>
        <w:tc>
          <w:tcPr>
            <w:tcW w:w="9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left"/>
              <w:rPr>
                <w:rFonts w:ascii="宋体" w:hAnsi="宋体"/>
              </w:rPr>
            </w:pPr>
            <w:r>
              <w:rPr>
                <w:rFonts w:ascii="宋体" w:hAnsi="宋体"/>
              </w:rPr>
              <w:t>2.2.</w:t>
            </w:r>
            <w:r>
              <w:rPr>
                <w:rFonts w:hint="eastAsia" w:ascii="宋体" w:hAnsi="宋体"/>
              </w:rPr>
              <w:t>1</w:t>
            </w:r>
          </w:p>
        </w:tc>
        <w:tc>
          <w:tcPr>
            <w:tcW w:w="178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rPr>
            </w:pPr>
            <w:r>
              <w:rPr>
                <w:rFonts w:hint="eastAsia" w:ascii="宋体" w:hAnsi="宋体"/>
              </w:rPr>
              <w:t>招标</w:t>
            </w:r>
            <w:r>
              <w:rPr>
                <w:rFonts w:ascii="宋体" w:hAnsi="宋体"/>
              </w:rPr>
              <w:t>人澄清招标文件的截止时间</w:t>
            </w:r>
          </w:p>
        </w:tc>
        <w:tc>
          <w:tcPr>
            <w:tcW w:w="579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color w:val="auto"/>
              </w:rPr>
            </w:pPr>
            <w:bookmarkStart w:id="36" w:name="EB4c350480e98b49e9be63fb1d033cd6bc"/>
            <w:r>
              <w:rPr>
                <w:rFonts w:ascii="宋体" w:hAnsi="宋体"/>
                <w:color w:val="auto"/>
                <w:highlight w:val="white"/>
              </w:rPr>
              <w:t>递交投标文件的截止时间 15 日</w:t>
            </w:r>
            <w:bookmarkEnd w:id="36"/>
            <w:r>
              <w:rPr>
                <w:rFonts w:hint="eastAsia" w:ascii="宋体" w:hAnsi="宋体"/>
                <w:color w:val="auto"/>
                <w:highlight w:val="white"/>
              </w:rPr>
              <w:t>前</w:t>
            </w:r>
          </w:p>
        </w:tc>
      </w:tr>
      <w:tr>
        <w:tblPrEx>
          <w:tblCellMar>
            <w:top w:w="0" w:type="dxa"/>
            <w:left w:w="108" w:type="dxa"/>
            <w:bottom w:w="0" w:type="dxa"/>
            <w:right w:w="108" w:type="dxa"/>
          </w:tblCellMar>
        </w:tblPrEx>
        <w:trPr>
          <w:gridAfter w:val="1"/>
          <w:wAfter w:w="1678" w:type="dxa"/>
          <w:trHeight w:val="567" w:hRule="atLeast"/>
        </w:trPr>
        <w:tc>
          <w:tcPr>
            <w:tcW w:w="9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left"/>
              <w:rPr>
                <w:rFonts w:ascii="宋体" w:hAnsi="宋体"/>
              </w:rPr>
            </w:pPr>
            <w:r>
              <w:rPr>
                <w:rFonts w:hint="eastAsia" w:ascii="宋体" w:hAnsi="宋体"/>
              </w:rPr>
              <w:t>2.2.2</w:t>
            </w:r>
          </w:p>
        </w:tc>
        <w:tc>
          <w:tcPr>
            <w:tcW w:w="178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rPr>
            </w:pPr>
            <w:r>
              <w:rPr>
                <w:rFonts w:hint="eastAsia" w:ascii="宋体" w:hAnsi="宋体"/>
              </w:rPr>
              <w:t>投标</w:t>
            </w:r>
            <w:r>
              <w:rPr>
                <w:rFonts w:ascii="宋体" w:hAnsi="宋体"/>
              </w:rPr>
              <w:t>人对招标文件提出异议的截止时间</w:t>
            </w:r>
          </w:p>
        </w:tc>
        <w:tc>
          <w:tcPr>
            <w:tcW w:w="579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color w:val="auto"/>
              </w:rPr>
            </w:pPr>
            <w:bookmarkStart w:id="37" w:name="EBb14243a6a3d24887bc9fa14f41fa715c"/>
            <w:r>
              <w:rPr>
                <w:rFonts w:ascii="宋体" w:hAnsi="宋体"/>
                <w:color w:val="auto"/>
                <w:highlight w:val="white"/>
              </w:rPr>
              <w:t>递交投标文件的截止时间 10 日</w:t>
            </w:r>
            <w:bookmarkEnd w:id="37"/>
            <w:r>
              <w:rPr>
                <w:rFonts w:hint="eastAsia" w:ascii="宋体" w:hAnsi="宋体"/>
                <w:color w:val="auto"/>
                <w:highlight w:val="white"/>
              </w:rPr>
              <w:t>前</w:t>
            </w:r>
          </w:p>
        </w:tc>
      </w:tr>
      <w:tr>
        <w:tblPrEx>
          <w:tblCellMar>
            <w:top w:w="0" w:type="dxa"/>
            <w:left w:w="108" w:type="dxa"/>
            <w:bottom w:w="0" w:type="dxa"/>
            <w:right w:w="108" w:type="dxa"/>
          </w:tblCellMar>
        </w:tblPrEx>
        <w:trPr>
          <w:gridAfter w:val="1"/>
          <w:wAfter w:w="1678" w:type="dxa"/>
          <w:trHeight w:val="567" w:hRule="atLeast"/>
        </w:trPr>
        <w:tc>
          <w:tcPr>
            <w:tcW w:w="9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left"/>
              <w:rPr>
                <w:rFonts w:ascii="宋体" w:hAnsi="宋体"/>
              </w:rPr>
            </w:pPr>
            <w:r>
              <w:rPr>
                <w:rFonts w:hint="eastAsia" w:ascii="宋体" w:hAnsi="宋体"/>
              </w:rPr>
              <w:t>2.2.3</w:t>
            </w:r>
          </w:p>
        </w:tc>
        <w:tc>
          <w:tcPr>
            <w:tcW w:w="178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rPr>
            </w:pPr>
            <w:r>
              <w:rPr>
                <w:rFonts w:hint="eastAsia" w:ascii="宋体" w:hAnsi="宋体"/>
              </w:rPr>
              <w:t>招标</w:t>
            </w:r>
            <w:r>
              <w:rPr>
                <w:rFonts w:ascii="宋体" w:hAnsi="宋体"/>
              </w:rPr>
              <w:t>人对</w:t>
            </w:r>
            <w:r>
              <w:rPr>
                <w:rFonts w:hint="eastAsia" w:ascii="宋体" w:hAnsi="宋体"/>
              </w:rPr>
              <w:t>投标</w:t>
            </w:r>
            <w:r>
              <w:rPr>
                <w:rFonts w:ascii="宋体" w:hAnsi="宋体"/>
              </w:rPr>
              <w:t>人提出异议的</w:t>
            </w:r>
            <w:r>
              <w:rPr>
                <w:rFonts w:hint="eastAsia" w:ascii="宋体" w:hAnsi="宋体"/>
              </w:rPr>
              <w:t>答复</w:t>
            </w:r>
            <w:r>
              <w:rPr>
                <w:rFonts w:ascii="宋体" w:hAnsi="宋体"/>
              </w:rPr>
              <w:t>时间</w:t>
            </w:r>
          </w:p>
        </w:tc>
        <w:tc>
          <w:tcPr>
            <w:tcW w:w="579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color w:val="auto"/>
              </w:rPr>
            </w:pPr>
            <w:bookmarkStart w:id="38" w:name="EB2193b223cfcb452c95fb79255d37ecae"/>
            <w:r>
              <w:rPr>
                <w:rFonts w:ascii="宋体" w:hAnsi="宋体"/>
                <w:color w:val="auto"/>
                <w:highlight w:val="white"/>
              </w:rPr>
              <w:t>递交投标文件的截止时间 15日</w:t>
            </w:r>
            <w:bookmarkEnd w:id="38"/>
            <w:r>
              <w:rPr>
                <w:rFonts w:hint="eastAsia" w:ascii="宋体" w:hAnsi="宋体"/>
                <w:color w:val="auto"/>
                <w:highlight w:val="white"/>
              </w:rPr>
              <w:t>前</w:t>
            </w:r>
          </w:p>
        </w:tc>
      </w:tr>
      <w:tr>
        <w:tblPrEx>
          <w:tblCellMar>
            <w:top w:w="0" w:type="dxa"/>
            <w:left w:w="108" w:type="dxa"/>
            <w:bottom w:w="0" w:type="dxa"/>
            <w:right w:w="108" w:type="dxa"/>
          </w:tblCellMar>
        </w:tblPrEx>
        <w:trPr>
          <w:gridAfter w:val="1"/>
          <w:wAfter w:w="1678" w:type="dxa"/>
          <w:trHeight w:val="567" w:hRule="atLeast"/>
        </w:trPr>
        <w:tc>
          <w:tcPr>
            <w:tcW w:w="9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left"/>
              <w:rPr>
                <w:rFonts w:ascii="宋体" w:hAnsi="宋体"/>
              </w:rPr>
            </w:pPr>
            <w:r>
              <w:rPr>
                <w:rFonts w:ascii="宋体" w:hAnsi="宋体"/>
              </w:rPr>
              <w:t>3.1.1</w:t>
            </w:r>
          </w:p>
        </w:tc>
        <w:tc>
          <w:tcPr>
            <w:tcW w:w="178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rPr>
            </w:pPr>
            <w:r>
              <w:rPr>
                <w:rFonts w:ascii="宋体" w:hAnsi="宋体"/>
              </w:rPr>
              <w:t>投标文件递交</w:t>
            </w:r>
            <w:r>
              <w:rPr>
                <w:rFonts w:hint="eastAsia" w:ascii="宋体" w:hAnsi="宋体"/>
              </w:rPr>
              <w:t>截止</w:t>
            </w:r>
            <w:r>
              <w:rPr>
                <w:rFonts w:ascii="宋体" w:hAnsi="宋体"/>
              </w:rPr>
              <w:t>时间</w:t>
            </w:r>
          </w:p>
        </w:tc>
        <w:tc>
          <w:tcPr>
            <w:tcW w:w="5791" w:type="dxa"/>
            <w:gridSpan w:val="2"/>
            <w:tcBorders>
              <w:top w:val="single" w:color="auto" w:sz="4" w:space="0"/>
              <w:left w:val="single" w:color="auto" w:sz="4" w:space="0"/>
              <w:bottom w:val="single" w:color="auto" w:sz="4" w:space="0"/>
              <w:right w:val="single" w:color="auto" w:sz="4" w:space="0"/>
            </w:tcBorders>
            <w:vAlign w:val="center"/>
          </w:tcPr>
          <w:p>
            <w:pPr>
              <w:pStyle w:val="17"/>
              <w:bidi w:val="0"/>
              <w:rPr>
                <w:rFonts w:ascii="宋体" w:hAnsi="宋体"/>
                <w:b/>
                <w:color w:val="FF0000"/>
              </w:rPr>
            </w:pPr>
            <w:r>
              <w:rPr>
                <w:rFonts w:hint="eastAsia"/>
              </w:rPr>
              <w:t>202</w:t>
            </w:r>
            <w:r>
              <w:rPr>
                <w:rFonts w:hint="eastAsia"/>
                <w:lang w:val="en-US" w:eastAsia="zh-CN"/>
              </w:rPr>
              <w:t>4</w:t>
            </w:r>
            <w:r>
              <w:rPr>
                <w:rFonts w:hint="eastAsia"/>
              </w:rPr>
              <w:t xml:space="preserve">年 </w:t>
            </w:r>
            <w:r>
              <w:rPr>
                <w:rFonts w:hint="eastAsia"/>
                <w:lang w:val="en-US" w:eastAsia="zh-CN"/>
              </w:rPr>
              <w:t>5</w:t>
            </w:r>
            <w:r>
              <w:rPr>
                <w:rFonts w:hint="eastAsia"/>
              </w:rPr>
              <w:t xml:space="preserve"> 月 </w:t>
            </w:r>
            <w:r>
              <w:rPr>
                <w:rFonts w:hint="eastAsia"/>
                <w:lang w:val="en-US" w:eastAsia="zh-CN"/>
              </w:rPr>
              <w:t>15</w:t>
            </w:r>
            <w:r>
              <w:rPr>
                <w:rFonts w:hint="eastAsia"/>
              </w:rPr>
              <w:t xml:space="preserve"> 日上午09时30分。</w:t>
            </w:r>
          </w:p>
        </w:tc>
      </w:tr>
      <w:tr>
        <w:tblPrEx>
          <w:tblCellMar>
            <w:top w:w="0" w:type="dxa"/>
            <w:left w:w="108" w:type="dxa"/>
            <w:bottom w:w="0" w:type="dxa"/>
            <w:right w:w="108" w:type="dxa"/>
          </w:tblCellMar>
        </w:tblPrEx>
        <w:trPr>
          <w:gridAfter w:val="1"/>
          <w:wAfter w:w="1678" w:type="dxa"/>
          <w:trHeight w:val="567" w:hRule="atLeast"/>
        </w:trPr>
        <w:tc>
          <w:tcPr>
            <w:tcW w:w="9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left"/>
              <w:rPr>
                <w:rFonts w:ascii="宋体" w:hAnsi="宋体"/>
              </w:rPr>
            </w:pPr>
            <w:r>
              <w:rPr>
                <w:rFonts w:hint="eastAsia" w:ascii="宋体" w:hAnsi="宋体"/>
              </w:rPr>
              <w:t>3.2</w:t>
            </w:r>
            <w:r>
              <w:rPr>
                <w:rFonts w:ascii="宋体" w:hAnsi="宋体"/>
              </w:rPr>
              <w:t>.1</w:t>
            </w:r>
          </w:p>
        </w:tc>
        <w:tc>
          <w:tcPr>
            <w:tcW w:w="178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rPr>
            </w:pPr>
            <w:r>
              <w:rPr>
                <w:rFonts w:hint="eastAsia" w:ascii="宋体" w:hAnsi="宋体"/>
              </w:rPr>
              <w:t>构成投标文件</w:t>
            </w:r>
            <w:r>
              <w:rPr>
                <w:rFonts w:ascii="宋体" w:hAnsi="宋体"/>
              </w:rPr>
              <w:t>的其他材料</w:t>
            </w:r>
          </w:p>
        </w:tc>
        <w:tc>
          <w:tcPr>
            <w:tcW w:w="579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color w:val="auto"/>
                <w:u w:val="single"/>
              </w:rPr>
            </w:pPr>
            <w:r>
              <w:rPr>
                <w:rFonts w:hint="eastAsia"/>
                <w:color w:val="auto"/>
                <w:szCs w:val="21"/>
              </w:rPr>
              <w:t>投标文件澄清、说明或补正及其他投标人认为有必要提供的材料。</w:t>
            </w:r>
          </w:p>
        </w:tc>
      </w:tr>
      <w:tr>
        <w:tblPrEx>
          <w:tblCellMar>
            <w:top w:w="0" w:type="dxa"/>
            <w:left w:w="108" w:type="dxa"/>
            <w:bottom w:w="0" w:type="dxa"/>
            <w:right w:w="108" w:type="dxa"/>
          </w:tblCellMar>
        </w:tblPrEx>
        <w:trPr>
          <w:gridAfter w:val="1"/>
          <w:wAfter w:w="1678" w:type="dxa"/>
          <w:trHeight w:val="567" w:hRule="atLeast"/>
        </w:trPr>
        <w:tc>
          <w:tcPr>
            <w:tcW w:w="9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left"/>
              <w:rPr>
                <w:rFonts w:ascii="宋体" w:hAnsi="宋体"/>
              </w:rPr>
            </w:pPr>
            <w:r>
              <w:rPr>
                <w:rFonts w:ascii="宋体" w:hAnsi="宋体"/>
              </w:rPr>
              <w:t>3.</w:t>
            </w:r>
            <w:r>
              <w:rPr>
                <w:rFonts w:hint="eastAsia" w:ascii="宋体" w:hAnsi="宋体"/>
              </w:rPr>
              <w:t>3.1</w:t>
            </w:r>
          </w:p>
        </w:tc>
        <w:tc>
          <w:tcPr>
            <w:tcW w:w="178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rPr>
            </w:pPr>
            <w:r>
              <w:rPr>
                <w:rFonts w:ascii="宋体" w:hAnsi="宋体"/>
              </w:rPr>
              <w:t>投标有效期</w:t>
            </w:r>
          </w:p>
        </w:tc>
        <w:tc>
          <w:tcPr>
            <w:tcW w:w="579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color w:val="auto"/>
              </w:rPr>
            </w:pPr>
            <w:bookmarkStart w:id="39" w:name="EptNR_投标有效期"/>
            <w:r>
              <w:rPr>
                <w:rFonts w:ascii="宋体" w:hAnsi="宋体"/>
                <w:color w:val="auto"/>
              </w:rPr>
              <w:t>60</w:t>
            </w:r>
            <w:bookmarkEnd w:id="39"/>
            <w:r>
              <w:rPr>
                <w:rFonts w:hint="eastAsia" w:ascii="宋体" w:hAnsi="宋体"/>
                <w:color w:val="auto"/>
              </w:rPr>
              <w:t>日历天</w:t>
            </w:r>
          </w:p>
        </w:tc>
      </w:tr>
      <w:tr>
        <w:tblPrEx>
          <w:tblCellMar>
            <w:top w:w="0" w:type="dxa"/>
            <w:left w:w="108" w:type="dxa"/>
            <w:bottom w:w="0" w:type="dxa"/>
            <w:right w:w="108" w:type="dxa"/>
          </w:tblCellMar>
        </w:tblPrEx>
        <w:trPr>
          <w:gridAfter w:val="1"/>
          <w:wAfter w:w="1678" w:type="dxa"/>
          <w:trHeight w:val="567" w:hRule="atLeast"/>
        </w:trPr>
        <w:tc>
          <w:tcPr>
            <w:tcW w:w="9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left"/>
              <w:rPr>
                <w:rFonts w:ascii="宋体" w:hAnsi="宋体"/>
              </w:rPr>
            </w:pPr>
            <w:r>
              <w:rPr>
                <w:rFonts w:ascii="宋体" w:hAnsi="宋体"/>
              </w:rPr>
              <w:t>3.</w:t>
            </w:r>
            <w:r>
              <w:rPr>
                <w:rFonts w:hint="eastAsia" w:ascii="宋体" w:hAnsi="宋体"/>
              </w:rPr>
              <w:t>4</w:t>
            </w:r>
            <w:r>
              <w:rPr>
                <w:rFonts w:ascii="宋体" w:hAnsi="宋体"/>
              </w:rPr>
              <w:t>.1</w:t>
            </w:r>
          </w:p>
        </w:tc>
        <w:tc>
          <w:tcPr>
            <w:tcW w:w="178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rPr>
            </w:pPr>
            <w:r>
              <w:rPr>
                <w:rFonts w:ascii="宋体" w:hAnsi="宋体"/>
              </w:rPr>
              <w:t>投标保证金</w:t>
            </w:r>
          </w:p>
        </w:tc>
        <w:tc>
          <w:tcPr>
            <w:tcW w:w="5791" w:type="dxa"/>
            <w:gridSpan w:val="2"/>
            <w:tcBorders>
              <w:top w:val="single" w:color="auto" w:sz="4" w:space="0"/>
              <w:left w:val="single" w:color="auto" w:sz="4" w:space="0"/>
              <w:bottom w:val="single" w:color="auto" w:sz="4" w:space="0"/>
              <w:right w:val="single" w:color="auto" w:sz="4" w:space="0"/>
            </w:tcBorders>
            <w:vAlign w:val="center"/>
          </w:tcPr>
          <w:p>
            <w:pPr>
              <w:pageBreakBefore w:val="0"/>
              <w:numPr>
                <w:ilvl w:val="0"/>
                <w:numId w:val="0"/>
              </w:numPr>
              <w:kinsoku/>
              <w:wordWrap/>
              <w:overflowPunct/>
              <w:topLinePunct w:val="0"/>
              <w:autoSpaceDE/>
              <w:autoSpaceDN/>
              <w:bidi w:val="0"/>
              <w:adjustRightInd w:val="0"/>
              <w:snapToGrid w:val="0"/>
              <w:spacing w:line="360" w:lineRule="auto"/>
              <w:ind w:left="360" w:leftChars="0" w:hanging="360" w:firstLineChars="0"/>
              <w:textAlignment w:val="baseline"/>
              <w:rPr>
                <w:rFonts w:hint="eastAsia" w:ascii="宋体" w:hAnsi="宋体" w:eastAsia="宋体"/>
                <w:color w:val="000000"/>
              </w:rPr>
            </w:pPr>
            <w:r>
              <w:rPr>
                <w:rFonts w:hint="default" w:ascii="宋体" w:hAnsi="宋体" w:eastAsia="宋体"/>
                <w:color w:val="000000"/>
                <w:kern w:val="2"/>
                <w:sz w:val="21"/>
                <w:szCs w:val="22"/>
                <w:lang w:val="en-US" w:eastAsia="zh-CN" w:bidi="ar-SA"/>
              </w:rPr>
              <w:t>1、</w:t>
            </w:r>
            <w:r>
              <w:rPr>
                <w:rFonts w:hint="eastAsia" w:ascii="宋体" w:hAnsi="宋体" w:eastAsia="宋体"/>
                <w:color w:val="000000"/>
                <w:highlight w:val="white"/>
              </w:rPr>
              <w:t>投标保证金的金额：人民币贰拾万元整（￥：200000.00元）；</w:t>
            </w:r>
          </w:p>
          <w:p>
            <w:pPr>
              <w:pageBreakBefore w:val="0"/>
              <w:numPr>
                <w:ilvl w:val="0"/>
                <w:numId w:val="0"/>
              </w:numPr>
              <w:kinsoku/>
              <w:wordWrap/>
              <w:overflowPunct/>
              <w:topLinePunct w:val="0"/>
              <w:autoSpaceDE/>
              <w:autoSpaceDN/>
              <w:bidi w:val="0"/>
              <w:adjustRightInd w:val="0"/>
              <w:snapToGrid w:val="0"/>
              <w:spacing w:line="360" w:lineRule="auto"/>
              <w:ind w:left="360" w:leftChars="0" w:hanging="360" w:firstLineChars="0"/>
              <w:textAlignment w:val="baseline"/>
              <w:rPr>
                <w:rFonts w:hint="eastAsia" w:ascii="宋体" w:hAnsi="宋体" w:eastAsia="宋体"/>
                <w:color w:val="000000"/>
              </w:rPr>
            </w:pPr>
            <w:r>
              <w:rPr>
                <w:rFonts w:hint="default" w:ascii="宋体" w:hAnsi="宋体" w:eastAsia="宋体"/>
                <w:color w:val="000000"/>
                <w:kern w:val="2"/>
                <w:sz w:val="21"/>
                <w:szCs w:val="22"/>
                <w:lang w:val="en-US" w:eastAsia="zh-CN" w:bidi="ar-SA"/>
              </w:rPr>
              <w:t>2、</w:t>
            </w:r>
            <w:r>
              <w:rPr>
                <w:rFonts w:ascii="宋体" w:hAnsi="宋体" w:eastAsia="宋体"/>
                <w:color w:val="000000"/>
                <w:highlight w:val="white"/>
              </w:rPr>
              <w:t>本招标项目投标保证金同时允许转账、电子投标保函、银行保函和承诺函四种方式，未按以下要求将视为未交纳投标保证金，其投标文件将被拒绝，不能参加开标活动</w:t>
            </w:r>
            <w:r>
              <w:rPr>
                <w:rFonts w:hint="eastAsia" w:ascii="宋体" w:hAnsi="宋体" w:eastAsia="宋体"/>
                <w:color w:val="000000"/>
                <w:highlight w:val="white"/>
              </w:rPr>
              <w:t>；</w:t>
            </w:r>
          </w:p>
          <w:p>
            <w:pPr>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olor w:val="000000"/>
              </w:rPr>
            </w:pPr>
            <w:r>
              <w:rPr>
                <w:rFonts w:hint="eastAsia" w:ascii="宋体" w:hAnsi="宋体" w:eastAsia="宋体"/>
                <w:color w:val="000000"/>
                <w:highlight w:val="white"/>
              </w:rPr>
              <w:t>A.以转账方式交纳投标保证金，具体要求如下：</w:t>
            </w:r>
          </w:p>
          <w:p>
            <w:pPr>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olor w:val="000000"/>
              </w:rPr>
            </w:pPr>
            <w:r>
              <w:rPr>
                <w:rFonts w:hint="eastAsia" w:ascii="宋体" w:hAnsi="宋体" w:eastAsia="宋体"/>
                <w:color w:val="000000"/>
                <w:highlight w:val="white"/>
              </w:rPr>
              <w:t>投标保证金交至：唐河县公共资源交易中心。</w:t>
            </w:r>
          </w:p>
          <w:p>
            <w:pPr>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olor w:val="000000"/>
              </w:rPr>
            </w:pPr>
            <w:r>
              <w:rPr>
                <w:rFonts w:hint="eastAsia" w:ascii="宋体" w:hAnsi="宋体" w:eastAsia="宋体"/>
                <w:color w:val="000000"/>
                <w:highlight w:val="white"/>
              </w:rPr>
              <w:t>于</w:t>
            </w:r>
            <w:bookmarkStart w:id="40" w:name="EB2d37de7e932f4c8b8656e5a0f628c43b"/>
            <w:r>
              <w:rPr>
                <w:rFonts w:hint="eastAsia" w:ascii="宋体" w:hAnsi="宋体" w:eastAsia="宋体"/>
                <w:color w:val="000000"/>
                <w:highlight w:val="white"/>
              </w:rPr>
              <w:t>2024年</w:t>
            </w:r>
            <w:r>
              <w:rPr>
                <w:rFonts w:hint="eastAsia" w:ascii="宋体" w:hAnsi="宋体" w:eastAsia="宋体"/>
                <w:color w:val="000000"/>
                <w:highlight w:val="white"/>
                <w:lang w:val="en-US" w:eastAsia="zh-CN"/>
              </w:rPr>
              <w:t xml:space="preserve">  </w:t>
            </w:r>
            <w:r>
              <w:rPr>
                <w:rFonts w:hint="eastAsia" w:ascii="宋体" w:hAnsi="宋体" w:eastAsia="宋体"/>
                <w:color w:val="000000"/>
                <w:highlight w:val="white"/>
              </w:rPr>
              <w:t>月</w:t>
            </w:r>
            <w:r>
              <w:rPr>
                <w:rFonts w:hint="eastAsia" w:ascii="宋体" w:hAnsi="宋体" w:eastAsia="宋体"/>
                <w:color w:val="000000"/>
                <w:highlight w:val="white"/>
                <w:lang w:val="en-US" w:eastAsia="zh-CN"/>
              </w:rPr>
              <w:t xml:space="preserve">  </w:t>
            </w:r>
            <w:r>
              <w:rPr>
                <w:rFonts w:hint="eastAsia" w:ascii="宋体" w:hAnsi="宋体" w:eastAsia="宋体"/>
                <w:color w:val="000000"/>
                <w:highlight w:val="white"/>
              </w:rPr>
              <w:t>日 17:00</w:t>
            </w:r>
            <w:bookmarkEnd w:id="40"/>
            <w:r>
              <w:rPr>
                <w:rFonts w:hint="eastAsia" w:ascii="宋体" w:hAnsi="宋体" w:eastAsia="宋体"/>
                <w:color w:val="000000"/>
                <w:highlight w:val="white"/>
              </w:rPr>
              <w:t>前交至下列账户（以到账时间为准）：</w:t>
            </w:r>
          </w:p>
          <w:p>
            <w:pPr>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olor w:val="000000"/>
              </w:rPr>
            </w:pPr>
            <w:r>
              <w:rPr>
                <w:rFonts w:hint="eastAsia" w:ascii="宋体" w:hAnsi="宋体" w:eastAsia="宋体"/>
                <w:color w:val="000000"/>
                <w:highlight w:val="white"/>
              </w:rPr>
              <w:t>账户户名：唐河县公共资源交易中心</w:t>
            </w:r>
          </w:p>
          <w:p>
            <w:pPr>
              <w:pageBreakBefore w:val="0"/>
              <w:kinsoku/>
              <w:wordWrap/>
              <w:overflowPunct/>
              <w:topLinePunct w:val="0"/>
              <w:autoSpaceDE/>
              <w:autoSpaceDN/>
              <w:bidi w:val="0"/>
              <w:adjustRightInd w:val="0"/>
              <w:snapToGrid w:val="0"/>
              <w:spacing w:line="360" w:lineRule="auto"/>
              <w:textAlignment w:val="baseline"/>
              <w:rPr>
                <w:rFonts w:ascii="宋体" w:hAnsi="宋体" w:eastAsia="宋体"/>
                <w:color w:val="000000"/>
              </w:rPr>
            </w:pPr>
            <w:r>
              <w:rPr>
                <w:rFonts w:hint="eastAsia" w:ascii="宋体" w:hAnsi="宋体" w:eastAsia="宋体"/>
                <w:color w:val="000000"/>
                <w:highlight w:val="white"/>
              </w:rPr>
              <w:t>开户银行：</w:t>
            </w:r>
            <w:r>
              <w:rPr>
                <w:rFonts w:hint="eastAsia" w:ascii="宋体" w:hAnsi="宋体" w:eastAsia="宋体"/>
                <w:color w:val="000000"/>
              </w:rPr>
              <w:t>中国工商银行（唐河县支行）</w:t>
            </w:r>
          </w:p>
          <w:p>
            <w:pPr>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olor w:val="000000"/>
                <w:highlight w:val="white"/>
                <w:lang w:val="en-US" w:eastAsia="zh-CN"/>
              </w:rPr>
            </w:pPr>
            <w:r>
              <w:rPr>
                <w:rFonts w:hint="eastAsia" w:ascii="宋体" w:hAnsi="宋体" w:eastAsia="宋体"/>
                <w:color w:val="000000"/>
                <w:highlight w:val="white"/>
              </w:rPr>
              <w:t>虚拟子账号：</w:t>
            </w:r>
            <w:r>
              <w:rPr>
                <w:rFonts w:hint="eastAsia" w:ascii="宋体" w:hAnsi="宋体" w:eastAsia="宋体"/>
                <w:color w:val="000000"/>
                <w:highlight w:val="white"/>
                <w:lang w:val="en-US" w:eastAsia="zh-CN"/>
              </w:rPr>
              <w:t xml:space="preserve"> </w:t>
            </w:r>
          </w:p>
          <w:p>
            <w:pPr>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olor w:val="000000"/>
              </w:rPr>
            </w:pPr>
            <w:r>
              <w:rPr>
                <w:rFonts w:hint="eastAsia" w:ascii="宋体" w:hAnsi="宋体" w:eastAsia="宋体"/>
                <w:color w:val="000000"/>
                <w:highlight w:val="white"/>
              </w:rPr>
              <w:t>转账判定有效性的几个条件：</w:t>
            </w:r>
          </w:p>
          <w:p>
            <w:pPr>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olor w:val="000000"/>
              </w:rPr>
            </w:pPr>
            <w:r>
              <w:rPr>
                <w:rFonts w:hint="eastAsia" w:ascii="宋体" w:hAnsi="宋体" w:eastAsia="宋体"/>
                <w:color w:val="000000"/>
                <w:highlight w:val="white"/>
              </w:rPr>
              <w:t>①必须从诚信库基本户转账（账户户名和账户号码和诚信库中完全一致）；</w:t>
            </w:r>
          </w:p>
          <w:p>
            <w:pPr>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olor w:val="000000"/>
              </w:rPr>
            </w:pPr>
            <w:r>
              <w:rPr>
                <w:rFonts w:hint="eastAsia" w:ascii="宋体" w:hAnsi="宋体" w:eastAsia="宋体"/>
                <w:color w:val="000000"/>
                <w:highlight w:val="white"/>
              </w:rPr>
              <w:t>②到账时间，必须在开标时间到达前到账，以实际到账时间为判定依据（建议投标单位提前转账）；</w:t>
            </w:r>
          </w:p>
          <w:p>
            <w:pPr>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olor w:val="000000"/>
              </w:rPr>
            </w:pPr>
            <w:r>
              <w:rPr>
                <w:rFonts w:hint="eastAsia" w:ascii="宋体" w:hAnsi="宋体" w:eastAsia="宋体"/>
                <w:color w:val="000000"/>
                <w:highlight w:val="white"/>
              </w:rPr>
              <w:t>③一次性足额交纳，金额可以大于等于系统设定的金额；</w:t>
            </w:r>
          </w:p>
          <w:p>
            <w:pPr>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olor w:val="000000"/>
              </w:rPr>
            </w:pPr>
            <w:r>
              <w:rPr>
                <w:rFonts w:hint="eastAsia" w:ascii="宋体" w:hAnsi="宋体" w:eastAsia="宋体"/>
                <w:color w:val="000000"/>
                <w:highlight w:val="white"/>
              </w:rPr>
              <w:t>④因每个标段保证金账号各不相同，以上账号仅对当前标段投标有效。</w:t>
            </w:r>
          </w:p>
          <w:p>
            <w:pPr>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olor w:val="000000"/>
              </w:rPr>
            </w:pPr>
            <w:r>
              <w:rPr>
                <w:rFonts w:hint="eastAsia" w:ascii="宋体" w:hAnsi="宋体" w:eastAsia="宋体"/>
                <w:color w:val="000000"/>
                <w:highlight w:val="white"/>
              </w:rPr>
              <w:t>B．以电子保函形式交纳投标保证金，具体要求如下：</w:t>
            </w:r>
          </w:p>
          <w:p>
            <w:pPr>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olor w:val="000000"/>
              </w:rPr>
            </w:pPr>
            <w:r>
              <w:rPr>
                <w:rFonts w:hint="eastAsia" w:ascii="宋体" w:hAnsi="宋体" w:eastAsia="宋体"/>
                <w:color w:val="000000"/>
                <w:highlight w:val="white"/>
              </w:rPr>
              <w:t>①投标企业必须首先确认本企业诚信库内填写的基本账户相关信息真实准确；</w:t>
            </w:r>
          </w:p>
          <w:p>
            <w:pPr>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olor w:val="000000"/>
              </w:rPr>
            </w:pPr>
            <w:r>
              <w:rPr>
                <w:rFonts w:hint="eastAsia" w:ascii="宋体" w:hAnsi="宋体" w:eastAsia="宋体"/>
                <w:color w:val="000000"/>
                <w:highlight w:val="white"/>
              </w:rPr>
              <w:t>②企业可以在交易中心电子交易系统业务管理“电子保函申请”功能中自主选择电子保函平台、承保机构办理电子保函业务；</w:t>
            </w:r>
          </w:p>
          <w:p>
            <w:pPr>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olor w:val="000000"/>
              </w:rPr>
            </w:pPr>
            <w:r>
              <w:rPr>
                <w:rFonts w:hint="eastAsia" w:ascii="宋体" w:hAnsi="宋体" w:eastAsia="宋体"/>
                <w:color w:val="000000"/>
                <w:highlight w:val="white"/>
              </w:rPr>
              <w:t>③办理电子投标保函费用必须出自投标企业基本账户；</w:t>
            </w:r>
          </w:p>
          <w:p>
            <w:pPr>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olor w:val="000000"/>
              </w:rPr>
            </w:pPr>
            <w:r>
              <w:rPr>
                <w:rFonts w:hint="eastAsia" w:ascii="宋体" w:hAnsi="宋体" w:eastAsia="宋体"/>
                <w:color w:val="000000"/>
                <w:highlight w:val="white"/>
              </w:rPr>
              <w:t>④投标截止时间前投标企业应按照以上要求在保函平台中申请并生成电子投标保函。否则开标现场交易系统将无法获取到该投标单位的电子投标保函。</w:t>
            </w:r>
          </w:p>
          <w:p>
            <w:pPr>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olor w:val="000000"/>
                <w:highlight w:val="white"/>
              </w:rPr>
            </w:pPr>
            <w:r>
              <w:rPr>
                <w:rFonts w:ascii="宋体" w:hAnsi="宋体" w:eastAsia="宋体"/>
                <w:color w:val="000000"/>
                <w:highlight w:val="white"/>
              </w:rPr>
              <w:t> C、以银行保函形式交纳投标保证金：</w:t>
            </w:r>
          </w:p>
          <w:p>
            <w:pPr>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olor w:val="000000"/>
              </w:rPr>
            </w:pPr>
            <w:r>
              <w:rPr>
                <w:rFonts w:ascii="宋体" w:hAnsi="宋体" w:eastAsia="宋体"/>
                <w:color w:val="000000"/>
                <w:highlight w:val="white"/>
              </w:rPr>
              <w:t>使用银行保函的投标企业需在投标截止时间前，通过唐河县交易平台保证金缴纳系统在“银行保函和承诺函”端口上传银行保函原件电子扫描件。</w:t>
            </w:r>
          </w:p>
          <w:p>
            <w:pPr>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olor w:val="000000"/>
                <w:highlight w:val="white"/>
              </w:rPr>
            </w:pPr>
            <w:r>
              <w:rPr>
                <w:rFonts w:ascii="宋体" w:hAnsi="宋体" w:eastAsia="宋体"/>
                <w:color w:val="000000"/>
                <w:highlight w:val="white"/>
              </w:rPr>
              <w:t>D、具备AAA级信用投标企业和建设工程服务类项目免缴投标保证金。</w:t>
            </w:r>
          </w:p>
          <w:p>
            <w:pPr>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olor w:val="000000"/>
                <w:highlight w:val="white"/>
              </w:rPr>
            </w:pPr>
            <w:r>
              <w:rPr>
                <w:rFonts w:hint="eastAsia" w:ascii="宋体" w:hAnsi="宋体" w:eastAsia="宋体"/>
                <w:color w:val="000000"/>
                <w:highlight w:val="white"/>
              </w:rPr>
              <w:t>①</w:t>
            </w:r>
            <w:r>
              <w:rPr>
                <w:rFonts w:ascii="宋体" w:hAnsi="宋体" w:eastAsia="宋体"/>
                <w:color w:val="000000"/>
                <w:highlight w:val="white"/>
              </w:rPr>
              <w:t>纳入南阳市建筑业企业信用评价且结果为AAA级的各类投标企业，在参与唐河县政府投资项目招标投标活动中，可免缴投标保证金。在投标截止时间前，通过唐河县交易平台保证金缴纳系统在“银行保函和承诺函”端口上传投标承诺函原件电子扫描件。</w:t>
            </w:r>
          </w:p>
          <w:p>
            <w:pPr>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olor w:val="000000"/>
                <w:highlight w:val="white"/>
              </w:rPr>
            </w:pPr>
            <w:r>
              <w:rPr>
                <w:rFonts w:hint="eastAsia" w:ascii="宋体" w:hAnsi="宋体" w:eastAsia="宋体"/>
                <w:color w:val="000000"/>
                <w:highlight w:val="white"/>
              </w:rPr>
              <w:t>②</w:t>
            </w:r>
            <w:r>
              <w:rPr>
                <w:rFonts w:ascii="宋体" w:hAnsi="宋体" w:eastAsia="宋体"/>
                <w:color w:val="000000"/>
                <w:highlight w:val="white"/>
              </w:rPr>
              <w:t>按照《南阳市公共资源交易管理委员会办公室关于进一步优化招标投标营商环境的通知》（宛公管办【2021】2号）文的要求，在唐河县政府投资建设工程项目的咨询、规划、勘察、设计和监理等服务类项目招投标活动中，推行以投标承诺函替代投标保证金。需在投标截止时间前，通过唐河县交易平台保证金缴纳系统在“银行保函和承诺函”端口上传投标保证金承诺函原件电子扫描件。</w:t>
            </w:r>
          </w:p>
          <w:p>
            <w:pPr>
              <w:pageBreakBefore w:val="0"/>
              <w:kinsoku/>
              <w:wordWrap/>
              <w:overflowPunct/>
              <w:topLinePunct w:val="0"/>
              <w:autoSpaceDE/>
              <w:autoSpaceDN/>
              <w:bidi w:val="0"/>
              <w:spacing w:line="360" w:lineRule="auto"/>
              <w:rPr>
                <w:color w:val="0070C0"/>
                <w:szCs w:val="21"/>
              </w:rPr>
            </w:pPr>
            <w:r>
              <w:rPr>
                <w:color w:val="0070C0"/>
                <w:szCs w:val="21"/>
              </w:rPr>
              <w:t>投标保证金承诺函</w:t>
            </w:r>
            <w:r>
              <w:rPr>
                <w:rFonts w:hint="eastAsia"/>
                <w:color w:val="0070C0"/>
                <w:szCs w:val="21"/>
              </w:rPr>
              <w:t>模板如下：</w:t>
            </w:r>
          </w:p>
          <w:p>
            <w:pPr>
              <w:pageBreakBefore w:val="0"/>
              <w:kinsoku/>
              <w:wordWrap/>
              <w:overflowPunct/>
              <w:topLinePunct w:val="0"/>
              <w:autoSpaceDE/>
              <w:autoSpaceDN/>
              <w:bidi w:val="0"/>
              <w:spacing w:line="360" w:lineRule="auto"/>
              <w:rPr>
                <w:color w:val="0070C0"/>
                <w:szCs w:val="21"/>
              </w:rPr>
            </w:pPr>
            <w:r>
              <w:rPr>
                <w:rFonts w:hint="eastAsia"/>
                <w:color w:val="0070C0"/>
                <w:szCs w:val="21"/>
              </w:rPr>
              <w:t>投标承诺函</w:t>
            </w:r>
          </w:p>
          <w:p>
            <w:pPr>
              <w:pageBreakBefore w:val="0"/>
              <w:kinsoku/>
              <w:wordWrap/>
              <w:overflowPunct/>
              <w:topLinePunct w:val="0"/>
              <w:autoSpaceDE/>
              <w:autoSpaceDN/>
              <w:bidi w:val="0"/>
              <w:spacing w:line="360" w:lineRule="auto"/>
              <w:rPr>
                <w:color w:val="0070C0"/>
                <w:szCs w:val="21"/>
              </w:rPr>
            </w:pPr>
            <w:r>
              <w:rPr>
                <w:rFonts w:hint="eastAsia"/>
                <w:color w:val="0070C0"/>
                <w:szCs w:val="21"/>
              </w:rPr>
              <w:t xml:space="preserve">市场主体名称：                                    </w:t>
            </w:r>
          </w:p>
          <w:p>
            <w:pPr>
              <w:pageBreakBefore w:val="0"/>
              <w:kinsoku/>
              <w:wordWrap/>
              <w:overflowPunct/>
              <w:topLinePunct w:val="0"/>
              <w:autoSpaceDE/>
              <w:autoSpaceDN/>
              <w:bidi w:val="0"/>
              <w:spacing w:line="360" w:lineRule="auto"/>
              <w:rPr>
                <w:color w:val="0070C0"/>
                <w:szCs w:val="21"/>
              </w:rPr>
            </w:pPr>
            <w:r>
              <w:rPr>
                <w:rFonts w:hint="eastAsia"/>
                <w:color w:val="0070C0"/>
                <w:szCs w:val="21"/>
              </w:rPr>
              <w:t xml:space="preserve">统一社会信用代码：                                </w:t>
            </w:r>
          </w:p>
          <w:p>
            <w:pPr>
              <w:pageBreakBefore w:val="0"/>
              <w:kinsoku/>
              <w:wordWrap/>
              <w:overflowPunct/>
              <w:topLinePunct w:val="0"/>
              <w:autoSpaceDE/>
              <w:autoSpaceDN/>
              <w:bidi w:val="0"/>
              <w:spacing w:line="360" w:lineRule="auto"/>
              <w:rPr>
                <w:color w:val="0070C0"/>
                <w:szCs w:val="21"/>
              </w:rPr>
            </w:pPr>
            <w:r>
              <w:rPr>
                <w:rFonts w:hint="eastAsia"/>
                <w:color w:val="0070C0"/>
                <w:szCs w:val="21"/>
              </w:rPr>
              <w:t xml:space="preserve">主管部门：                                         </w:t>
            </w:r>
          </w:p>
          <w:p>
            <w:pPr>
              <w:pageBreakBefore w:val="0"/>
              <w:kinsoku/>
              <w:wordWrap/>
              <w:overflowPunct/>
              <w:topLinePunct w:val="0"/>
              <w:autoSpaceDE/>
              <w:autoSpaceDN/>
              <w:bidi w:val="0"/>
              <w:spacing w:line="360" w:lineRule="auto"/>
              <w:rPr>
                <w:color w:val="0070C0"/>
                <w:szCs w:val="21"/>
              </w:rPr>
            </w:pPr>
            <w:r>
              <w:rPr>
                <w:rFonts w:hint="eastAsia"/>
                <w:color w:val="0070C0"/>
                <w:szCs w:val="21"/>
              </w:rPr>
              <w:t>本单位自愿作出如下承诺：</w:t>
            </w:r>
          </w:p>
          <w:p>
            <w:pPr>
              <w:pageBreakBefore w:val="0"/>
              <w:kinsoku/>
              <w:wordWrap/>
              <w:overflowPunct/>
              <w:topLinePunct w:val="0"/>
              <w:autoSpaceDE/>
              <w:autoSpaceDN/>
              <w:bidi w:val="0"/>
              <w:spacing w:line="360" w:lineRule="auto"/>
              <w:rPr>
                <w:color w:val="0070C0"/>
                <w:szCs w:val="21"/>
              </w:rPr>
            </w:pPr>
            <w:r>
              <w:rPr>
                <w:rFonts w:hint="eastAsia"/>
                <w:color w:val="0070C0"/>
                <w:szCs w:val="21"/>
              </w:rPr>
              <w:t>本单位在此次招标投标活动中，如有投标截止后撤销投标文件、中标后无正当理由不与招标人订立合同、在签订合同时向招标人提出附加条件、不按照招标文件要求提交履约保证金、或其他法律法规规定的不予退还投标保证金的行为，承诺在招标人要求的时限内补交投标保证金、承担行业主管部门和信用管理部门相应的规定处罚，承担因此造成的一切法律责任。</w:t>
            </w:r>
          </w:p>
          <w:p>
            <w:pPr>
              <w:pageBreakBefore w:val="0"/>
              <w:kinsoku/>
              <w:wordWrap/>
              <w:overflowPunct/>
              <w:topLinePunct w:val="0"/>
              <w:autoSpaceDE/>
              <w:autoSpaceDN/>
              <w:bidi w:val="0"/>
              <w:spacing w:line="360" w:lineRule="auto"/>
              <w:rPr>
                <w:color w:val="0070C0"/>
                <w:szCs w:val="21"/>
              </w:rPr>
            </w:pPr>
            <w:r>
              <w:rPr>
                <w:rFonts w:hint="eastAsia"/>
                <w:color w:val="0070C0"/>
                <w:szCs w:val="21"/>
              </w:rPr>
              <w:t>授权委托人签字：</w:t>
            </w:r>
          </w:p>
          <w:p>
            <w:pPr>
              <w:pageBreakBefore w:val="0"/>
              <w:kinsoku/>
              <w:wordWrap/>
              <w:overflowPunct/>
              <w:topLinePunct w:val="0"/>
              <w:autoSpaceDE/>
              <w:autoSpaceDN/>
              <w:bidi w:val="0"/>
              <w:spacing w:line="360" w:lineRule="auto"/>
              <w:rPr>
                <w:color w:val="0070C0"/>
                <w:szCs w:val="21"/>
              </w:rPr>
            </w:pPr>
            <w:r>
              <w:rPr>
                <w:rFonts w:hint="eastAsia"/>
                <w:color w:val="0070C0"/>
                <w:szCs w:val="21"/>
              </w:rPr>
              <w:t>授权委托人联系电话：</w:t>
            </w:r>
          </w:p>
          <w:p>
            <w:pPr>
              <w:pageBreakBefore w:val="0"/>
              <w:kinsoku/>
              <w:wordWrap/>
              <w:overflowPunct/>
              <w:topLinePunct w:val="0"/>
              <w:autoSpaceDE/>
              <w:autoSpaceDN/>
              <w:bidi w:val="0"/>
              <w:spacing w:line="360" w:lineRule="auto"/>
              <w:rPr>
                <w:color w:val="0070C0"/>
                <w:szCs w:val="21"/>
              </w:rPr>
            </w:pPr>
            <w:r>
              <w:rPr>
                <w:rFonts w:hint="eastAsia"/>
                <w:color w:val="0070C0"/>
                <w:szCs w:val="21"/>
              </w:rPr>
              <w:t>企业公章：</w:t>
            </w:r>
          </w:p>
          <w:p>
            <w:pPr>
              <w:pageBreakBefore w:val="0"/>
              <w:kinsoku/>
              <w:wordWrap/>
              <w:overflowPunct/>
              <w:topLinePunct w:val="0"/>
              <w:autoSpaceDE/>
              <w:autoSpaceDN/>
              <w:bidi w:val="0"/>
              <w:spacing w:line="360" w:lineRule="auto"/>
              <w:rPr>
                <w:color w:val="0070C0"/>
                <w:szCs w:val="21"/>
              </w:rPr>
            </w:pPr>
            <w:r>
              <w:rPr>
                <w:rFonts w:hint="eastAsia"/>
                <w:color w:val="0070C0"/>
                <w:szCs w:val="21"/>
              </w:rPr>
              <w:t xml:space="preserve">法人签字或盖章： </w:t>
            </w:r>
          </w:p>
          <w:p>
            <w:pPr>
              <w:pageBreakBefore w:val="0"/>
              <w:kinsoku/>
              <w:wordWrap/>
              <w:overflowPunct/>
              <w:topLinePunct w:val="0"/>
              <w:autoSpaceDE/>
              <w:autoSpaceDN/>
              <w:bidi w:val="0"/>
              <w:spacing w:line="360" w:lineRule="auto"/>
              <w:rPr>
                <w:rFonts w:hint="eastAsia"/>
                <w:color w:val="0070C0"/>
                <w:szCs w:val="21"/>
              </w:rPr>
            </w:pPr>
            <w:r>
              <w:rPr>
                <w:rFonts w:hint="eastAsia"/>
                <w:color w:val="0070C0"/>
                <w:szCs w:val="21"/>
              </w:rPr>
              <w:t>注：投标人须根据投标保证金缴纳方式将投标保证金缴纳凭证或保函或承诺函附在投标文件中。</w:t>
            </w:r>
          </w:p>
        </w:tc>
      </w:tr>
      <w:tr>
        <w:tblPrEx>
          <w:tblCellMar>
            <w:top w:w="0" w:type="dxa"/>
            <w:left w:w="108" w:type="dxa"/>
            <w:bottom w:w="0" w:type="dxa"/>
            <w:right w:w="108" w:type="dxa"/>
          </w:tblCellMar>
        </w:tblPrEx>
        <w:trPr>
          <w:gridAfter w:val="1"/>
          <w:wAfter w:w="1678" w:type="dxa"/>
          <w:trHeight w:val="567" w:hRule="atLeast"/>
        </w:trPr>
        <w:tc>
          <w:tcPr>
            <w:tcW w:w="9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left"/>
              <w:rPr>
                <w:rFonts w:ascii="宋体" w:hAnsi="宋体"/>
              </w:rPr>
            </w:pPr>
            <w:r>
              <w:rPr>
                <w:rFonts w:ascii="宋体" w:hAnsi="宋体"/>
              </w:rPr>
              <w:t>3.</w:t>
            </w:r>
            <w:r>
              <w:rPr>
                <w:rFonts w:hint="eastAsia" w:ascii="宋体" w:hAnsi="宋体"/>
              </w:rPr>
              <w:t>5.1</w:t>
            </w:r>
          </w:p>
        </w:tc>
        <w:tc>
          <w:tcPr>
            <w:tcW w:w="178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rPr>
            </w:pPr>
            <w:r>
              <w:rPr>
                <w:rFonts w:ascii="宋体" w:hAnsi="宋体"/>
              </w:rPr>
              <w:t>是否允许递交</w:t>
            </w:r>
            <w:r>
              <w:rPr>
                <w:rFonts w:hint="eastAsia" w:ascii="宋体" w:hAnsi="宋体"/>
              </w:rPr>
              <w:br w:type="textWrapping"/>
            </w:r>
            <w:r>
              <w:rPr>
                <w:rFonts w:ascii="宋体" w:hAnsi="宋体"/>
              </w:rPr>
              <w:t>备选投标方案</w:t>
            </w:r>
          </w:p>
        </w:tc>
        <w:tc>
          <w:tcPr>
            <w:tcW w:w="579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color w:val="auto"/>
              </w:rPr>
            </w:pPr>
            <w:bookmarkStart w:id="41" w:name="EptNR_是否允许递交备选投标方案"/>
            <w:r>
              <w:rPr>
                <w:rFonts w:ascii="宋体" w:hAnsi="宋体"/>
                <w:color w:val="auto"/>
              </w:rPr>
              <w:fldChar w:fldCharType="begin"/>
            </w:r>
            <w:r>
              <w:rPr>
                <w:rFonts w:hint="eastAsia" w:ascii="宋体" w:hAnsi="宋体"/>
                <w:color w:val="auto"/>
              </w:rPr>
              <w:instrText xml:space="preserve">eq \o\ac(□,</w:instrText>
            </w:r>
            <w:r>
              <w:rPr>
                <w:rFonts w:hint="eastAsia" w:ascii="宋体" w:hAnsi="宋体"/>
                <w:color w:val="auto"/>
                <w:position w:val="1"/>
                <w:sz w:val="14"/>
              </w:rPr>
              <w:instrText xml:space="preserve">√</w:instrText>
            </w:r>
            <w:r>
              <w:rPr>
                <w:rFonts w:hint="eastAsia" w:ascii="宋体" w:hAnsi="宋体"/>
                <w:color w:val="auto"/>
              </w:rPr>
              <w:instrText xml:space="preserve">)</w:instrText>
            </w:r>
            <w:r>
              <w:rPr>
                <w:rFonts w:ascii="宋体" w:hAnsi="宋体"/>
                <w:color w:val="auto"/>
              </w:rPr>
              <w:fldChar w:fldCharType="end"/>
            </w:r>
            <w:r>
              <w:rPr>
                <w:rFonts w:hint="eastAsia" w:ascii="宋体" w:hAnsi="宋体"/>
                <w:color w:val="auto"/>
              </w:rPr>
              <w:t>不允许</w:t>
            </w:r>
          </w:p>
          <w:p>
            <w:pPr>
              <w:pageBreakBefore w:val="0"/>
              <w:kinsoku/>
              <w:wordWrap/>
              <w:overflowPunct/>
              <w:topLinePunct w:val="0"/>
              <w:autoSpaceDE/>
              <w:autoSpaceDN/>
              <w:bidi w:val="0"/>
              <w:spacing w:line="360" w:lineRule="auto"/>
              <w:rPr>
                <w:rFonts w:ascii="宋体" w:hAnsi="宋体"/>
                <w:color w:val="auto"/>
              </w:rPr>
            </w:pPr>
            <w:r>
              <w:rPr>
                <w:rFonts w:hint="eastAsia" w:ascii="宋体" w:hAnsi="宋体"/>
                <w:color w:val="auto"/>
              </w:rPr>
              <w:t>□允许</w:t>
            </w:r>
            <w:bookmarkEnd w:id="41"/>
          </w:p>
        </w:tc>
      </w:tr>
      <w:tr>
        <w:tblPrEx>
          <w:tblCellMar>
            <w:top w:w="0" w:type="dxa"/>
            <w:left w:w="108" w:type="dxa"/>
            <w:bottom w:w="0" w:type="dxa"/>
            <w:right w:w="108" w:type="dxa"/>
          </w:tblCellMar>
        </w:tblPrEx>
        <w:trPr>
          <w:gridAfter w:val="1"/>
          <w:wAfter w:w="1678" w:type="dxa"/>
          <w:trHeight w:val="567" w:hRule="atLeast"/>
        </w:trPr>
        <w:tc>
          <w:tcPr>
            <w:tcW w:w="9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left"/>
              <w:rPr>
                <w:rFonts w:ascii="宋体" w:hAnsi="宋体"/>
              </w:rPr>
            </w:pPr>
            <w:r>
              <w:rPr>
                <w:rFonts w:ascii="宋体" w:hAnsi="宋体"/>
              </w:rPr>
              <w:t>3.</w:t>
            </w:r>
            <w:r>
              <w:rPr>
                <w:rFonts w:hint="eastAsia" w:ascii="宋体" w:hAnsi="宋体"/>
              </w:rPr>
              <w:t>6.1</w:t>
            </w:r>
          </w:p>
        </w:tc>
        <w:tc>
          <w:tcPr>
            <w:tcW w:w="178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rPr>
            </w:pPr>
            <w:r>
              <w:rPr>
                <w:rFonts w:hint="eastAsia" w:ascii="宋体" w:hAnsi="宋体"/>
              </w:rPr>
              <w:t>电子投标文件</w:t>
            </w:r>
            <w:r>
              <w:rPr>
                <w:rFonts w:ascii="宋体" w:hAnsi="宋体"/>
              </w:rPr>
              <w:t>签名或签章要求</w:t>
            </w:r>
          </w:p>
        </w:tc>
        <w:tc>
          <w:tcPr>
            <w:tcW w:w="579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color w:val="auto"/>
              </w:rPr>
            </w:pPr>
            <w:r>
              <w:rPr>
                <w:rFonts w:hint="eastAsia" w:ascii="宋体" w:hAnsi="宋体"/>
                <w:color w:val="auto"/>
              </w:rPr>
              <w:t>投标文件格式中规定需加盖电子签章的页面要求，投标人须加盖投标人电子公章或法定代表人电子签名。</w:t>
            </w:r>
          </w:p>
        </w:tc>
      </w:tr>
      <w:tr>
        <w:tblPrEx>
          <w:tblCellMar>
            <w:top w:w="0" w:type="dxa"/>
            <w:left w:w="108" w:type="dxa"/>
            <w:bottom w:w="0" w:type="dxa"/>
            <w:right w:w="108" w:type="dxa"/>
          </w:tblCellMar>
        </w:tblPrEx>
        <w:trPr>
          <w:trHeight w:val="567" w:hRule="atLeast"/>
        </w:trPr>
        <w:tc>
          <w:tcPr>
            <w:tcW w:w="9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left"/>
              <w:rPr>
                <w:rFonts w:ascii="宋体" w:hAnsi="宋体"/>
              </w:rPr>
            </w:pPr>
            <w:r>
              <w:rPr>
                <w:rFonts w:hint="eastAsia" w:ascii="宋体" w:hAnsi="宋体"/>
              </w:rPr>
              <w:t>3</w:t>
            </w:r>
            <w:r>
              <w:rPr>
                <w:rFonts w:ascii="宋体" w:hAnsi="宋体"/>
              </w:rPr>
              <w:t>.</w:t>
            </w:r>
            <w:r>
              <w:rPr>
                <w:rFonts w:hint="eastAsia" w:ascii="宋体" w:hAnsi="宋体"/>
              </w:rPr>
              <w:t>6</w:t>
            </w:r>
            <w:r>
              <w:rPr>
                <w:rFonts w:ascii="宋体" w:hAnsi="宋体"/>
              </w:rPr>
              <w:t>.</w:t>
            </w:r>
            <w:r>
              <w:rPr>
                <w:rFonts w:hint="eastAsia" w:ascii="宋体" w:hAnsi="宋体"/>
              </w:rPr>
              <w:t>2</w:t>
            </w:r>
          </w:p>
        </w:tc>
        <w:tc>
          <w:tcPr>
            <w:tcW w:w="178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rPr>
            </w:pPr>
            <w:r>
              <w:rPr>
                <w:rFonts w:ascii="宋体" w:hAnsi="宋体"/>
              </w:rPr>
              <w:t>电子投标文件</w:t>
            </w:r>
            <w:r>
              <w:rPr>
                <w:rFonts w:hint="eastAsia" w:ascii="宋体" w:hAnsi="宋体"/>
              </w:rPr>
              <w:t>递交</w:t>
            </w:r>
          </w:p>
        </w:tc>
        <w:tc>
          <w:tcPr>
            <w:tcW w:w="579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60" w:lineRule="auto"/>
              <w:textAlignment w:val="baseline"/>
              <w:rPr>
                <w:rFonts w:hint="eastAsia" w:ascii="宋体" w:hAnsi="宋体"/>
                <w:szCs w:val="21"/>
                <w:highlight w:val="white"/>
              </w:rPr>
            </w:pPr>
            <w:r>
              <w:rPr>
                <w:rFonts w:hint="eastAsia" w:ascii="宋体" w:hAnsi="宋体" w:cs="宋体"/>
                <w:color w:val="0070C0"/>
                <w:kern w:val="0"/>
                <w:szCs w:val="21"/>
              </w:rPr>
              <w:t>1</w:t>
            </w:r>
            <w:r>
              <w:rPr>
                <w:rFonts w:hint="eastAsia" w:ascii="宋体" w:hAnsi="宋体"/>
                <w:szCs w:val="21"/>
                <w:highlight w:val="white"/>
              </w:rPr>
              <w:t>、递交网址：　http://www.thggzy.cn。</w:t>
            </w:r>
          </w:p>
          <w:p>
            <w:pPr>
              <w:pageBreakBefore w:val="0"/>
              <w:kinsoku/>
              <w:wordWrap/>
              <w:overflowPunct/>
              <w:topLinePunct w:val="0"/>
              <w:autoSpaceDE/>
              <w:autoSpaceDN/>
              <w:bidi w:val="0"/>
              <w:adjustRightInd w:val="0"/>
              <w:snapToGrid w:val="0"/>
              <w:spacing w:line="360" w:lineRule="auto"/>
              <w:textAlignment w:val="baseline"/>
              <w:rPr>
                <w:rFonts w:hint="eastAsia" w:ascii="宋体" w:hAnsi="宋体"/>
                <w:szCs w:val="21"/>
                <w:highlight w:val="white"/>
              </w:rPr>
            </w:pPr>
            <w:r>
              <w:rPr>
                <w:rFonts w:hint="eastAsia" w:ascii="宋体" w:hAnsi="宋体"/>
                <w:szCs w:val="21"/>
                <w:highlight w:val="white"/>
              </w:rPr>
              <w:t>2、投标人的电子投标文件应在招标文件规定的投标截止时间前到达交易系统。逾期到达交易系统的电子投标文件视为放弃本次投标。</w:t>
            </w:r>
          </w:p>
          <w:p>
            <w:pPr>
              <w:pageBreakBefore w:val="0"/>
              <w:kinsoku/>
              <w:wordWrap/>
              <w:overflowPunct/>
              <w:topLinePunct w:val="0"/>
              <w:autoSpaceDE/>
              <w:autoSpaceDN/>
              <w:bidi w:val="0"/>
              <w:adjustRightInd w:val="0"/>
              <w:snapToGrid w:val="0"/>
              <w:spacing w:line="360" w:lineRule="auto"/>
              <w:textAlignment w:val="baseline"/>
              <w:rPr>
                <w:color w:val="0070C0"/>
              </w:rPr>
            </w:pPr>
            <w:r>
              <w:rPr>
                <w:rFonts w:hint="eastAsia" w:ascii="宋体" w:hAnsi="宋体"/>
                <w:szCs w:val="21"/>
                <w:highlight w:val="white"/>
              </w:rPr>
              <w:t>3、投标人所递交的电子投标文件在投标截止时间之后不予退回</w:t>
            </w:r>
          </w:p>
        </w:tc>
        <w:tc>
          <w:tcPr>
            <w:tcW w:w="1678" w:type="dxa"/>
          </w:tcPr>
          <w:p>
            <w:pPr>
              <w:pageBreakBefore w:val="0"/>
              <w:kinsoku/>
              <w:wordWrap/>
              <w:overflowPunct/>
              <w:topLinePunct w:val="0"/>
              <w:autoSpaceDE/>
              <w:autoSpaceDN/>
              <w:bidi w:val="0"/>
              <w:spacing w:line="360" w:lineRule="auto"/>
              <w:rPr>
                <w:rFonts w:ascii="宋体" w:hAnsi="宋体"/>
              </w:rPr>
            </w:pPr>
          </w:p>
        </w:tc>
      </w:tr>
      <w:tr>
        <w:tblPrEx>
          <w:tblCellMar>
            <w:top w:w="0" w:type="dxa"/>
            <w:left w:w="108" w:type="dxa"/>
            <w:bottom w:w="0" w:type="dxa"/>
            <w:right w:w="108" w:type="dxa"/>
          </w:tblCellMar>
        </w:tblPrEx>
        <w:trPr>
          <w:gridAfter w:val="1"/>
          <w:wAfter w:w="1678" w:type="dxa"/>
          <w:trHeight w:val="567" w:hRule="atLeast"/>
        </w:trPr>
        <w:tc>
          <w:tcPr>
            <w:tcW w:w="904"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spacing w:line="360" w:lineRule="auto"/>
              <w:jc w:val="left"/>
              <w:rPr>
                <w:rFonts w:ascii="宋体" w:hAnsi="宋体"/>
              </w:rPr>
            </w:pPr>
            <w:r>
              <w:rPr>
                <w:rFonts w:hint="eastAsia" w:ascii="宋体" w:hAnsi="宋体"/>
              </w:rPr>
              <w:t>4</w:t>
            </w:r>
            <w:r>
              <w:rPr>
                <w:rFonts w:ascii="宋体" w:hAnsi="宋体"/>
              </w:rPr>
              <w:t>.1</w:t>
            </w:r>
            <w:r>
              <w:rPr>
                <w:rFonts w:hint="eastAsia" w:ascii="宋体" w:hAnsi="宋体"/>
              </w:rPr>
              <w:t>.1</w:t>
            </w:r>
          </w:p>
        </w:tc>
        <w:tc>
          <w:tcPr>
            <w:tcW w:w="1786"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rPr>
            </w:pPr>
            <w:r>
              <w:rPr>
                <w:rFonts w:ascii="宋体" w:hAnsi="宋体"/>
              </w:rPr>
              <w:t>开标时间和地点</w:t>
            </w:r>
          </w:p>
        </w:tc>
        <w:tc>
          <w:tcPr>
            <w:tcW w:w="5791" w:type="dxa"/>
            <w:gridSpan w:val="2"/>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60" w:lineRule="auto"/>
              <w:textAlignment w:val="baseline"/>
              <w:rPr>
                <w:rFonts w:hint="eastAsia" w:ascii="宋体" w:hAnsi="宋体"/>
                <w:szCs w:val="21"/>
                <w:highlight w:val="white"/>
              </w:rPr>
            </w:pPr>
            <w:r>
              <w:rPr>
                <w:rFonts w:hint="eastAsia" w:ascii="宋体" w:hAnsi="宋体"/>
                <w:szCs w:val="21"/>
                <w:highlight w:val="white"/>
              </w:rPr>
              <w:t>开标时间：</w:t>
            </w:r>
            <w:bookmarkStart w:id="42" w:name="EptNR_开标时间"/>
            <w:r>
              <w:rPr>
                <w:rFonts w:hint="eastAsia" w:ascii="宋体" w:hAnsi="宋体"/>
                <w:szCs w:val="21"/>
                <w:highlight w:val="white"/>
              </w:rPr>
              <w:t>同投标截止时间</w:t>
            </w:r>
            <w:bookmarkEnd w:id="42"/>
          </w:p>
          <w:p>
            <w:pPr>
              <w:pageBreakBefore w:val="0"/>
              <w:kinsoku/>
              <w:wordWrap/>
              <w:overflowPunct/>
              <w:topLinePunct w:val="0"/>
              <w:autoSpaceDE/>
              <w:autoSpaceDN/>
              <w:bidi w:val="0"/>
              <w:adjustRightInd w:val="0"/>
              <w:snapToGrid w:val="0"/>
              <w:spacing w:line="360" w:lineRule="auto"/>
              <w:textAlignment w:val="baseline"/>
              <w:rPr>
                <w:rFonts w:ascii="宋体" w:hAnsi="宋体"/>
              </w:rPr>
            </w:pPr>
            <w:r>
              <w:rPr>
                <w:rFonts w:hint="eastAsia" w:ascii="宋体" w:hAnsi="宋体"/>
                <w:szCs w:val="21"/>
                <w:highlight w:val="white"/>
              </w:rPr>
              <w:t>开标地点：唐河县公共资源交易中心（本项目采用网上不见面方式开标，投标企业无需到达开标现场）</w:t>
            </w:r>
          </w:p>
        </w:tc>
      </w:tr>
      <w:tr>
        <w:tblPrEx>
          <w:tblCellMar>
            <w:top w:w="0" w:type="dxa"/>
            <w:left w:w="108" w:type="dxa"/>
            <w:bottom w:w="0" w:type="dxa"/>
            <w:right w:w="108" w:type="dxa"/>
          </w:tblCellMar>
        </w:tblPrEx>
        <w:trPr>
          <w:gridAfter w:val="1"/>
          <w:wAfter w:w="1678" w:type="dxa"/>
          <w:trHeight w:val="567" w:hRule="atLeast"/>
        </w:trPr>
        <w:tc>
          <w:tcPr>
            <w:tcW w:w="904"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spacing w:line="360" w:lineRule="auto"/>
              <w:jc w:val="left"/>
              <w:rPr>
                <w:rFonts w:ascii="宋体" w:hAnsi="宋体"/>
              </w:rPr>
            </w:pPr>
            <w:r>
              <w:rPr>
                <w:rFonts w:hint="eastAsia" w:ascii="宋体" w:hAnsi="宋体"/>
              </w:rPr>
              <w:t>4</w:t>
            </w:r>
            <w:r>
              <w:rPr>
                <w:rFonts w:ascii="宋体" w:hAnsi="宋体"/>
              </w:rPr>
              <w:t>.2</w:t>
            </w:r>
            <w:r>
              <w:rPr>
                <w:rFonts w:hint="eastAsia" w:ascii="宋体" w:hAnsi="宋体"/>
              </w:rPr>
              <w:t>.1</w:t>
            </w:r>
          </w:p>
        </w:tc>
        <w:tc>
          <w:tcPr>
            <w:tcW w:w="1786"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rPr>
            </w:pPr>
            <w:r>
              <w:rPr>
                <w:rFonts w:ascii="宋体" w:hAnsi="宋体"/>
              </w:rPr>
              <w:t>开标程序</w:t>
            </w:r>
          </w:p>
        </w:tc>
        <w:tc>
          <w:tcPr>
            <w:tcW w:w="5791" w:type="dxa"/>
            <w:gridSpan w:val="2"/>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60" w:lineRule="auto"/>
              <w:textAlignment w:val="baseline"/>
              <w:rPr>
                <w:rFonts w:ascii="宋体" w:hAnsi="宋体"/>
                <w:szCs w:val="21"/>
                <w:highlight w:val="white"/>
              </w:rPr>
            </w:pPr>
            <w:bookmarkStart w:id="43" w:name="EptNR_开标程序"/>
            <w:bookmarkEnd w:id="43"/>
            <w:r>
              <w:rPr>
                <w:rFonts w:hint="eastAsia" w:ascii="宋体" w:hAnsi="宋体"/>
                <w:szCs w:val="21"/>
                <w:highlight w:val="white"/>
              </w:rPr>
              <w:t>（1）投标人授权委托人代表持本单位CA数字证书提前登录不见面开标系统并在线签到。</w:t>
            </w:r>
          </w:p>
          <w:p>
            <w:pPr>
              <w:pageBreakBefore w:val="0"/>
              <w:kinsoku/>
              <w:wordWrap/>
              <w:overflowPunct/>
              <w:topLinePunct w:val="0"/>
              <w:autoSpaceDE/>
              <w:autoSpaceDN/>
              <w:bidi w:val="0"/>
              <w:adjustRightInd w:val="0"/>
              <w:snapToGrid w:val="0"/>
              <w:spacing w:line="360" w:lineRule="auto"/>
              <w:textAlignment w:val="baseline"/>
              <w:rPr>
                <w:rFonts w:ascii="宋体" w:hAnsi="宋体"/>
                <w:szCs w:val="21"/>
                <w:highlight w:val="white"/>
              </w:rPr>
            </w:pPr>
            <w:r>
              <w:rPr>
                <w:rFonts w:hint="eastAsia" w:ascii="宋体" w:hAnsi="宋体"/>
                <w:szCs w:val="21"/>
                <w:highlight w:val="white"/>
              </w:rPr>
              <w:t>（2）开标时间到，在线公布投标人、招标人代表、监标人等有关名单。主持人（代理公司）根据保证金交纳情况来确定有效投标人，并退回不符合要求的投标文件。</w:t>
            </w:r>
          </w:p>
          <w:p>
            <w:pPr>
              <w:pageBreakBefore w:val="0"/>
              <w:kinsoku/>
              <w:wordWrap/>
              <w:overflowPunct/>
              <w:topLinePunct w:val="0"/>
              <w:autoSpaceDE/>
              <w:autoSpaceDN/>
              <w:bidi w:val="0"/>
              <w:adjustRightInd w:val="0"/>
              <w:snapToGrid w:val="0"/>
              <w:spacing w:line="360" w:lineRule="auto"/>
              <w:textAlignment w:val="baseline"/>
              <w:rPr>
                <w:rFonts w:ascii="宋体" w:hAnsi="宋体"/>
                <w:szCs w:val="21"/>
                <w:highlight w:val="white"/>
              </w:rPr>
            </w:pPr>
            <w:r>
              <w:rPr>
                <w:rFonts w:hint="eastAsia" w:ascii="宋体" w:hAnsi="宋体"/>
                <w:szCs w:val="21"/>
                <w:highlight w:val="white"/>
              </w:rPr>
              <w:t>（</w:t>
            </w:r>
            <w:r>
              <w:rPr>
                <w:rFonts w:ascii="宋体" w:hAnsi="宋体"/>
                <w:szCs w:val="21"/>
                <w:highlight w:val="white"/>
              </w:rPr>
              <w:t>3</w:t>
            </w:r>
            <w:r>
              <w:rPr>
                <w:rFonts w:hint="eastAsia" w:ascii="宋体" w:hAnsi="宋体"/>
                <w:szCs w:val="21"/>
                <w:highlight w:val="white"/>
              </w:rPr>
              <w:t>）开标顺序：</w:t>
            </w:r>
          </w:p>
          <w:p>
            <w:pPr>
              <w:pageBreakBefore w:val="0"/>
              <w:kinsoku/>
              <w:wordWrap/>
              <w:overflowPunct/>
              <w:topLinePunct w:val="0"/>
              <w:autoSpaceDE/>
              <w:autoSpaceDN/>
              <w:bidi w:val="0"/>
              <w:adjustRightInd w:val="0"/>
              <w:snapToGrid w:val="0"/>
              <w:spacing w:line="360" w:lineRule="auto"/>
              <w:textAlignment w:val="baseline"/>
              <w:rPr>
                <w:rFonts w:ascii="宋体" w:hAnsi="宋体"/>
                <w:szCs w:val="21"/>
                <w:highlight w:val="white"/>
              </w:rPr>
            </w:pPr>
            <w:r>
              <w:rPr>
                <w:rFonts w:hint="eastAsia" w:ascii="宋体" w:hAnsi="宋体"/>
                <w:szCs w:val="21"/>
                <w:highlight w:val="white"/>
              </w:rPr>
              <w:t>①投标人解密：投标企业制作电子投标文件时，必须使用本单位企业数字证书进行加密，投标企业在开标前须自行检查数字证书有效性。在解密时间到达后，系统做出解密提示，请各投标人自行解密即可。开标解密时未解密成功的视为撤销其投标文件（因电子开标系统原因除外）。</w:t>
            </w:r>
          </w:p>
          <w:p>
            <w:pPr>
              <w:pageBreakBefore w:val="0"/>
              <w:kinsoku/>
              <w:wordWrap/>
              <w:overflowPunct/>
              <w:topLinePunct w:val="0"/>
              <w:autoSpaceDE/>
              <w:autoSpaceDN/>
              <w:bidi w:val="0"/>
              <w:adjustRightInd w:val="0"/>
              <w:snapToGrid w:val="0"/>
              <w:spacing w:line="360" w:lineRule="auto"/>
              <w:textAlignment w:val="baseline"/>
              <w:rPr>
                <w:rFonts w:ascii="宋体" w:hAnsi="宋体"/>
                <w:szCs w:val="21"/>
                <w:highlight w:val="white"/>
              </w:rPr>
            </w:pPr>
            <w:r>
              <w:rPr>
                <w:rFonts w:hint="eastAsia" w:ascii="宋体" w:hAnsi="宋体"/>
                <w:szCs w:val="21"/>
                <w:highlight w:val="white"/>
              </w:rPr>
              <w:t>②招标人解密。目前无需招标人进行二次解密。</w:t>
            </w:r>
          </w:p>
          <w:p>
            <w:pPr>
              <w:pageBreakBefore w:val="0"/>
              <w:kinsoku/>
              <w:wordWrap/>
              <w:overflowPunct/>
              <w:topLinePunct w:val="0"/>
              <w:autoSpaceDE/>
              <w:autoSpaceDN/>
              <w:bidi w:val="0"/>
              <w:adjustRightInd w:val="0"/>
              <w:snapToGrid w:val="0"/>
              <w:spacing w:line="360" w:lineRule="auto"/>
              <w:textAlignment w:val="baseline"/>
              <w:rPr>
                <w:rFonts w:ascii="宋体" w:hAnsi="宋体"/>
                <w:szCs w:val="21"/>
                <w:highlight w:val="white"/>
              </w:rPr>
            </w:pPr>
            <w:r>
              <w:rPr>
                <w:rFonts w:hint="eastAsia" w:ascii="宋体" w:hAnsi="宋体"/>
                <w:szCs w:val="21"/>
                <w:highlight w:val="white"/>
              </w:rPr>
              <w:t>③随机抽取参数（K值）并在线录入不见面系统。</w:t>
            </w:r>
          </w:p>
          <w:p>
            <w:pPr>
              <w:pageBreakBefore w:val="0"/>
              <w:kinsoku/>
              <w:wordWrap/>
              <w:overflowPunct/>
              <w:topLinePunct w:val="0"/>
              <w:autoSpaceDE/>
              <w:autoSpaceDN/>
              <w:bidi w:val="0"/>
              <w:adjustRightInd w:val="0"/>
              <w:snapToGrid w:val="0"/>
              <w:spacing w:line="360" w:lineRule="auto"/>
              <w:textAlignment w:val="baseline"/>
              <w:rPr>
                <w:rFonts w:ascii="宋体" w:hAnsi="宋体"/>
                <w:szCs w:val="21"/>
                <w:highlight w:val="white"/>
              </w:rPr>
            </w:pPr>
            <w:r>
              <w:rPr>
                <w:rFonts w:hint="eastAsia" w:ascii="宋体" w:hAnsi="宋体"/>
                <w:szCs w:val="21"/>
                <w:highlight w:val="white"/>
              </w:rPr>
              <w:t>④唱标。查看唱标信息（系统不提供语音在线播放，该页面停留1分钟供投标人查看，如无异议视为同意）。招标人、监督人需要关注开标过程中，投标人随时在线提出的异议、问题沟通等信息，并做好及时回复。</w:t>
            </w:r>
          </w:p>
          <w:p>
            <w:pPr>
              <w:pageBreakBefore w:val="0"/>
              <w:kinsoku/>
              <w:wordWrap/>
              <w:overflowPunct/>
              <w:topLinePunct w:val="0"/>
              <w:autoSpaceDE/>
              <w:autoSpaceDN/>
              <w:bidi w:val="0"/>
              <w:adjustRightInd w:val="0"/>
              <w:snapToGrid w:val="0"/>
              <w:spacing w:line="360" w:lineRule="auto"/>
              <w:textAlignment w:val="baseline"/>
              <w:rPr>
                <w:rFonts w:ascii="宋体" w:hAnsi="宋体"/>
                <w:szCs w:val="21"/>
                <w:highlight w:val="white"/>
              </w:rPr>
            </w:pPr>
            <w:r>
              <w:rPr>
                <w:rFonts w:hint="eastAsia" w:ascii="宋体" w:hAnsi="宋体"/>
                <w:szCs w:val="21"/>
                <w:highlight w:val="white"/>
              </w:rPr>
              <w:t>⑤招标代理机构宣布开标结束，点击“开标结束”操作按钮（系统自动进行“招标文件导入”、“控制价文件导入”）。</w:t>
            </w:r>
          </w:p>
          <w:p>
            <w:pPr>
              <w:pageBreakBefore w:val="0"/>
              <w:kinsoku/>
              <w:wordWrap/>
              <w:overflowPunct/>
              <w:topLinePunct w:val="0"/>
              <w:autoSpaceDE/>
              <w:autoSpaceDN/>
              <w:bidi w:val="0"/>
              <w:spacing w:line="360" w:lineRule="auto"/>
              <w:rPr>
                <w:rFonts w:ascii="宋体" w:hAnsi="宋体"/>
              </w:rPr>
            </w:pPr>
            <w:r>
              <w:rPr>
                <w:rFonts w:hint="eastAsia" w:ascii="宋体" w:hAnsi="宋体"/>
                <w:szCs w:val="21"/>
                <w:highlight w:val="white"/>
              </w:rPr>
              <w:t>⑥招标人（代理机构）、投标人等相关人员在开标记录表上进行CA签字确认。</w:t>
            </w:r>
          </w:p>
        </w:tc>
      </w:tr>
      <w:tr>
        <w:tblPrEx>
          <w:tblCellMar>
            <w:top w:w="0" w:type="dxa"/>
            <w:left w:w="108" w:type="dxa"/>
            <w:bottom w:w="0" w:type="dxa"/>
            <w:right w:w="108" w:type="dxa"/>
          </w:tblCellMar>
        </w:tblPrEx>
        <w:trPr>
          <w:gridAfter w:val="1"/>
          <w:wAfter w:w="1678" w:type="dxa"/>
          <w:trHeight w:val="567" w:hRule="atLeast"/>
        </w:trPr>
        <w:tc>
          <w:tcPr>
            <w:tcW w:w="904"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spacing w:line="360" w:lineRule="auto"/>
              <w:jc w:val="left"/>
              <w:rPr>
                <w:rFonts w:ascii="宋体" w:hAnsi="宋体"/>
              </w:rPr>
            </w:pPr>
            <w:r>
              <w:rPr>
                <w:rFonts w:hint="eastAsia" w:ascii="宋体" w:hAnsi="宋体"/>
              </w:rPr>
              <w:t>5</w:t>
            </w:r>
            <w:r>
              <w:rPr>
                <w:rFonts w:ascii="宋体" w:hAnsi="宋体"/>
              </w:rPr>
              <w:t>.1.1</w:t>
            </w:r>
          </w:p>
        </w:tc>
        <w:tc>
          <w:tcPr>
            <w:tcW w:w="1786"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rPr>
            </w:pPr>
            <w:r>
              <w:rPr>
                <w:rFonts w:ascii="宋体" w:hAnsi="宋体"/>
              </w:rPr>
              <w:t>评标委员会</w:t>
            </w:r>
          </w:p>
          <w:p>
            <w:pPr>
              <w:pageBreakBefore w:val="0"/>
              <w:kinsoku/>
              <w:wordWrap/>
              <w:overflowPunct/>
              <w:topLinePunct w:val="0"/>
              <w:autoSpaceDE/>
              <w:autoSpaceDN/>
              <w:bidi w:val="0"/>
              <w:spacing w:line="360" w:lineRule="auto"/>
              <w:rPr>
                <w:rFonts w:ascii="宋体" w:hAnsi="宋体"/>
              </w:rPr>
            </w:pPr>
            <w:r>
              <w:rPr>
                <w:rFonts w:ascii="宋体" w:hAnsi="宋体"/>
              </w:rPr>
              <w:t>的组建</w:t>
            </w:r>
          </w:p>
        </w:tc>
        <w:tc>
          <w:tcPr>
            <w:tcW w:w="5791" w:type="dxa"/>
            <w:gridSpan w:val="2"/>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spacing w:line="360" w:lineRule="auto"/>
              <w:jc w:val="left"/>
              <w:rPr>
                <w:color w:val="auto"/>
                <w:lang w:bidi="zh-CN"/>
              </w:rPr>
            </w:pPr>
            <w:r>
              <w:rPr>
                <w:color w:val="auto"/>
                <w:lang w:bidi="zh-CN"/>
              </w:rPr>
              <w:t>评标委员会构成：</w:t>
            </w:r>
            <w:r>
              <w:rPr>
                <w:rFonts w:hint="eastAsia"/>
                <w:color w:val="auto"/>
                <w:lang w:bidi="zh-CN"/>
              </w:rPr>
              <w:t>5</w:t>
            </w:r>
            <w:r>
              <w:rPr>
                <w:color w:val="auto"/>
                <w:lang w:bidi="zh-CN"/>
              </w:rPr>
              <w:t>人，其中招标人代表</w:t>
            </w:r>
            <w:r>
              <w:rPr>
                <w:rFonts w:hint="eastAsia"/>
                <w:color w:val="auto"/>
                <w:lang w:bidi="zh-CN"/>
              </w:rPr>
              <w:t>1</w:t>
            </w:r>
            <w:r>
              <w:rPr>
                <w:color w:val="auto"/>
                <w:lang w:bidi="zh-CN"/>
              </w:rPr>
              <w:t>人</w:t>
            </w:r>
            <w:r>
              <w:rPr>
                <w:rFonts w:hint="eastAsia"/>
                <w:color w:val="auto"/>
                <w:lang w:bidi="zh-CN"/>
              </w:rPr>
              <w:t>（招标人代表为本单位人员的须具备中级及以上职称，招标人代表聘请非本单位人员的须为河南省综合评标专家库人员且评审专业须对应本项目类别）</w:t>
            </w:r>
            <w:r>
              <w:rPr>
                <w:color w:val="auto"/>
                <w:lang w:bidi="zh-CN"/>
              </w:rPr>
              <w:t>，专家</w:t>
            </w:r>
            <w:r>
              <w:rPr>
                <w:rFonts w:hint="eastAsia"/>
                <w:color w:val="auto"/>
                <w:lang w:bidi="zh-CN"/>
              </w:rPr>
              <w:t>4</w:t>
            </w:r>
            <w:r>
              <w:rPr>
                <w:color w:val="auto"/>
                <w:lang w:bidi="zh-CN"/>
              </w:rPr>
              <w:t>人</w:t>
            </w:r>
            <w:r>
              <w:rPr>
                <w:rFonts w:hint="eastAsia"/>
                <w:color w:val="auto"/>
                <w:lang w:bidi="zh-CN"/>
              </w:rPr>
              <w:t>（其中经济类1人，技术类</w:t>
            </w:r>
            <w:r>
              <w:rPr>
                <w:rFonts w:hint="eastAsia"/>
                <w:color w:val="auto"/>
                <w:lang w:val="en-US" w:bidi="zh-CN"/>
              </w:rPr>
              <w:t>3</w:t>
            </w:r>
            <w:r>
              <w:rPr>
                <w:rFonts w:hint="eastAsia"/>
                <w:color w:val="auto"/>
                <w:lang w:bidi="zh-CN"/>
              </w:rPr>
              <w:t>人）。</w:t>
            </w:r>
          </w:p>
          <w:p>
            <w:pPr>
              <w:pageBreakBefore w:val="0"/>
              <w:kinsoku/>
              <w:wordWrap/>
              <w:overflowPunct/>
              <w:topLinePunct w:val="0"/>
              <w:autoSpaceDE/>
              <w:autoSpaceDN/>
              <w:bidi w:val="0"/>
              <w:spacing w:line="360" w:lineRule="auto"/>
              <w:rPr>
                <w:rFonts w:ascii="宋体" w:hAnsi="宋体"/>
                <w:u w:val="single"/>
              </w:rPr>
            </w:pPr>
            <w:r>
              <w:rPr>
                <w:color w:val="auto"/>
                <w:lang w:bidi="zh-CN"/>
              </w:rPr>
              <w:t>评标专家确定方式：从</w:t>
            </w:r>
            <w:r>
              <w:rPr>
                <w:rFonts w:hint="eastAsia"/>
                <w:color w:val="auto"/>
                <w:lang w:bidi="zh-CN"/>
              </w:rPr>
              <w:t>河南省综合</w:t>
            </w:r>
            <w:r>
              <w:rPr>
                <w:color w:val="auto"/>
                <w:lang w:bidi="zh-CN"/>
              </w:rPr>
              <w:t>评标专家库中随机抽取</w:t>
            </w:r>
            <w:r>
              <w:rPr>
                <w:rFonts w:hint="eastAsia"/>
                <w:color w:val="auto"/>
                <w:lang w:bidi="zh-CN"/>
              </w:rPr>
              <w:t>。</w:t>
            </w:r>
          </w:p>
        </w:tc>
      </w:tr>
      <w:tr>
        <w:tblPrEx>
          <w:tblCellMar>
            <w:top w:w="0" w:type="dxa"/>
            <w:left w:w="108" w:type="dxa"/>
            <w:bottom w:w="0" w:type="dxa"/>
            <w:right w:w="108" w:type="dxa"/>
          </w:tblCellMar>
        </w:tblPrEx>
        <w:trPr>
          <w:gridAfter w:val="1"/>
          <w:wAfter w:w="1678" w:type="dxa"/>
          <w:trHeight w:val="567" w:hRule="atLeast"/>
        </w:trPr>
        <w:tc>
          <w:tcPr>
            <w:tcW w:w="904"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spacing w:line="360" w:lineRule="auto"/>
              <w:jc w:val="left"/>
              <w:rPr>
                <w:rFonts w:ascii="宋体" w:hAnsi="宋体"/>
              </w:rPr>
            </w:pPr>
            <w:r>
              <w:rPr>
                <w:rFonts w:hint="eastAsia" w:ascii="宋体" w:hAnsi="宋体"/>
              </w:rPr>
              <w:t>6</w:t>
            </w:r>
            <w:r>
              <w:rPr>
                <w:rFonts w:ascii="宋体" w:hAnsi="宋体"/>
              </w:rPr>
              <w:t>.1.1</w:t>
            </w:r>
          </w:p>
        </w:tc>
        <w:tc>
          <w:tcPr>
            <w:tcW w:w="1786"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rPr>
            </w:pPr>
            <w:r>
              <w:rPr>
                <w:rFonts w:ascii="宋体" w:hAnsi="宋体"/>
              </w:rPr>
              <w:t>是否授权</w:t>
            </w:r>
            <w:r>
              <w:rPr>
                <w:rFonts w:hint="eastAsia" w:ascii="宋体" w:hAnsi="宋体"/>
              </w:rPr>
              <w:br w:type="textWrapping"/>
            </w:r>
            <w:r>
              <w:rPr>
                <w:rFonts w:ascii="宋体" w:hAnsi="宋体"/>
              </w:rPr>
              <w:t>评标委员会</w:t>
            </w:r>
            <w:r>
              <w:rPr>
                <w:rFonts w:hint="eastAsia" w:ascii="宋体" w:hAnsi="宋体"/>
              </w:rPr>
              <w:br w:type="textWrapping"/>
            </w:r>
            <w:r>
              <w:rPr>
                <w:rFonts w:ascii="宋体" w:hAnsi="宋体"/>
              </w:rPr>
              <w:t>确定中标人</w:t>
            </w:r>
          </w:p>
        </w:tc>
        <w:tc>
          <w:tcPr>
            <w:tcW w:w="5791" w:type="dxa"/>
            <w:gridSpan w:val="2"/>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rPr>
            </w:pPr>
            <w:bookmarkStart w:id="44" w:name="EptNR_是否授权评标委员会确定中标人"/>
            <w:r>
              <w:rPr>
                <w:rFonts w:hint="eastAsia" w:ascii="宋体" w:hAnsi="宋体"/>
              </w:rPr>
              <w:t>□是</w:t>
            </w:r>
          </w:p>
          <w:p>
            <w:pPr>
              <w:pageBreakBefore w:val="0"/>
              <w:kinsoku/>
              <w:wordWrap/>
              <w:overflowPunct/>
              <w:topLinePunct w:val="0"/>
              <w:autoSpaceDE/>
              <w:autoSpaceDN/>
              <w:bidi w:val="0"/>
              <w:spacing w:line="360" w:lineRule="auto"/>
              <w:rPr>
                <w:rFonts w:ascii="宋体" w:hAnsi="宋体"/>
                <w:u w:val="single"/>
              </w:rPr>
            </w:pPr>
            <w:r>
              <w:rPr>
                <w:rFonts w:ascii="宋体" w:hAnsi="宋体"/>
                <w:color w:val="auto"/>
              </w:rPr>
              <w:fldChar w:fldCharType="begin"/>
            </w:r>
            <w:r>
              <w:rPr>
                <w:rFonts w:hint="eastAsia" w:ascii="宋体" w:hAnsi="宋体"/>
                <w:color w:val="auto"/>
              </w:rPr>
              <w:instrText xml:space="preserve">eq \o\ac(□,</w:instrText>
            </w:r>
            <w:r>
              <w:rPr>
                <w:rFonts w:hint="eastAsia" w:ascii="宋体" w:hAnsi="宋体"/>
                <w:color w:val="auto"/>
                <w:position w:val="1"/>
                <w:sz w:val="14"/>
              </w:rPr>
              <w:instrText xml:space="preserve">√</w:instrText>
            </w:r>
            <w:r>
              <w:rPr>
                <w:rFonts w:hint="eastAsia" w:ascii="宋体" w:hAnsi="宋体"/>
                <w:color w:val="auto"/>
              </w:rPr>
              <w:instrText xml:space="preserve">)</w:instrText>
            </w:r>
            <w:r>
              <w:rPr>
                <w:rFonts w:ascii="宋体" w:hAnsi="宋体"/>
                <w:color w:val="auto"/>
              </w:rPr>
              <w:fldChar w:fldCharType="end"/>
            </w:r>
            <w:r>
              <w:rPr>
                <w:rFonts w:hint="eastAsia" w:ascii="宋体" w:hAnsi="宋体"/>
                <w:color w:val="auto"/>
              </w:rPr>
              <w:t>否，推荐的中标候选人数：</w:t>
            </w:r>
            <w:bookmarkEnd w:id="44"/>
            <w:r>
              <w:rPr>
                <w:rFonts w:hint="eastAsia" w:ascii="宋体" w:hAnsi="宋体"/>
                <w:color w:val="auto"/>
              </w:rPr>
              <w:t>1-3人</w:t>
            </w:r>
          </w:p>
        </w:tc>
      </w:tr>
      <w:tr>
        <w:tblPrEx>
          <w:tblCellMar>
            <w:top w:w="0" w:type="dxa"/>
            <w:left w:w="108" w:type="dxa"/>
            <w:bottom w:w="0" w:type="dxa"/>
            <w:right w:w="108" w:type="dxa"/>
          </w:tblCellMar>
        </w:tblPrEx>
        <w:trPr>
          <w:gridAfter w:val="1"/>
          <w:wAfter w:w="1678" w:type="dxa"/>
          <w:trHeight w:val="567" w:hRule="atLeast"/>
        </w:trPr>
        <w:tc>
          <w:tcPr>
            <w:tcW w:w="9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left"/>
              <w:rPr>
                <w:rFonts w:ascii="宋体" w:hAnsi="宋体"/>
              </w:rPr>
            </w:pPr>
            <w:r>
              <w:rPr>
                <w:rFonts w:ascii="宋体" w:hAnsi="宋体"/>
              </w:rPr>
              <w:t>7.</w:t>
            </w:r>
            <w:r>
              <w:rPr>
                <w:rFonts w:hint="eastAsia" w:ascii="宋体" w:hAnsi="宋体"/>
              </w:rPr>
              <w:t>1.1</w:t>
            </w:r>
          </w:p>
        </w:tc>
        <w:tc>
          <w:tcPr>
            <w:tcW w:w="1786"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rPr>
            </w:pPr>
            <w:r>
              <w:rPr>
                <w:rFonts w:ascii="宋体" w:hAnsi="宋体"/>
              </w:rPr>
              <w:t>履约担保</w:t>
            </w:r>
          </w:p>
        </w:tc>
        <w:tc>
          <w:tcPr>
            <w:tcW w:w="5791"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napToGrid w:val="0"/>
              <w:spacing w:line="360" w:lineRule="auto"/>
              <w:rPr>
                <w:rFonts w:ascii="宋体" w:hAnsi="宋体"/>
                <w:color w:val="auto"/>
                <w:szCs w:val="21"/>
              </w:rPr>
            </w:pPr>
            <w:r>
              <w:rPr>
                <w:rFonts w:hint="eastAsia" w:ascii="宋体" w:hAnsi="宋体"/>
                <w:color w:val="auto"/>
                <w:szCs w:val="21"/>
              </w:rPr>
              <w:t>履约担保的形式：</w:t>
            </w:r>
            <w:bookmarkStart w:id="45" w:name="EB1373809ab1dc4342a76699c87db92428"/>
            <w:r>
              <w:rPr>
                <w:rFonts w:ascii="宋体" w:hAnsi="宋体"/>
                <w:color w:val="auto"/>
                <w:szCs w:val="21"/>
              </w:rPr>
              <w:t>担保或者保函，保函（电子保函、银行纸质保函等）、转账、支票、信用担保等形式，推广使用电子保函、银行纸质保函、信用担保形式缴纳。</w:t>
            </w:r>
            <w:bookmarkEnd w:id="45"/>
          </w:p>
          <w:p>
            <w:pPr>
              <w:pageBreakBefore w:val="0"/>
              <w:kinsoku/>
              <w:wordWrap/>
              <w:overflowPunct/>
              <w:topLinePunct w:val="0"/>
              <w:autoSpaceDE/>
              <w:autoSpaceDN/>
              <w:bidi w:val="0"/>
              <w:snapToGrid w:val="0"/>
              <w:spacing w:line="360" w:lineRule="auto"/>
              <w:rPr>
                <w:rFonts w:ascii="宋体" w:hAnsi="宋体"/>
                <w:color w:val="auto"/>
                <w:szCs w:val="21"/>
              </w:rPr>
            </w:pPr>
          </w:p>
          <w:p>
            <w:pPr>
              <w:pageBreakBefore w:val="0"/>
              <w:widowControl/>
              <w:kinsoku/>
              <w:wordWrap/>
              <w:overflowPunct/>
              <w:topLinePunct w:val="0"/>
              <w:autoSpaceDE/>
              <w:autoSpaceDN/>
              <w:bidi w:val="0"/>
              <w:spacing w:line="360" w:lineRule="auto"/>
              <w:jc w:val="left"/>
              <w:rPr>
                <w:rFonts w:ascii="宋体" w:hAnsi="宋体"/>
              </w:rPr>
            </w:pPr>
            <w:r>
              <w:rPr>
                <w:rFonts w:hint="eastAsia" w:ascii="宋体" w:hAnsi="宋体"/>
                <w:color w:val="auto"/>
                <w:szCs w:val="21"/>
              </w:rPr>
              <w:t>履约担保的金额：</w:t>
            </w:r>
            <w:bookmarkStart w:id="46" w:name="EBeb040f42b6a9406492085698598a451f"/>
            <w:r>
              <w:rPr>
                <w:rFonts w:ascii="宋体" w:hAnsi="宋体"/>
                <w:color w:val="auto"/>
                <w:szCs w:val="21"/>
              </w:rPr>
              <w:t>同发包人支付担保（不得超过中标合同金额的10%），根据《中华人民共和国招标投标法实施条例》第 58 条规定， 履约保证金不高于项目中标价的 10%，按照省市优化营商环境之规定，建议项目履约保证金按中标价的 3%进行缴纳。履约保证金由招标人按照合同之约定进行收取。</w:t>
            </w:r>
            <w:bookmarkEnd w:id="4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454" w:hRule="atLeast"/>
        </w:trPr>
        <w:tc>
          <w:tcPr>
            <w:tcW w:w="8481"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黑体" w:eastAsia="黑体"/>
                <w:sz w:val="24"/>
              </w:rPr>
            </w:pPr>
            <w:r>
              <w:rPr>
                <w:rFonts w:hint="eastAsia" w:ascii="黑体" w:eastAsia="黑体"/>
                <w:sz w:val="24"/>
              </w:rPr>
              <w:t>8.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454" w:hRule="atLeast"/>
        </w:trPr>
        <w:tc>
          <w:tcPr>
            <w:tcW w:w="8481"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pPr>
            <w:r>
              <w:rPr>
                <w:rFonts w:hint="eastAsia"/>
              </w:rPr>
              <w:t>8</w:t>
            </w:r>
            <w:r>
              <w:t xml:space="preserve">.1 </w:t>
            </w:r>
            <w:r>
              <w:rPr>
                <w:rFonts w:hint="eastAsia"/>
              </w:rPr>
              <w:t>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454" w:hRule="atLeast"/>
        </w:trPr>
        <w:tc>
          <w:tcPr>
            <w:tcW w:w="9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pPr>
            <w:r>
              <w:rPr>
                <w:rFonts w:hint="eastAsia"/>
              </w:rPr>
              <w:t>8</w:t>
            </w:r>
            <w:r>
              <w:t>.1.1</w:t>
            </w:r>
          </w:p>
        </w:tc>
        <w:tc>
          <w:tcPr>
            <w:tcW w:w="3368"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pPr>
            <w:r>
              <w:rPr>
                <w:rFonts w:hint="eastAsia"/>
              </w:rPr>
              <w:t>类似项目</w:t>
            </w:r>
          </w:p>
        </w:tc>
        <w:tc>
          <w:tcPr>
            <w:tcW w:w="420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pPr>
            <w:r>
              <w:rPr>
                <w:rFonts w:hint="eastAsia"/>
              </w:rPr>
              <w:t>类似项目是指：</w:t>
            </w:r>
            <w:r>
              <w:rPr>
                <w:rFonts w:hint="eastAsia"/>
                <w:color w:val="auto"/>
                <w:lang w:eastAsia="zh-CN"/>
              </w:rPr>
              <w:t>电力</w:t>
            </w:r>
            <w:r>
              <w:rPr>
                <w:rFonts w:hint="eastAsia"/>
                <w:color w:val="auto"/>
              </w:rPr>
              <w:t>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454" w:hRule="atLeast"/>
        </w:trPr>
        <w:tc>
          <w:tcPr>
            <w:tcW w:w="904" w:type="dxa"/>
            <w:tcBorders>
              <w:top w:val="single" w:color="auto" w:sz="4" w:space="0"/>
              <w:left w:val="single" w:color="auto" w:sz="4" w:space="0"/>
              <w:bottom w:val="single" w:color="auto" w:sz="4" w:space="0"/>
              <w:right w:val="single" w:color="auto" w:sz="4" w:space="0"/>
            </w:tcBorders>
          </w:tcPr>
          <w:p>
            <w:pPr>
              <w:pageBreakBefore w:val="0"/>
              <w:kinsoku/>
              <w:wordWrap/>
              <w:overflowPunct/>
              <w:topLinePunct w:val="0"/>
              <w:autoSpaceDE/>
              <w:autoSpaceDN/>
              <w:bidi w:val="0"/>
              <w:spacing w:line="360" w:lineRule="auto"/>
              <w:jc w:val="center"/>
            </w:pPr>
            <w:r>
              <w:rPr>
                <w:rFonts w:hint="eastAsia"/>
              </w:rPr>
              <w:t>8</w:t>
            </w:r>
            <w:r>
              <w:t>.1.2</w:t>
            </w:r>
          </w:p>
        </w:tc>
        <w:tc>
          <w:tcPr>
            <w:tcW w:w="3368"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pPr>
            <w:r>
              <w:rPr>
                <w:rFonts w:hint="eastAsia"/>
              </w:rPr>
              <w:t>不良行为记录</w:t>
            </w:r>
          </w:p>
        </w:tc>
        <w:tc>
          <w:tcPr>
            <w:tcW w:w="420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olor w:val="000000"/>
                <w:highlight w:val="white"/>
              </w:rPr>
            </w:pPr>
            <w:r>
              <w:rPr>
                <w:rFonts w:hint="eastAsia" w:ascii="宋体" w:hAnsi="宋体" w:eastAsia="宋体"/>
                <w:color w:val="000000"/>
                <w:highlight w:val="white"/>
              </w:rPr>
              <w:t>不良行为记录是指：列入失信被执行人、重大税收违法失信主体等严重违法失信行为记录名单的投标人。</w:t>
            </w:r>
          </w:p>
          <w:p>
            <w:pPr>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olor w:val="000000"/>
                <w:highlight w:val="white"/>
              </w:rPr>
            </w:pPr>
            <w:r>
              <w:rPr>
                <w:rFonts w:hint="eastAsia" w:ascii="宋体" w:hAnsi="宋体" w:eastAsia="宋体"/>
                <w:color w:val="000000"/>
                <w:highlight w:val="white"/>
              </w:rPr>
              <w:t>查询渠道：</w:t>
            </w:r>
          </w:p>
          <w:p>
            <w:pPr>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olor w:val="000000"/>
                <w:highlight w:val="white"/>
              </w:rPr>
            </w:pPr>
            <w:r>
              <w:rPr>
                <w:rFonts w:hint="eastAsia" w:ascii="宋体" w:hAnsi="宋体" w:eastAsia="宋体"/>
                <w:color w:val="000000"/>
                <w:highlight w:val="white"/>
                <w:lang w:val="en-US" w:eastAsia="zh-CN"/>
              </w:rPr>
              <w:t xml:space="preserve">全国建筑市场监管公共服务平台（http://jzsc.mohurd.gov.cn）； </w:t>
            </w:r>
          </w:p>
          <w:p>
            <w:pPr>
              <w:pageBreakBefore w:val="0"/>
              <w:kinsoku/>
              <w:wordWrap/>
              <w:overflowPunct/>
              <w:topLinePunct w:val="0"/>
              <w:autoSpaceDE/>
              <w:autoSpaceDN/>
              <w:bidi w:val="0"/>
              <w:adjustRightInd w:val="0"/>
              <w:snapToGrid w:val="0"/>
              <w:spacing w:line="360" w:lineRule="auto"/>
              <w:textAlignment w:val="baseline"/>
              <w:rPr>
                <w:rFonts w:hint="eastAsia" w:ascii="宋体" w:hAnsi="宋体" w:eastAsia="宋体"/>
                <w:color w:val="000000"/>
                <w:highlight w:val="white"/>
              </w:rPr>
            </w:pPr>
            <w:r>
              <w:rPr>
                <w:rFonts w:hint="eastAsia" w:ascii="宋体" w:hAnsi="宋体" w:eastAsia="宋体"/>
                <w:color w:val="000000"/>
                <w:highlight w:val="white"/>
                <w:lang w:val="en-US" w:eastAsia="zh-CN"/>
              </w:rPr>
              <w:t xml:space="preserve">信用中国网（www.creditchina.gov.cn） </w:t>
            </w:r>
          </w:p>
          <w:p>
            <w:pPr>
              <w:pageBreakBefore w:val="0"/>
              <w:kinsoku/>
              <w:wordWrap/>
              <w:overflowPunct/>
              <w:topLinePunct w:val="0"/>
              <w:autoSpaceDE/>
              <w:autoSpaceDN/>
              <w:bidi w:val="0"/>
              <w:adjustRightInd w:val="0"/>
              <w:snapToGrid w:val="0"/>
              <w:spacing w:line="360" w:lineRule="auto"/>
              <w:textAlignment w:val="baseline"/>
            </w:pPr>
            <w:r>
              <w:rPr>
                <w:rFonts w:hint="eastAsia" w:ascii="宋体" w:hAnsi="宋体" w:eastAsia="宋体"/>
                <w:color w:val="000000"/>
                <w:highlight w:val="white"/>
                <w:lang w:val="en-US" w:eastAsia="zh-CN"/>
              </w:rPr>
              <w:t xml:space="preserve">中国裁判文书网（http://wenshu.court.gov.cn/）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454" w:hRule="atLeast"/>
        </w:trPr>
        <w:tc>
          <w:tcPr>
            <w:tcW w:w="8481"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pPr>
            <w:r>
              <w:rPr>
                <w:rFonts w:hint="eastAsia"/>
              </w:rPr>
              <w:t>8</w:t>
            </w:r>
            <w:r>
              <w:t xml:space="preserve">.2  </w:t>
            </w:r>
            <w:r>
              <w:rPr>
                <w:rFonts w:hint="eastAsia"/>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499" w:hRule="atLeast"/>
        </w:trPr>
        <w:tc>
          <w:tcPr>
            <w:tcW w:w="904" w:type="dxa"/>
            <w:vMerge w:val="restart"/>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pPr>
            <w:r>
              <w:rPr>
                <w:rFonts w:hint="eastAsia"/>
              </w:rPr>
              <w:t>8.2.1</w:t>
            </w:r>
          </w:p>
        </w:tc>
        <w:tc>
          <w:tcPr>
            <w:tcW w:w="3368"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pPr>
            <w:r>
              <w:rPr>
                <w:rFonts w:hint="eastAsia" w:ascii="宋体" w:hAnsi="宋体"/>
                <w:szCs w:val="21"/>
              </w:rPr>
              <w:t>招标控制价公布时间</w:t>
            </w:r>
          </w:p>
        </w:tc>
        <w:tc>
          <w:tcPr>
            <w:tcW w:w="420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left"/>
              <w:rPr>
                <w:rFonts w:ascii="宋体" w:hAnsi="宋体"/>
              </w:rPr>
            </w:pPr>
            <w:r>
              <w:rPr>
                <w:rFonts w:hint="eastAsia" w:ascii="宋体" w:hAnsi="宋体"/>
              </w:rPr>
              <w:t>随招标文件同时发布。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407" w:hRule="atLeast"/>
        </w:trPr>
        <w:tc>
          <w:tcPr>
            <w:tcW w:w="904" w:type="dxa"/>
            <w:vMerge w:val="continue"/>
            <w:tcBorders>
              <w:left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pPr>
          </w:p>
        </w:tc>
        <w:tc>
          <w:tcPr>
            <w:tcW w:w="3368"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pPr>
            <w:r>
              <w:rPr>
                <w:rFonts w:hint="eastAsia" w:ascii="宋体" w:hAnsi="宋体"/>
                <w:szCs w:val="21"/>
              </w:rPr>
              <w:t>投标人对招标控制价质疑截止时间</w:t>
            </w:r>
          </w:p>
        </w:tc>
        <w:tc>
          <w:tcPr>
            <w:tcW w:w="420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left"/>
              <w:rPr>
                <w:rFonts w:ascii="宋体" w:hAnsi="宋体" w:cs="宋体"/>
                <w:color w:val="auto"/>
                <w:sz w:val="22"/>
                <w:szCs w:val="22"/>
              </w:rPr>
            </w:pPr>
            <w:bookmarkStart w:id="47" w:name="EBec557f4217814f0c99a2aa6c47850f47"/>
            <w:r>
              <w:rPr>
                <w:rFonts w:ascii="宋体" w:hAnsi="宋体"/>
                <w:color w:val="auto"/>
                <w:highlight w:val="white"/>
              </w:rPr>
              <w:t>递交投标文件的截止时间 15 日前</w:t>
            </w:r>
            <w:bookmarkEnd w:id="4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426" w:hRule="atLeast"/>
        </w:trPr>
        <w:tc>
          <w:tcPr>
            <w:tcW w:w="904" w:type="dxa"/>
            <w:vMerge w:val="continue"/>
            <w:tcBorders>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pPr>
          </w:p>
        </w:tc>
        <w:tc>
          <w:tcPr>
            <w:tcW w:w="3368"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pPr>
            <w:r>
              <w:rPr>
                <w:rFonts w:hint="eastAsia" w:ascii="宋体" w:hAnsi="宋体"/>
                <w:szCs w:val="21"/>
              </w:rPr>
              <w:t>招标人对招标控制价澄清截止时间</w:t>
            </w:r>
          </w:p>
        </w:tc>
        <w:tc>
          <w:tcPr>
            <w:tcW w:w="420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left"/>
              <w:rPr>
                <w:rFonts w:ascii="宋体" w:hAnsi="宋体" w:cs="宋体"/>
                <w:color w:val="auto"/>
                <w:sz w:val="22"/>
                <w:szCs w:val="22"/>
              </w:rPr>
            </w:pPr>
            <w:r>
              <w:rPr>
                <w:rFonts w:ascii="宋体" w:hAnsi="宋体"/>
                <w:color w:val="auto"/>
                <w:highlight w:val="white"/>
              </w:rPr>
              <w:t>递交投标文件的截止时间 15 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2413" w:hRule="atLeast"/>
        </w:trPr>
        <w:tc>
          <w:tcPr>
            <w:tcW w:w="9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jc w:val="center"/>
            </w:pPr>
            <w:r>
              <w:rPr>
                <w:rFonts w:hint="eastAsia"/>
              </w:rPr>
              <w:t>8</w:t>
            </w:r>
            <w:r>
              <w:t>.3</w:t>
            </w:r>
            <w:r>
              <w:rPr>
                <w:rFonts w:hint="eastAsia"/>
              </w:rPr>
              <w:t>.1</w:t>
            </w:r>
          </w:p>
        </w:tc>
        <w:tc>
          <w:tcPr>
            <w:tcW w:w="3368" w:type="dxa"/>
            <w:gridSpan w:val="2"/>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pPr>
            <w:r>
              <w:rPr>
                <w:rFonts w:hint="eastAsia"/>
              </w:rPr>
              <w:t>施工组织设计是否采用“暗标”评审方式</w:t>
            </w:r>
          </w:p>
        </w:tc>
        <w:tc>
          <w:tcPr>
            <w:tcW w:w="4209"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pPr>
            <w:r>
              <w:rPr>
                <w:rFonts w:hint="eastAsia"/>
              </w:rPr>
              <w:t>□不采用</w:t>
            </w:r>
          </w:p>
          <w:p>
            <w:pPr>
              <w:pageBreakBefore w:val="0"/>
              <w:kinsoku/>
              <w:wordWrap/>
              <w:overflowPunct/>
              <w:topLinePunct w:val="0"/>
              <w:autoSpaceDE/>
              <w:autoSpaceDN/>
              <w:bidi w:val="0"/>
              <w:spacing w:line="360" w:lineRule="auto"/>
              <w:rPr>
                <w:color w:val="0070C0"/>
              </w:rPr>
            </w:pPr>
            <w:r>
              <w:rPr>
                <w:rFonts w:ascii="宋体" w:hAnsi="宋体"/>
                <w:color w:val="auto"/>
              </w:rPr>
              <w:fldChar w:fldCharType="begin"/>
            </w:r>
            <w:r>
              <w:rPr>
                <w:rFonts w:hint="eastAsia" w:ascii="宋体" w:hAnsi="宋体"/>
                <w:color w:val="auto"/>
              </w:rPr>
              <w:instrText xml:space="preserve">eq \o\ac(□</w:instrText>
            </w:r>
            <w:r>
              <w:rPr>
                <w:rFonts w:hint="eastAsia" w:ascii="宋体" w:hAnsi="宋体"/>
                <w:color w:val="auto"/>
                <w:lang w:eastAsia="zh-CN"/>
              </w:rPr>
              <w:instrText xml:space="preserve">,</w:instrText>
            </w:r>
            <w:r>
              <w:rPr>
                <w:rFonts w:hint="eastAsia" w:ascii="宋体" w:hAnsi="宋体"/>
                <w:color w:val="auto"/>
                <w:position w:val="2"/>
                <w:sz w:val="13"/>
                <w:lang w:eastAsia="zh-CN"/>
              </w:rPr>
              <w:instrText xml:space="preserve">√</w:instrText>
            </w:r>
            <w:r>
              <w:rPr>
                <w:rFonts w:hint="eastAsia" w:ascii="宋体" w:hAnsi="宋体"/>
                <w:color w:val="auto"/>
              </w:rPr>
              <w:instrText xml:space="preserve">)</w:instrText>
            </w:r>
            <w:r>
              <w:rPr>
                <w:rFonts w:ascii="宋体" w:hAnsi="宋体"/>
                <w:color w:val="auto"/>
              </w:rPr>
              <w:fldChar w:fldCharType="end"/>
            </w:r>
            <w:r>
              <w:rPr>
                <w:rFonts w:hint="eastAsia"/>
                <w:color w:val="auto"/>
              </w:rPr>
              <w:t>采用。</w:t>
            </w:r>
            <w:r>
              <w:rPr>
                <w:rFonts w:hint="eastAsia" w:ascii="宋体" w:hAnsi="宋体"/>
                <w:color w:val="auto"/>
                <w:szCs w:val="21"/>
              </w:rPr>
              <w:t>“暗标”具体要求详见第三章评标办法。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513" w:hRule="atLeast"/>
        </w:trPr>
        <w:tc>
          <w:tcPr>
            <w:tcW w:w="8481"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pPr>
            <w:r>
              <w:rPr>
                <w:rFonts w:hint="eastAsia"/>
              </w:rPr>
              <w:t>8</w:t>
            </w:r>
            <w:r>
              <w:t>.</w:t>
            </w:r>
            <w:r>
              <w:rPr>
                <w:rFonts w:hint="eastAsia"/>
              </w:rPr>
              <w:t>4</w:t>
            </w:r>
            <w:r>
              <w:rPr>
                <w:rFonts w:hint="eastAsia"/>
                <w:highlight w:val="white"/>
              </w:rPr>
              <w:t>投标人代表出席在线开标会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2161" w:hRule="atLeast"/>
        </w:trPr>
        <w:tc>
          <w:tcPr>
            <w:tcW w:w="9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color w:val="0070C0"/>
              </w:rPr>
            </w:pPr>
            <w:r>
              <w:rPr>
                <w:rFonts w:hint="eastAsia"/>
                <w:color w:val="auto"/>
              </w:rPr>
              <w:t>8.4.1</w:t>
            </w:r>
          </w:p>
        </w:tc>
        <w:tc>
          <w:tcPr>
            <w:tcW w:w="7577"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bCs/>
                <w:color w:val="auto"/>
              </w:rPr>
            </w:pPr>
            <w:r>
              <w:rPr>
                <w:bCs/>
                <w:color w:val="auto"/>
              </w:rPr>
              <w:t>1.</w:t>
            </w:r>
            <w:r>
              <w:rPr>
                <w:rFonts w:hint="eastAsia"/>
                <w:bCs/>
                <w:color w:val="auto"/>
              </w:rPr>
              <w:t xml:space="preserve"> 该项目需要使用不见面开标，告知投标人无需前往现场来参与投标。各投标人根据手册要求，提前做好相关准备工作。附件：操作手册地址(下载中心或办事指南中自行下载)、不见面开标大厅地址：唐河县公共资源交易中心网站首页“不见面开标大厅”模块。</w:t>
            </w:r>
          </w:p>
          <w:p>
            <w:pPr>
              <w:pageBreakBefore w:val="0"/>
              <w:kinsoku/>
              <w:wordWrap/>
              <w:overflowPunct/>
              <w:topLinePunct w:val="0"/>
              <w:autoSpaceDE/>
              <w:autoSpaceDN/>
              <w:bidi w:val="0"/>
              <w:spacing w:line="360" w:lineRule="auto"/>
              <w:rPr>
                <w:bCs/>
                <w:color w:val="auto"/>
              </w:rPr>
            </w:pPr>
            <w:r>
              <w:rPr>
                <w:bCs/>
                <w:color w:val="auto"/>
              </w:rPr>
              <w:t>2.</w:t>
            </w:r>
            <w:r>
              <w:rPr>
                <w:rFonts w:hint="eastAsia"/>
                <w:bCs/>
                <w:color w:val="auto"/>
              </w:rPr>
              <w:t>该项目自行上传投标文件，无需寄送和递交非加密投标文件光盘等。需要注意开标前登录不见面系统进行签到。</w:t>
            </w:r>
          </w:p>
          <w:p>
            <w:pPr>
              <w:pageBreakBefore w:val="0"/>
              <w:kinsoku/>
              <w:wordWrap/>
              <w:overflowPunct/>
              <w:topLinePunct w:val="0"/>
              <w:autoSpaceDE/>
              <w:autoSpaceDN/>
              <w:bidi w:val="0"/>
              <w:spacing w:line="360" w:lineRule="auto"/>
              <w:rPr>
                <w:bCs/>
                <w:color w:val="auto"/>
              </w:rPr>
            </w:pPr>
            <w:r>
              <w:rPr>
                <w:bCs/>
                <w:color w:val="auto"/>
              </w:rPr>
              <w:t>3.</w:t>
            </w:r>
            <w:r>
              <w:rPr>
                <w:rFonts w:hint="eastAsia"/>
                <w:bCs/>
                <w:color w:val="auto"/>
              </w:rPr>
              <w:t>因投标人无需现场参与开标，所有准备工作需要自行到位。开标过程中如遇到紧急事项，可在不见面开标大厅中进行提出异议或文字交流。</w:t>
            </w:r>
          </w:p>
          <w:p>
            <w:pPr>
              <w:pageBreakBefore w:val="0"/>
              <w:kinsoku/>
              <w:wordWrap/>
              <w:overflowPunct/>
              <w:topLinePunct w:val="0"/>
              <w:autoSpaceDE/>
              <w:autoSpaceDN/>
              <w:bidi w:val="0"/>
              <w:spacing w:line="360" w:lineRule="auto"/>
              <w:rPr>
                <w:bCs/>
                <w:color w:val="auto"/>
              </w:rPr>
            </w:pPr>
            <w:r>
              <w:rPr>
                <w:bCs/>
                <w:color w:val="auto"/>
              </w:rPr>
              <w:t>4.</w:t>
            </w:r>
            <w:r>
              <w:rPr>
                <w:rFonts w:hint="eastAsia"/>
                <w:bCs/>
                <w:color w:val="auto"/>
              </w:rPr>
              <w:t>不见面开标过程中，如投标人准备不到位，造成无法及时解密、网络问题等情况造成开标无法继续的，视为该投标人自动放弃投标（</w:t>
            </w:r>
            <w:r>
              <w:rPr>
                <w:rFonts w:hint="eastAsia"/>
                <w:bCs/>
                <w:color w:val="auto"/>
                <w:lang w:val="en-US" w:eastAsia="zh-CN"/>
              </w:rPr>
              <w:t>6</w:t>
            </w:r>
            <w:r>
              <w:rPr>
                <w:rFonts w:hint="eastAsia"/>
                <w:bCs/>
                <w:color w:val="auto"/>
              </w:rPr>
              <w:t>0分钟内），将被退回投标文件。</w:t>
            </w:r>
          </w:p>
          <w:p>
            <w:pPr>
              <w:pageBreakBefore w:val="0"/>
              <w:kinsoku/>
              <w:wordWrap/>
              <w:overflowPunct/>
              <w:topLinePunct w:val="0"/>
              <w:autoSpaceDE/>
              <w:autoSpaceDN/>
              <w:bidi w:val="0"/>
              <w:spacing w:line="360" w:lineRule="auto"/>
              <w:rPr>
                <w:bCs/>
                <w:color w:val="auto"/>
              </w:rPr>
            </w:pPr>
            <w:r>
              <w:rPr>
                <w:bCs/>
                <w:color w:val="auto"/>
              </w:rPr>
              <w:t>5.</w:t>
            </w:r>
            <w:r>
              <w:rPr>
                <w:rFonts w:hint="eastAsia"/>
                <w:bCs/>
                <w:color w:val="auto"/>
              </w:rPr>
              <w:t xml:space="preserve"> 电子投标文件应在招标文件规定的投标截止时间前到达交易系统。逾期到达交易系统的电子投标文件视为放弃本次投标。</w:t>
            </w:r>
          </w:p>
          <w:p>
            <w:pPr>
              <w:pageBreakBefore w:val="0"/>
              <w:kinsoku/>
              <w:wordWrap/>
              <w:overflowPunct/>
              <w:topLinePunct w:val="0"/>
              <w:autoSpaceDE/>
              <w:autoSpaceDN/>
              <w:bidi w:val="0"/>
              <w:spacing w:line="360" w:lineRule="auto"/>
              <w:rPr>
                <w:color w:val="0070C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513" w:hRule="atLeast"/>
        </w:trPr>
        <w:tc>
          <w:tcPr>
            <w:tcW w:w="8481"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pPr>
            <w:r>
              <w:rPr>
                <w:rFonts w:hint="eastAsia"/>
              </w:rPr>
              <w:t>8</w:t>
            </w:r>
            <w:r>
              <w:t>.</w:t>
            </w:r>
            <w:r>
              <w:rPr>
                <w:rFonts w:hint="eastAsia"/>
              </w:rPr>
              <w:t>5评标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513" w:hRule="atLeast"/>
        </w:trPr>
        <w:tc>
          <w:tcPr>
            <w:tcW w:w="9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pPr>
            <w:r>
              <w:rPr>
                <w:rFonts w:hint="eastAsia"/>
              </w:rPr>
              <w:t>8.5.1</w:t>
            </w:r>
          </w:p>
        </w:tc>
        <w:tc>
          <w:tcPr>
            <w:tcW w:w="7577"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color w:val="0070C0"/>
              </w:rPr>
            </w:pPr>
            <w:r>
              <w:rPr>
                <w:rFonts w:hint="eastAsia"/>
                <w:color w:val="auto"/>
              </w:rPr>
              <w:t>评标方法详见第三章“评标办法”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513" w:hRule="atLeast"/>
        </w:trPr>
        <w:tc>
          <w:tcPr>
            <w:tcW w:w="8481" w:type="dxa"/>
            <w:gridSpan w:val="4"/>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pPr>
            <w:r>
              <w:rPr>
                <w:rFonts w:hint="eastAsia"/>
              </w:rPr>
              <w:t>8</w:t>
            </w:r>
            <w:r>
              <w:t>.</w:t>
            </w:r>
            <w:r>
              <w:rPr>
                <w:rFonts w:hint="eastAsia"/>
              </w:rPr>
              <w:t>6中标公示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945" w:hRule="atLeast"/>
        </w:trPr>
        <w:tc>
          <w:tcPr>
            <w:tcW w:w="9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pPr>
            <w:r>
              <w:rPr>
                <w:rFonts w:hint="eastAsia"/>
              </w:rPr>
              <w:t>8.6.1</w:t>
            </w:r>
          </w:p>
        </w:tc>
        <w:tc>
          <w:tcPr>
            <w:tcW w:w="7577"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pPr>
            <w:r>
              <w:rPr>
                <w:rFonts w:hint="eastAsia"/>
              </w:rPr>
              <w:t>在中标通知书发出前，招标人将中标候选人的全部企业信息及评标结果在唐河县公共资源交易中心网</w:t>
            </w:r>
            <w:r>
              <w:rPr>
                <w:rFonts w:hint="eastAsia"/>
                <w:szCs w:val="21"/>
              </w:rPr>
              <w:t>（</w:t>
            </w:r>
            <w:r>
              <w:rPr>
                <w:rFonts w:ascii="Calibri" w:hAnsi="Calibri" w:eastAsia="微软雅黑"/>
                <w:szCs w:val="21"/>
              </w:rPr>
              <w:t>http://www.thggzy.cn</w:t>
            </w:r>
            <w:r>
              <w:rPr>
                <w:rFonts w:hint="eastAsia"/>
                <w:szCs w:val="21"/>
              </w:rPr>
              <w:t>）</w:t>
            </w:r>
            <w:r>
              <w:rPr>
                <w:rFonts w:hint="eastAsia"/>
              </w:rPr>
              <w:t>予以公示，同时把评标结果在规定的其他媒介予以公示，公示期</w:t>
            </w:r>
            <w:r>
              <w:rPr>
                <w:rFonts w:hint="eastAsia"/>
                <w:color w:val="0070C0"/>
              </w:rPr>
              <w:t>3</w:t>
            </w:r>
            <w:r>
              <w:rPr>
                <w:rFonts w:hint="eastAsi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806" w:hRule="atLeast"/>
        </w:trPr>
        <w:tc>
          <w:tcPr>
            <w:tcW w:w="9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pPr>
            <w:r>
              <w:rPr>
                <w:rFonts w:hint="eastAsia"/>
              </w:rPr>
              <w:t>8</w:t>
            </w:r>
            <w:r>
              <w:t>.7</w:t>
            </w:r>
          </w:p>
          <w:p>
            <w:pPr>
              <w:pageBreakBefore w:val="0"/>
              <w:kinsoku/>
              <w:wordWrap/>
              <w:overflowPunct/>
              <w:topLinePunct w:val="0"/>
              <w:autoSpaceDE/>
              <w:autoSpaceDN/>
              <w:bidi w:val="0"/>
              <w:spacing w:line="360" w:lineRule="auto"/>
            </w:pPr>
            <w:r>
              <w:t>知识产权</w:t>
            </w:r>
          </w:p>
        </w:tc>
        <w:tc>
          <w:tcPr>
            <w:tcW w:w="7577"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ascii="宋体" w:hAnsi="宋体"/>
              </w:rPr>
            </w:pPr>
            <w:r>
              <w:rPr>
                <w:rFonts w:hint="eastAsia" w:ascii="宋体" w:hAnsi="宋体"/>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806" w:hRule="atLeast"/>
        </w:trPr>
        <w:tc>
          <w:tcPr>
            <w:tcW w:w="9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pPr>
            <w:r>
              <w:rPr>
                <w:rFonts w:hint="eastAsia"/>
              </w:rPr>
              <w:t>8</w:t>
            </w:r>
            <w:r>
              <w:t>.</w:t>
            </w:r>
            <w:r>
              <w:rPr>
                <w:rFonts w:hint="eastAsia"/>
              </w:rPr>
              <w:t>8</w:t>
            </w:r>
          </w:p>
          <w:p>
            <w:pPr>
              <w:pageBreakBefore w:val="0"/>
              <w:kinsoku/>
              <w:wordWrap/>
              <w:overflowPunct/>
              <w:topLinePunct w:val="0"/>
              <w:autoSpaceDE/>
              <w:autoSpaceDN/>
              <w:bidi w:val="0"/>
              <w:spacing w:line="360" w:lineRule="auto"/>
            </w:pPr>
            <w:r>
              <w:rPr>
                <w:rFonts w:hint="eastAsia"/>
              </w:rPr>
              <w:t>重新招标的其他情形</w:t>
            </w:r>
          </w:p>
        </w:tc>
        <w:tc>
          <w:tcPr>
            <w:tcW w:w="7577"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pPr>
            <w:r>
              <w:rPr>
                <w:rFonts w:hint="eastAsia"/>
              </w:rPr>
              <w:t>除投标人须知正文第</w:t>
            </w:r>
            <w:r>
              <w:t>8</w:t>
            </w:r>
            <w:r>
              <w:rPr>
                <w:rFonts w:hint="eastAsia"/>
              </w:rPr>
              <w:t>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1099" w:hRule="atLeast"/>
        </w:trPr>
        <w:tc>
          <w:tcPr>
            <w:tcW w:w="9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pPr>
            <w:r>
              <w:rPr>
                <w:rFonts w:hint="eastAsia"/>
              </w:rPr>
              <w:t>8</w:t>
            </w:r>
            <w:r>
              <w:t>.</w:t>
            </w:r>
            <w:r>
              <w:rPr>
                <w:rFonts w:hint="eastAsia"/>
              </w:rPr>
              <w:t>9同义词语</w:t>
            </w:r>
          </w:p>
        </w:tc>
        <w:tc>
          <w:tcPr>
            <w:tcW w:w="7577"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pPr>
            <w:r>
              <w:rPr>
                <w:rFonts w:hint="eastAsia"/>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847" w:hRule="atLeast"/>
        </w:trPr>
        <w:tc>
          <w:tcPr>
            <w:tcW w:w="9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pPr>
            <w:r>
              <w:rPr>
                <w:rFonts w:hint="eastAsia"/>
              </w:rPr>
              <w:t>8</w:t>
            </w:r>
            <w:r>
              <w:t>.1</w:t>
            </w:r>
            <w:r>
              <w:rPr>
                <w:rFonts w:hint="eastAsia"/>
              </w:rPr>
              <w:t>0监督</w:t>
            </w:r>
          </w:p>
        </w:tc>
        <w:tc>
          <w:tcPr>
            <w:tcW w:w="7577"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pPr>
            <w:r>
              <w:rPr>
                <w:rFonts w:hint="eastAsia"/>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2875" w:hRule="atLeast"/>
        </w:trPr>
        <w:tc>
          <w:tcPr>
            <w:tcW w:w="9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pPr>
            <w:r>
              <w:rPr>
                <w:rFonts w:hint="eastAsia"/>
              </w:rPr>
              <w:t>8</w:t>
            </w:r>
            <w:r>
              <w:t>.1</w:t>
            </w:r>
            <w:r>
              <w:rPr>
                <w:rFonts w:hint="eastAsia"/>
              </w:rPr>
              <w:t>1解释权</w:t>
            </w:r>
          </w:p>
        </w:tc>
        <w:tc>
          <w:tcPr>
            <w:tcW w:w="7577"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pPr>
            <w:r>
              <w:rPr>
                <w:rFonts w:hint="eastAsia"/>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78" w:type="dxa"/>
          <w:trHeight w:val="680" w:hRule="atLeast"/>
        </w:trPr>
        <w:tc>
          <w:tcPr>
            <w:tcW w:w="904"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pPr>
            <w:r>
              <w:rPr>
                <w:rFonts w:hint="eastAsia"/>
              </w:rPr>
              <w:t>8</w:t>
            </w:r>
            <w:r>
              <w:t>.1</w:t>
            </w:r>
            <w:r>
              <w:rPr>
                <w:rFonts w:hint="eastAsia"/>
              </w:rPr>
              <w:t>2招标人补充的其他内容</w:t>
            </w:r>
          </w:p>
        </w:tc>
        <w:tc>
          <w:tcPr>
            <w:tcW w:w="7577" w:type="dxa"/>
            <w:gridSpan w:val="3"/>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spacing w:line="360" w:lineRule="auto"/>
              <w:rPr>
                <w:rFonts w:hint="eastAsia" w:ascii="宋体" w:hAnsi="宋体" w:eastAsia="宋体"/>
                <w:color w:val="auto"/>
                <w:highlight w:val="white"/>
                <w:lang w:eastAsia="zh-CN"/>
              </w:rPr>
            </w:pPr>
            <w:r>
              <w:rPr>
                <w:rFonts w:hint="eastAsia" w:ascii="宋体" w:hAnsi="宋体" w:eastAsia="宋体"/>
                <w:color w:val="auto"/>
                <w:highlight w:val="white"/>
                <w:lang w:eastAsia="zh-CN"/>
              </w:rPr>
              <w:t>一、招标控制价：</w:t>
            </w:r>
          </w:p>
          <w:p>
            <w:pPr>
              <w:pageBreakBefore w:val="0"/>
              <w:kinsoku/>
              <w:wordWrap/>
              <w:overflowPunct/>
              <w:topLinePunct w:val="0"/>
              <w:autoSpaceDE/>
              <w:autoSpaceDN/>
              <w:bidi w:val="0"/>
              <w:spacing w:line="360" w:lineRule="auto"/>
              <w:rPr>
                <w:rFonts w:hint="eastAsia" w:ascii="宋体" w:hAnsi="宋体" w:eastAsia="宋体"/>
                <w:color w:val="auto"/>
                <w:highlight w:val="white"/>
              </w:rPr>
            </w:pPr>
            <w:r>
              <w:rPr>
                <w:rFonts w:hint="eastAsia" w:ascii="宋体" w:hAnsi="宋体" w:eastAsia="宋体"/>
                <w:color w:val="auto"/>
                <w:highlight w:val="white"/>
              </w:rPr>
              <w:t xml:space="preserve">招标控制价大写：壹仟肆佰贰拾柒万伍仟肆佰伍拾玖元肆角玖分 </w:t>
            </w:r>
          </w:p>
          <w:p>
            <w:pPr>
              <w:pageBreakBefore w:val="0"/>
              <w:kinsoku/>
              <w:wordWrap/>
              <w:overflowPunct/>
              <w:topLinePunct w:val="0"/>
              <w:autoSpaceDE/>
              <w:autoSpaceDN/>
              <w:bidi w:val="0"/>
              <w:spacing w:line="360" w:lineRule="auto"/>
              <w:rPr>
                <w:rFonts w:hint="eastAsia" w:ascii="宋体" w:hAnsi="宋体" w:eastAsia="宋体"/>
                <w:color w:val="auto"/>
                <w:highlight w:val="white"/>
              </w:rPr>
            </w:pPr>
            <w:r>
              <w:rPr>
                <w:rFonts w:hint="eastAsia" w:ascii="宋体" w:hAnsi="宋体" w:eastAsia="宋体"/>
                <w:color w:val="auto"/>
                <w:highlight w:val="white"/>
              </w:rPr>
              <w:t>小写：</w:t>
            </w:r>
            <w:r>
              <w:rPr>
                <w:rFonts w:hint="eastAsia" w:ascii="宋体" w:hAnsi="宋体" w:eastAsia="宋体"/>
                <w:color w:val="auto"/>
                <w:lang w:val="en-US" w:eastAsia="zh-CN"/>
              </w:rPr>
              <w:t>14275459.49</w:t>
            </w:r>
            <w:r>
              <w:rPr>
                <w:rFonts w:hint="eastAsia" w:ascii="宋体" w:hAnsi="宋体" w:eastAsia="宋体"/>
                <w:color w:val="auto"/>
                <w:highlight w:val="white"/>
              </w:rPr>
              <w:t>元</w:t>
            </w:r>
          </w:p>
          <w:p>
            <w:pPr>
              <w:pageBreakBefore w:val="0"/>
              <w:kinsoku/>
              <w:wordWrap/>
              <w:overflowPunct/>
              <w:topLinePunct w:val="0"/>
              <w:autoSpaceDE/>
              <w:autoSpaceDN/>
              <w:bidi w:val="0"/>
              <w:spacing w:line="360" w:lineRule="auto"/>
              <w:rPr>
                <w:rFonts w:hint="eastAsia" w:ascii="宋体" w:hAnsi="宋体" w:eastAsia="宋体"/>
                <w:color w:val="auto"/>
                <w:highlight w:val="white"/>
              </w:rPr>
            </w:pPr>
            <w:r>
              <w:rPr>
                <w:rFonts w:hint="eastAsia" w:ascii="宋体" w:hAnsi="宋体" w:eastAsia="宋体"/>
                <w:color w:val="auto"/>
                <w:highlight w:val="white"/>
              </w:rPr>
              <w:t>投标人的投标报价不得超过招标控制价，否则按废标处理。</w:t>
            </w:r>
          </w:p>
          <w:p>
            <w:pPr>
              <w:pageBreakBefore w:val="0"/>
              <w:kinsoku/>
              <w:wordWrap/>
              <w:overflowPunct/>
              <w:topLinePunct w:val="0"/>
              <w:autoSpaceDE/>
              <w:autoSpaceDN/>
              <w:bidi w:val="0"/>
              <w:spacing w:line="360" w:lineRule="auto"/>
              <w:rPr>
                <w:rFonts w:hint="eastAsia" w:ascii="宋体" w:hAnsi="宋体" w:eastAsia="宋体"/>
                <w:color w:val="auto"/>
                <w:highlight w:val="white"/>
              </w:rPr>
            </w:pPr>
            <w:r>
              <w:rPr>
                <w:rFonts w:hint="eastAsia" w:ascii="宋体" w:hAnsi="宋体" w:eastAsia="宋体"/>
                <w:color w:val="auto"/>
                <w:highlight w:val="white"/>
                <w:lang w:eastAsia="zh-CN"/>
              </w:rPr>
              <w:t>二、</w:t>
            </w:r>
            <w:r>
              <w:rPr>
                <w:rFonts w:hint="eastAsia" w:ascii="宋体" w:hAnsi="宋体" w:eastAsia="宋体"/>
                <w:color w:val="auto"/>
                <w:highlight w:val="white"/>
              </w:rPr>
              <w:t>投标保证金：</w:t>
            </w:r>
          </w:p>
          <w:p>
            <w:pPr>
              <w:pageBreakBefore w:val="0"/>
              <w:kinsoku/>
              <w:wordWrap/>
              <w:overflowPunct/>
              <w:topLinePunct w:val="0"/>
              <w:autoSpaceDE/>
              <w:autoSpaceDN/>
              <w:bidi w:val="0"/>
              <w:spacing w:line="360" w:lineRule="auto"/>
              <w:rPr>
                <w:rFonts w:hint="eastAsia" w:ascii="宋体" w:hAnsi="宋体" w:eastAsia="宋体"/>
                <w:color w:val="auto"/>
                <w:highlight w:val="white"/>
              </w:rPr>
            </w:pPr>
            <w:r>
              <w:rPr>
                <w:rFonts w:hint="eastAsia" w:ascii="宋体" w:hAnsi="宋体" w:eastAsia="宋体"/>
                <w:color w:val="auto"/>
                <w:highlight w:val="white"/>
              </w:rPr>
              <w:t>1、投标人需将银行出具的转账证明复印件附在投标文件中。</w:t>
            </w:r>
          </w:p>
          <w:p>
            <w:pPr>
              <w:pageBreakBefore w:val="0"/>
              <w:kinsoku/>
              <w:wordWrap/>
              <w:overflowPunct/>
              <w:topLinePunct w:val="0"/>
              <w:autoSpaceDE/>
              <w:autoSpaceDN/>
              <w:bidi w:val="0"/>
              <w:spacing w:line="360" w:lineRule="auto"/>
              <w:rPr>
                <w:rFonts w:hint="eastAsia" w:ascii="宋体" w:hAnsi="宋体" w:eastAsia="宋体"/>
                <w:color w:val="auto"/>
                <w:highlight w:val="white"/>
              </w:rPr>
            </w:pPr>
            <w:r>
              <w:rPr>
                <w:rFonts w:hint="eastAsia" w:ascii="宋体" w:hAnsi="宋体" w:eastAsia="宋体"/>
                <w:color w:val="auto"/>
                <w:highlight w:val="white"/>
              </w:rPr>
              <w:t>2、退还保证金：未中标投标单位在发布中标结果公告后1个工作日内退还未中标单位投标保证金；</w:t>
            </w:r>
          </w:p>
          <w:p>
            <w:pPr>
              <w:pageBreakBefore w:val="0"/>
              <w:kinsoku/>
              <w:wordWrap/>
              <w:overflowPunct/>
              <w:topLinePunct w:val="0"/>
              <w:autoSpaceDE/>
              <w:autoSpaceDN/>
              <w:bidi w:val="0"/>
              <w:spacing w:line="360" w:lineRule="auto"/>
              <w:rPr>
                <w:rFonts w:hint="eastAsia" w:ascii="宋体" w:hAnsi="宋体" w:eastAsia="宋体"/>
                <w:color w:val="auto"/>
                <w:highlight w:val="white"/>
              </w:rPr>
            </w:pPr>
            <w:r>
              <w:rPr>
                <w:rFonts w:hint="eastAsia" w:ascii="宋体" w:hAnsi="宋体" w:eastAsia="宋体"/>
                <w:color w:val="auto"/>
                <w:highlight w:val="white"/>
              </w:rPr>
              <w:t>中标单位与招标人签订正式合同后，应将合同扫描件和中标通知书扫描件上传至公共资源交易中心网站进行合同备案，待合同备案成功后2个工作日内，系统自动退还中标单位的投标保证金。</w:t>
            </w:r>
          </w:p>
          <w:p>
            <w:pPr>
              <w:pStyle w:val="38"/>
              <w:pageBreakBefore w:val="0"/>
              <w:kinsoku/>
              <w:wordWrap/>
              <w:overflowPunct/>
              <w:topLinePunct w:val="0"/>
              <w:autoSpaceDE/>
              <w:autoSpaceDN/>
              <w:bidi w:val="0"/>
              <w:spacing w:line="360" w:lineRule="auto"/>
              <w:rPr>
                <w:rFonts w:hint="eastAsia"/>
                <w:sz w:val="21"/>
                <w:szCs w:val="21"/>
                <w:lang w:eastAsia="zh-CN"/>
              </w:rPr>
            </w:pPr>
            <w:r>
              <w:rPr>
                <w:rFonts w:hint="eastAsia"/>
                <w:sz w:val="21"/>
                <w:szCs w:val="21"/>
                <w:lang w:eastAsia="zh-CN"/>
              </w:rPr>
              <w:t>三</w:t>
            </w:r>
            <w:bookmarkStart w:id="1126" w:name="_GoBack"/>
            <w:bookmarkEnd w:id="1126"/>
            <w:r>
              <w:rPr>
                <w:rFonts w:hint="eastAsia"/>
                <w:sz w:val="21"/>
                <w:szCs w:val="21"/>
                <w:lang w:eastAsia="zh-CN"/>
              </w:rPr>
              <w:t>、其他</w:t>
            </w:r>
          </w:p>
          <w:p>
            <w:pPr>
              <w:pageBreakBefore w:val="0"/>
              <w:kinsoku/>
              <w:wordWrap/>
              <w:overflowPunct/>
              <w:topLinePunct w:val="0"/>
              <w:autoSpaceDE/>
              <w:autoSpaceDN/>
              <w:bidi w:val="0"/>
              <w:spacing w:line="360" w:lineRule="auto"/>
              <w:rPr>
                <w:color w:val="auto"/>
              </w:rPr>
            </w:pPr>
            <w:r>
              <w:rPr>
                <w:rFonts w:hint="eastAsia"/>
                <w:color w:val="auto"/>
                <w:lang w:val="en-US" w:eastAsia="zh-CN"/>
              </w:rPr>
              <w:t>1、</w:t>
            </w:r>
            <w:r>
              <w:rPr>
                <w:rFonts w:hint="eastAsia"/>
                <w:color w:val="auto"/>
              </w:rPr>
              <w:t>投标企业如有弄虚作假、挂靠资质等违规行为，直接取消其中标资格，并承担相应的法律责任；</w:t>
            </w:r>
          </w:p>
          <w:p>
            <w:pPr>
              <w:pageBreakBefore w:val="0"/>
              <w:kinsoku/>
              <w:wordWrap/>
              <w:overflowPunct/>
              <w:topLinePunct w:val="0"/>
              <w:autoSpaceDE/>
              <w:autoSpaceDN/>
              <w:bidi w:val="0"/>
              <w:spacing w:line="360" w:lineRule="auto"/>
              <w:rPr>
                <w:color w:val="auto"/>
              </w:rPr>
            </w:pPr>
            <w:r>
              <w:rPr>
                <w:rFonts w:hint="eastAsia"/>
                <w:color w:val="auto"/>
                <w:lang w:val="en-US" w:eastAsia="zh-CN"/>
              </w:rPr>
              <w:t>2、</w:t>
            </w:r>
            <w:r>
              <w:rPr>
                <w:rFonts w:hint="eastAsia"/>
                <w:color w:val="auto"/>
              </w:rPr>
              <w:t>投标企业项目经理及项目部相关人员必须如实挂牌上岗，如若发现投标企业随意更换项目经理或项目部相关人员到岗不实，实行合同专用条款相关要求。</w:t>
            </w:r>
          </w:p>
          <w:p>
            <w:pPr>
              <w:pStyle w:val="24"/>
              <w:pageBreakBefore w:val="0"/>
              <w:kinsoku/>
              <w:wordWrap/>
              <w:overflowPunct/>
              <w:topLinePunct w:val="0"/>
              <w:autoSpaceDE/>
              <w:autoSpaceDN/>
              <w:bidi w:val="0"/>
              <w:spacing w:line="360" w:lineRule="auto"/>
              <w:rPr>
                <w:rFonts w:ascii="Times New Roman" w:hAnsi="Times New Roman" w:cs="Times New Roman"/>
                <w:color w:val="auto"/>
                <w:szCs w:val="24"/>
              </w:rPr>
            </w:pPr>
            <w:r>
              <w:rPr>
                <w:rFonts w:hint="eastAsia" w:ascii="Times New Roman" w:hAnsi="Times New Roman" w:cs="Times New Roman"/>
                <w:color w:val="auto"/>
                <w:szCs w:val="24"/>
                <w:lang w:val="en-US" w:eastAsia="zh-CN"/>
              </w:rPr>
              <w:t>3、</w:t>
            </w:r>
            <w:r>
              <w:rPr>
                <w:rFonts w:hint="eastAsia" w:ascii="Times New Roman" w:hAnsi="Times New Roman" w:cs="Times New Roman"/>
                <w:color w:val="auto"/>
                <w:szCs w:val="24"/>
              </w:rPr>
              <w:t>对于评标结果的异议，应当在公示期内提出。异议人对异议事项承担举证责任，异议人对自己提出的异议事项，应当提供事实依据与具体理由，未提供的不予受理。</w:t>
            </w:r>
          </w:p>
          <w:p>
            <w:pPr>
              <w:pageBreakBefore w:val="0"/>
              <w:kinsoku/>
              <w:wordWrap/>
              <w:overflowPunct/>
              <w:topLinePunct w:val="0"/>
              <w:autoSpaceDE/>
              <w:autoSpaceDN/>
              <w:bidi w:val="0"/>
              <w:spacing w:line="360" w:lineRule="auto"/>
              <w:rPr>
                <w:color w:val="auto"/>
              </w:rPr>
            </w:pPr>
            <w:r>
              <w:rPr>
                <w:rFonts w:hint="eastAsia"/>
                <w:color w:val="auto"/>
                <w:lang w:val="en-US" w:eastAsia="zh-CN"/>
              </w:rPr>
              <w:t>4、</w:t>
            </w:r>
            <w:r>
              <w:rPr>
                <w:rFonts w:hint="eastAsia"/>
                <w:color w:val="auto"/>
              </w:rPr>
              <w:t>招标代理服务费的收取：</w:t>
            </w:r>
            <w:r>
              <w:rPr>
                <w:rFonts w:hint="eastAsia"/>
                <w:bCs/>
                <w:color w:val="auto"/>
                <w:szCs w:val="21"/>
              </w:rPr>
              <w:t>招标代理服务费由中标人以现金或者转账的形式向招标代理机构一次性支付招标代理服务费。参照依据参照豫招协【2023】002号文规定标准计取</w:t>
            </w:r>
            <w:r>
              <w:rPr>
                <w:rFonts w:hint="eastAsia"/>
                <w:color w:val="auto"/>
              </w:rPr>
              <w:t>。</w:t>
            </w:r>
          </w:p>
          <w:p>
            <w:pPr>
              <w:pageBreakBefore w:val="0"/>
              <w:kinsoku/>
              <w:wordWrap/>
              <w:overflowPunct/>
              <w:topLinePunct w:val="0"/>
              <w:autoSpaceDE/>
              <w:autoSpaceDN/>
              <w:bidi w:val="0"/>
              <w:spacing w:line="360" w:lineRule="auto"/>
              <w:rPr>
                <w:rFonts w:hint="eastAsia"/>
                <w:color w:val="auto"/>
              </w:rPr>
            </w:pPr>
            <w:r>
              <w:rPr>
                <w:rFonts w:hint="eastAsia"/>
                <w:color w:val="auto"/>
                <w:lang w:val="en-US" w:eastAsia="zh-CN"/>
              </w:rPr>
              <w:t>5、</w:t>
            </w:r>
            <w:r>
              <w:rPr>
                <w:rFonts w:hint="eastAsia"/>
                <w:color w:val="auto"/>
              </w:rPr>
              <w:t>依据豫发改公管〔</w:t>
            </w:r>
            <w:r>
              <w:rPr>
                <w:color w:val="auto"/>
              </w:rPr>
              <w:t>2019</w:t>
            </w:r>
            <w:r>
              <w:rPr>
                <w:rFonts w:hint="eastAsia"/>
                <w:color w:val="auto"/>
              </w:rPr>
              <w:t>〕</w:t>
            </w:r>
            <w:r>
              <w:rPr>
                <w:color w:val="auto"/>
              </w:rPr>
              <w:t>198</w:t>
            </w:r>
            <w:r>
              <w:rPr>
                <w:rFonts w:hint="eastAsia"/>
                <w:color w:val="auto"/>
              </w:rPr>
              <w:t>号文要求，投标人投标文件制作机器码一致视为串通投标行为，做废标处理，需投标人自行承担责任。</w:t>
            </w:r>
          </w:p>
          <w:p>
            <w:pPr>
              <w:pageBreakBefore w:val="0"/>
              <w:kinsoku/>
              <w:wordWrap/>
              <w:overflowPunct/>
              <w:topLinePunct w:val="0"/>
              <w:autoSpaceDE/>
              <w:autoSpaceDN/>
              <w:bidi w:val="0"/>
              <w:spacing w:line="360" w:lineRule="auto"/>
              <w:rPr>
                <w:rFonts w:hint="eastAsia"/>
                <w:color w:val="auto"/>
              </w:rPr>
            </w:pPr>
            <w:r>
              <w:rPr>
                <w:rFonts w:hint="eastAsia"/>
                <w:color w:val="auto"/>
                <w:lang w:val="en-US" w:eastAsia="zh-CN"/>
              </w:rPr>
              <w:t>6</w:t>
            </w:r>
            <w:r>
              <w:rPr>
                <w:rFonts w:hint="eastAsia"/>
                <w:color w:val="auto"/>
              </w:rPr>
              <w:t>. 信用承诺书：依据宛发改公管〔2022〕125号文件要求，投标人在每次参与招投标活动前，应按照信用承诺书范本签订信用承诺（附在投标文件中），投标人对各自提供的资料、证照的真实性负责，对在交易活动中的行为负责。</w:t>
            </w:r>
          </w:p>
          <w:p>
            <w:pPr>
              <w:pageBreakBefore w:val="0"/>
              <w:kinsoku/>
              <w:wordWrap/>
              <w:overflowPunct/>
              <w:topLinePunct w:val="0"/>
              <w:autoSpaceDE/>
              <w:autoSpaceDN/>
              <w:bidi w:val="0"/>
              <w:spacing w:line="360" w:lineRule="auto"/>
              <w:rPr>
                <w:rFonts w:hint="eastAsia"/>
                <w:color w:val="auto"/>
              </w:rPr>
            </w:pPr>
            <w:r>
              <w:rPr>
                <w:rFonts w:hint="eastAsia"/>
                <w:color w:val="auto"/>
              </w:rPr>
              <w:t>信用承诺书模板如下：</w:t>
            </w:r>
          </w:p>
          <w:p>
            <w:pPr>
              <w:pageBreakBefore w:val="0"/>
              <w:kinsoku/>
              <w:wordWrap/>
              <w:overflowPunct/>
              <w:topLinePunct w:val="0"/>
              <w:autoSpaceDE/>
              <w:autoSpaceDN/>
              <w:bidi w:val="0"/>
              <w:spacing w:line="360" w:lineRule="auto"/>
              <w:jc w:val="center"/>
              <w:rPr>
                <w:rFonts w:ascii="Calibri" w:hAnsi="Calibri"/>
                <w:color w:val="auto"/>
                <w:szCs w:val="22"/>
                <w:highlight w:val="none"/>
              </w:rPr>
            </w:pPr>
            <w:r>
              <w:rPr>
                <w:rFonts w:hint="eastAsia" w:ascii="Calibri" w:hAnsi="Calibri"/>
                <w:color w:val="auto"/>
                <w:szCs w:val="22"/>
                <w:highlight w:val="none"/>
              </w:rPr>
              <w:t>信用承诺书（投标人范本）</w:t>
            </w:r>
          </w:p>
          <w:p>
            <w:pPr>
              <w:pageBreakBefore w:val="0"/>
              <w:kinsoku/>
              <w:wordWrap/>
              <w:overflowPunct/>
              <w:topLinePunct w:val="0"/>
              <w:autoSpaceDE/>
              <w:autoSpaceDN/>
              <w:bidi w:val="0"/>
              <w:spacing w:line="360" w:lineRule="auto"/>
              <w:rPr>
                <w:rFonts w:ascii="Calibri" w:hAnsi="Calibri"/>
                <w:color w:val="auto"/>
                <w:szCs w:val="22"/>
                <w:highlight w:val="none"/>
              </w:rPr>
            </w:pPr>
            <w:r>
              <w:rPr>
                <w:rFonts w:hint="eastAsia" w:ascii="Calibri" w:hAnsi="Calibri"/>
                <w:color w:val="auto"/>
                <w:szCs w:val="22"/>
                <w:highlight w:val="none"/>
              </w:rPr>
              <w:t xml:space="preserve">    依据宛发改公管〔2022〕125号文件要求：为营造公开、公平、公正、诚实守信的公共资源交易环境，树立诚信守法的投标人形象，本人代表本单位作出以下承诺;</w:t>
            </w:r>
          </w:p>
          <w:p>
            <w:pPr>
              <w:pageBreakBefore w:val="0"/>
              <w:kinsoku/>
              <w:wordWrap/>
              <w:overflowPunct/>
              <w:topLinePunct w:val="0"/>
              <w:autoSpaceDE/>
              <w:autoSpaceDN/>
              <w:bidi w:val="0"/>
              <w:spacing w:line="360" w:lineRule="auto"/>
              <w:rPr>
                <w:rFonts w:ascii="Calibri" w:hAnsi="Calibri"/>
                <w:color w:val="auto"/>
                <w:szCs w:val="22"/>
                <w:highlight w:val="none"/>
              </w:rPr>
            </w:pPr>
            <w:r>
              <w:rPr>
                <w:rFonts w:hint="eastAsia" w:ascii="Calibri" w:hAnsi="Calibri"/>
                <w:color w:val="auto"/>
                <w:szCs w:val="22"/>
                <w:highlight w:val="none"/>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pPr>
              <w:pageBreakBefore w:val="0"/>
              <w:kinsoku/>
              <w:wordWrap/>
              <w:overflowPunct/>
              <w:topLinePunct w:val="0"/>
              <w:autoSpaceDE/>
              <w:autoSpaceDN/>
              <w:bidi w:val="0"/>
              <w:spacing w:line="360" w:lineRule="auto"/>
              <w:rPr>
                <w:rFonts w:ascii="Calibri" w:hAnsi="Calibri"/>
                <w:color w:val="auto"/>
                <w:szCs w:val="22"/>
                <w:highlight w:val="none"/>
              </w:rPr>
            </w:pPr>
            <w:r>
              <w:rPr>
                <w:rFonts w:hint="eastAsia" w:ascii="Calibri" w:hAnsi="Calibri"/>
                <w:color w:val="auto"/>
                <w:szCs w:val="22"/>
                <w:highlight w:val="none"/>
              </w:rPr>
              <w:t>（二）严格依照国家和河南省关于招标投标的法律、法规、规章、规范性文件，参加公共资源招标投标活动，不挂靠、借用、出租、出借、转让资质，积极履行社会责任，促进廉政建设。</w:t>
            </w:r>
          </w:p>
          <w:p>
            <w:pPr>
              <w:pageBreakBefore w:val="0"/>
              <w:kinsoku/>
              <w:wordWrap/>
              <w:overflowPunct/>
              <w:topLinePunct w:val="0"/>
              <w:autoSpaceDE/>
              <w:autoSpaceDN/>
              <w:bidi w:val="0"/>
              <w:spacing w:line="360" w:lineRule="auto"/>
              <w:rPr>
                <w:rFonts w:ascii="Calibri" w:hAnsi="Calibri"/>
                <w:color w:val="auto"/>
                <w:szCs w:val="22"/>
                <w:highlight w:val="none"/>
              </w:rPr>
            </w:pPr>
            <w:r>
              <w:rPr>
                <w:rFonts w:hint="eastAsia" w:ascii="Calibri" w:hAnsi="Calibri"/>
                <w:color w:val="auto"/>
                <w:szCs w:val="22"/>
                <w:highlight w:val="none"/>
              </w:rPr>
              <w:t>（三）自我约束、自我管理，守合同、重信用，不参与围标串标、弄虚作假、骗取中标、干扰评标、胁迫他人投标（放弃中标）、恶意投诉、违约毁约等行为，自觉维护公共资源招标投标的良好秩序。</w:t>
            </w:r>
          </w:p>
          <w:p>
            <w:pPr>
              <w:pageBreakBefore w:val="0"/>
              <w:kinsoku/>
              <w:wordWrap/>
              <w:overflowPunct/>
              <w:topLinePunct w:val="0"/>
              <w:autoSpaceDE/>
              <w:autoSpaceDN/>
              <w:bidi w:val="0"/>
              <w:spacing w:line="360" w:lineRule="auto"/>
              <w:rPr>
                <w:rFonts w:ascii="Calibri" w:hAnsi="Calibri"/>
                <w:color w:val="auto"/>
                <w:szCs w:val="22"/>
                <w:highlight w:val="none"/>
              </w:rPr>
            </w:pPr>
            <w:r>
              <w:rPr>
                <w:rFonts w:hint="eastAsia" w:ascii="Calibri" w:hAnsi="Calibri"/>
                <w:color w:val="auto"/>
                <w:szCs w:val="22"/>
                <w:highlight w:val="none"/>
              </w:rPr>
              <w:t>（四）本单位及项目经办人员信用状况良好，未被列为失信惩戒对象或"老赖""，符合参与公共资源交易活动的相关要求。</w:t>
            </w:r>
          </w:p>
          <w:p>
            <w:pPr>
              <w:pageBreakBefore w:val="0"/>
              <w:kinsoku/>
              <w:wordWrap/>
              <w:overflowPunct/>
              <w:topLinePunct w:val="0"/>
              <w:autoSpaceDE/>
              <w:autoSpaceDN/>
              <w:bidi w:val="0"/>
              <w:spacing w:line="360" w:lineRule="auto"/>
              <w:rPr>
                <w:rFonts w:ascii="Calibri" w:hAnsi="Calibri"/>
                <w:color w:val="auto"/>
                <w:szCs w:val="22"/>
                <w:highlight w:val="none"/>
              </w:rPr>
            </w:pPr>
            <w:r>
              <w:rPr>
                <w:rFonts w:hint="eastAsia" w:ascii="Calibri" w:hAnsi="Calibri"/>
                <w:color w:val="auto"/>
                <w:szCs w:val="22"/>
                <w:highlight w:val="none"/>
              </w:rPr>
              <w:t>（五）本单位不存在被人力资源和社会保障部门列入拖欠农民工工资"黑名单"或因拖欠农民工工资被县级及以上有关行政主管部门限制投标资格之情形，若中标，本单位将自觉落实农民工工资保障的有关措施，及时交纳农民工工资保证金，切实维护农民工权益。</w:t>
            </w:r>
          </w:p>
          <w:p>
            <w:pPr>
              <w:pageBreakBefore w:val="0"/>
              <w:kinsoku/>
              <w:wordWrap/>
              <w:overflowPunct/>
              <w:topLinePunct w:val="0"/>
              <w:autoSpaceDE/>
              <w:autoSpaceDN/>
              <w:bidi w:val="0"/>
              <w:spacing w:line="360" w:lineRule="auto"/>
              <w:rPr>
                <w:rFonts w:ascii="Calibri" w:hAnsi="Calibri"/>
                <w:color w:val="auto"/>
                <w:szCs w:val="22"/>
                <w:highlight w:val="none"/>
              </w:rPr>
            </w:pPr>
            <w:r>
              <w:rPr>
                <w:rFonts w:hint="eastAsia" w:ascii="Calibri" w:hAnsi="Calibri"/>
                <w:color w:val="auto"/>
                <w:szCs w:val="22"/>
                <w:highlight w:val="none"/>
              </w:rPr>
              <w:t>（六）若中标，本单位将在规定的时间内与招标人签订合同并自觉履行合同义务，不转包或违法分包中标项目。</w:t>
            </w:r>
          </w:p>
          <w:p>
            <w:pPr>
              <w:pageBreakBefore w:val="0"/>
              <w:kinsoku/>
              <w:wordWrap/>
              <w:overflowPunct/>
              <w:topLinePunct w:val="0"/>
              <w:autoSpaceDE/>
              <w:autoSpaceDN/>
              <w:bidi w:val="0"/>
              <w:spacing w:line="360" w:lineRule="auto"/>
              <w:rPr>
                <w:rFonts w:ascii="Calibri" w:hAnsi="Calibri"/>
                <w:color w:val="auto"/>
                <w:szCs w:val="22"/>
                <w:highlight w:val="none"/>
              </w:rPr>
            </w:pPr>
            <w:r>
              <w:rPr>
                <w:rFonts w:hint="eastAsia" w:ascii="Calibri" w:hAnsi="Calibri"/>
                <w:color w:val="auto"/>
                <w:szCs w:val="22"/>
                <w:highlight w:val="none"/>
              </w:rPr>
              <w:t>（七）自觉接受政府、行业组织、社会公众、新闻舆论的监督。</w:t>
            </w:r>
          </w:p>
          <w:p>
            <w:pPr>
              <w:pageBreakBefore w:val="0"/>
              <w:kinsoku/>
              <w:wordWrap/>
              <w:overflowPunct/>
              <w:topLinePunct w:val="0"/>
              <w:autoSpaceDE/>
              <w:autoSpaceDN/>
              <w:bidi w:val="0"/>
              <w:spacing w:line="360" w:lineRule="auto"/>
              <w:rPr>
                <w:rFonts w:ascii="Calibri" w:hAnsi="Calibri"/>
                <w:color w:val="auto"/>
                <w:szCs w:val="22"/>
                <w:highlight w:val="none"/>
              </w:rPr>
            </w:pPr>
            <w:r>
              <w:rPr>
                <w:rFonts w:hint="eastAsia" w:ascii="Calibri" w:hAnsi="Calibri"/>
                <w:color w:val="auto"/>
                <w:szCs w:val="22"/>
                <w:highlight w:val="none"/>
              </w:rPr>
              <w:t>（八）本单位自愿接受招标投标综合监督管理机构和有关行政监督部门依法开展的监督检查，积极配合行政监督部门的投诉处理;本单位及项目经办人员如发生违法违规或不良行为，自愿接受招标投标综合监督管理机构和有关行政监督部门依法给予的行政处罚（处理），依法承担赔偿责任和刑事责任，并同意按照相关规定记入本单位及项目经办人员诚信档案或不良行为（信用）记录。</w:t>
            </w:r>
          </w:p>
          <w:p>
            <w:pPr>
              <w:pageBreakBefore w:val="0"/>
              <w:kinsoku/>
              <w:wordWrap/>
              <w:overflowPunct/>
              <w:topLinePunct w:val="0"/>
              <w:autoSpaceDE/>
              <w:autoSpaceDN/>
              <w:bidi w:val="0"/>
              <w:spacing w:line="360" w:lineRule="auto"/>
              <w:rPr>
                <w:rFonts w:ascii="Calibri" w:hAnsi="Calibri"/>
                <w:color w:val="auto"/>
                <w:szCs w:val="22"/>
                <w:highlight w:val="none"/>
              </w:rPr>
            </w:pPr>
            <w:r>
              <w:rPr>
                <w:rFonts w:hint="eastAsia" w:ascii="Calibri" w:hAnsi="Calibri"/>
                <w:color w:val="auto"/>
                <w:szCs w:val="22"/>
                <w:highlight w:val="none"/>
              </w:rPr>
              <w:t>（九）本人已认真阅读了上述承诺，并向本单位员工作了宣传教育。</w:t>
            </w:r>
          </w:p>
          <w:p>
            <w:pPr>
              <w:pageBreakBefore w:val="0"/>
              <w:kinsoku/>
              <w:wordWrap/>
              <w:overflowPunct/>
              <w:topLinePunct w:val="0"/>
              <w:autoSpaceDE/>
              <w:autoSpaceDN/>
              <w:bidi w:val="0"/>
              <w:spacing w:line="360" w:lineRule="auto"/>
              <w:rPr>
                <w:rFonts w:ascii="Calibri" w:hAnsi="Calibri"/>
                <w:color w:val="auto"/>
                <w:szCs w:val="22"/>
                <w:highlight w:val="none"/>
              </w:rPr>
            </w:pPr>
          </w:p>
          <w:p>
            <w:pPr>
              <w:pageBreakBefore w:val="0"/>
              <w:kinsoku/>
              <w:wordWrap/>
              <w:overflowPunct/>
              <w:topLinePunct w:val="0"/>
              <w:autoSpaceDE/>
              <w:autoSpaceDN/>
              <w:bidi w:val="0"/>
              <w:spacing w:line="360" w:lineRule="auto"/>
              <w:rPr>
                <w:rFonts w:ascii="Calibri" w:hAnsi="Calibri"/>
                <w:color w:val="auto"/>
                <w:szCs w:val="22"/>
                <w:highlight w:val="none"/>
              </w:rPr>
            </w:pPr>
            <w:r>
              <w:rPr>
                <w:rFonts w:hint="eastAsia" w:ascii="Calibri" w:hAnsi="Calibri"/>
                <w:color w:val="auto"/>
                <w:szCs w:val="22"/>
                <w:highlight w:val="none"/>
              </w:rPr>
              <w:t xml:space="preserve">                                 法定代表人或（委托代理人）签字∶</w:t>
            </w:r>
          </w:p>
          <w:p>
            <w:pPr>
              <w:pageBreakBefore w:val="0"/>
              <w:kinsoku/>
              <w:wordWrap/>
              <w:overflowPunct/>
              <w:topLinePunct w:val="0"/>
              <w:autoSpaceDE/>
              <w:autoSpaceDN/>
              <w:bidi w:val="0"/>
              <w:spacing w:line="360" w:lineRule="auto"/>
              <w:rPr>
                <w:rFonts w:ascii="Calibri" w:hAnsi="Calibri"/>
                <w:color w:val="auto"/>
                <w:szCs w:val="22"/>
                <w:highlight w:val="none"/>
              </w:rPr>
            </w:pPr>
          </w:p>
          <w:p>
            <w:pPr>
              <w:pageBreakBefore w:val="0"/>
              <w:kinsoku/>
              <w:wordWrap/>
              <w:overflowPunct/>
              <w:topLinePunct w:val="0"/>
              <w:autoSpaceDE/>
              <w:autoSpaceDN/>
              <w:bidi w:val="0"/>
              <w:spacing w:line="360" w:lineRule="auto"/>
              <w:rPr>
                <w:rFonts w:ascii="Calibri" w:hAnsi="Calibri"/>
                <w:color w:val="auto"/>
                <w:szCs w:val="22"/>
                <w:highlight w:val="none"/>
              </w:rPr>
            </w:pPr>
            <w:r>
              <w:rPr>
                <w:rFonts w:hint="eastAsia" w:ascii="Calibri" w:hAnsi="Calibri"/>
                <w:color w:val="auto"/>
                <w:szCs w:val="22"/>
                <w:highlight w:val="none"/>
              </w:rPr>
              <w:t xml:space="preserve">                                       企业名称（盖章）∶ </w:t>
            </w:r>
          </w:p>
          <w:p>
            <w:pPr>
              <w:pageBreakBefore w:val="0"/>
              <w:kinsoku/>
              <w:wordWrap/>
              <w:overflowPunct/>
              <w:topLinePunct w:val="0"/>
              <w:autoSpaceDE/>
              <w:autoSpaceDN/>
              <w:bidi w:val="0"/>
              <w:spacing w:line="360" w:lineRule="auto"/>
              <w:rPr>
                <w:rFonts w:ascii="Calibri" w:hAnsi="Calibri"/>
                <w:color w:val="auto"/>
                <w:szCs w:val="22"/>
                <w:highlight w:val="none"/>
              </w:rPr>
            </w:pPr>
          </w:p>
          <w:p>
            <w:pPr>
              <w:pageBreakBefore w:val="0"/>
              <w:kinsoku/>
              <w:wordWrap/>
              <w:overflowPunct/>
              <w:topLinePunct w:val="0"/>
              <w:autoSpaceDE/>
              <w:autoSpaceDN/>
              <w:bidi w:val="0"/>
              <w:spacing w:line="360" w:lineRule="auto"/>
              <w:rPr>
                <w:rFonts w:ascii="Calibri" w:hAnsi="Calibri"/>
                <w:color w:val="auto"/>
                <w:szCs w:val="22"/>
                <w:highlight w:val="none"/>
              </w:rPr>
            </w:pPr>
            <w:r>
              <w:rPr>
                <w:rFonts w:hint="eastAsia" w:ascii="Calibri" w:hAnsi="Calibri"/>
                <w:color w:val="auto"/>
                <w:szCs w:val="22"/>
                <w:highlight w:val="none"/>
              </w:rPr>
              <w:t xml:space="preserve">                                      项目负责人（签字）∶</w:t>
            </w:r>
          </w:p>
          <w:p>
            <w:pPr>
              <w:pageBreakBefore w:val="0"/>
              <w:kinsoku/>
              <w:wordWrap/>
              <w:overflowPunct/>
              <w:topLinePunct w:val="0"/>
              <w:autoSpaceDE/>
              <w:autoSpaceDN/>
              <w:bidi w:val="0"/>
              <w:spacing w:line="360" w:lineRule="auto"/>
              <w:rPr>
                <w:rFonts w:ascii="Calibri" w:hAnsi="Calibri"/>
                <w:color w:val="auto"/>
                <w:szCs w:val="22"/>
                <w:highlight w:val="none"/>
              </w:rPr>
            </w:pPr>
          </w:p>
          <w:p>
            <w:pPr>
              <w:pageBreakBefore w:val="0"/>
              <w:kinsoku/>
              <w:wordWrap/>
              <w:overflowPunct/>
              <w:topLinePunct w:val="0"/>
              <w:autoSpaceDE/>
              <w:autoSpaceDN/>
              <w:bidi w:val="0"/>
              <w:spacing w:line="360" w:lineRule="auto"/>
              <w:rPr>
                <w:rFonts w:hint="eastAsia"/>
                <w:color w:val="auto"/>
              </w:rPr>
            </w:pPr>
            <w:r>
              <w:rPr>
                <w:rFonts w:hint="eastAsia" w:ascii="Calibri" w:hAnsi="Calibri"/>
                <w:color w:val="auto"/>
                <w:szCs w:val="22"/>
                <w:highlight w:val="none"/>
              </w:rPr>
              <w:t xml:space="preserve">                                       年   月   日</w:t>
            </w:r>
          </w:p>
        </w:tc>
      </w:tr>
    </w:tbl>
    <w:p>
      <w:pPr>
        <w:pageBreakBefore w:val="0"/>
        <w:kinsoku/>
        <w:wordWrap/>
        <w:overflowPunct/>
        <w:topLinePunct w:val="0"/>
        <w:autoSpaceDE/>
        <w:autoSpaceDN/>
        <w:bidi w:val="0"/>
        <w:spacing w:line="360" w:lineRule="auto"/>
        <w:sectPr>
          <w:footerReference r:id="rId5" w:type="first"/>
          <w:headerReference r:id="rId3" w:type="default"/>
          <w:footerReference r:id="rId4" w:type="even"/>
          <w:pgSz w:w="11906" w:h="16838"/>
          <w:pgMar w:top="1418" w:right="1701" w:bottom="1588" w:left="1701" w:header="851" w:footer="851" w:gutter="0"/>
          <w:pgNumType w:start="1"/>
          <w:cols w:space="720" w:num="1"/>
          <w:docGrid w:type="lines" w:linePitch="312" w:charSpace="0"/>
        </w:sectPr>
      </w:pPr>
      <w:bookmarkStart w:id="48" w:name="_Toc263403033"/>
      <w:bookmarkStart w:id="49" w:name="_Toc144974497"/>
      <w:bookmarkStart w:id="50" w:name="_Toc152045529"/>
      <w:bookmarkStart w:id="51" w:name="_Toc273437284"/>
      <w:bookmarkStart w:id="52" w:name="_Toc267475032"/>
      <w:bookmarkStart w:id="53" w:name="_Toc263777127"/>
      <w:bookmarkStart w:id="54" w:name="_Toc152042305"/>
    </w:p>
    <w:p>
      <w:pPr>
        <w:pStyle w:val="4"/>
        <w:pageBreakBefore w:val="0"/>
        <w:kinsoku/>
        <w:wordWrap/>
        <w:overflowPunct/>
        <w:topLinePunct w:val="0"/>
        <w:autoSpaceDE/>
        <w:autoSpaceDN/>
        <w:bidi w:val="0"/>
        <w:spacing w:line="360" w:lineRule="auto"/>
      </w:pPr>
      <w:bookmarkStart w:id="55" w:name="_Toc23700"/>
      <w:r>
        <w:t>1. 总则</w:t>
      </w:r>
      <w:bookmarkEnd w:id="48"/>
      <w:bookmarkEnd w:id="49"/>
      <w:bookmarkEnd w:id="50"/>
      <w:bookmarkEnd w:id="51"/>
      <w:bookmarkEnd w:id="52"/>
      <w:bookmarkEnd w:id="53"/>
      <w:bookmarkEnd w:id="54"/>
      <w:bookmarkEnd w:id="55"/>
    </w:p>
    <w:p>
      <w:pPr>
        <w:pageBreakBefore w:val="0"/>
        <w:kinsoku/>
        <w:wordWrap/>
        <w:overflowPunct/>
        <w:topLinePunct w:val="0"/>
        <w:autoSpaceDE/>
        <w:autoSpaceDN/>
        <w:bidi w:val="0"/>
        <w:spacing w:line="360" w:lineRule="auto"/>
        <w:rPr>
          <w:b/>
        </w:rPr>
      </w:pPr>
      <w:bookmarkStart w:id="56" w:name="_Toc267475033"/>
      <w:bookmarkStart w:id="57" w:name="_Toc273437285"/>
      <w:bookmarkStart w:id="58" w:name="_Toc263403034"/>
      <w:bookmarkStart w:id="59" w:name="_Toc152042306"/>
      <w:bookmarkStart w:id="60" w:name="_Toc144974498"/>
      <w:bookmarkStart w:id="61" w:name="_Toc152045530"/>
      <w:bookmarkStart w:id="62" w:name="_Toc263777128"/>
      <w:r>
        <w:rPr>
          <w:b/>
        </w:rPr>
        <w:t>1.1 项目概况</w:t>
      </w:r>
      <w:bookmarkEnd w:id="56"/>
      <w:bookmarkEnd w:id="57"/>
      <w:bookmarkEnd w:id="58"/>
      <w:bookmarkEnd w:id="59"/>
      <w:bookmarkEnd w:id="60"/>
      <w:bookmarkEnd w:id="61"/>
      <w:bookmarkEnd w:id="62"/>
    </w:p>
    <w:p>
      <w:pPr>
        <w:pageBreakBefore w:val="0"/>
        <w:kinsoku/>
        <w:wordWrap/>
        <w:overflowPunct/>
        <w:topLinePunct w:val="0"/>
        <w:autoSpaceDE/>
        <w:autoSpaceDN/>
        <w:bidi w:val="0"/>
        <w:spacing w:line="360" w:lineRule="auto"/>
        <w:rPr>
          <w:rFonts w:ascii="宋体" w:hAnsi="宋体"/>
        </w:rPr>
      </w:pPr>
      <w:r>
        <w:rPr>
          <w:rFonts w:ascii="宋体" w:hAnsi="宋体"/>
        </w:rPr>
        <w:t>1.1.1根据《中华人民共和国招标投标法》</w:t>
      </w:r>
      <w:r>
        <w:rPr>
          <w:rFonts w:hint="eastAsia" w:ascii="宋体" w:hAnsi="宋体"/>
        </w:rPr>
        <w:t>、</w:t>
      </w:r>
      <w:r>
        <w:rPr>
          <w:rFonts w:ascii="宋体" w:hAnsi="宋体"/>
        </w:rPr>
        <w:t>《中华人民共和国招标投标法</w:t>
      </w:r>
      <w:r>
        <w:rPr>
          <w:rFonts w:hint="eastAsia" w:ascii="宋体" w:hAnsi="宋体"/>
        </w:rPr>
        <w:t>实施条例</w:t>
      </w:r>
      <w:r>
        <w:rPr>
          <w:rFonts w:ascii="宋体" w:hAnsi="宋体"/>
        </w:rPr>
        <w:t>》等有关法律、法规和规章的规定，本招标项目已具备招标条件，现对本标段施工进行招标。</w:t>
      </w:r>
    </w:p>
    <w:p>
      <w:pPr>
        <w:pageBreakBefore w:val="0"/>
        <w:kinsoku/>
        <w:wordWrap/>
        <w:overflowPunct/>
        <w:topLinePunct w:val="0"/>
        <w:autoSpaceDE/>
        <w:autoSpaceDN/>
        <w:bidi w:val="0"/>
        <w:spacing w:line="360" w:lineRule="auto"/>
        <w:rPr>
          <w:rFonts w:ascii="宋体" w:hAnsi="宋体"/>
          <w:b/>
          <w:u w:val="single"/>
        </w:rPr>
      </w:pPr>
      <w:r>
        <w:rPr>
          <w:rFonts w:ascii="宋体" w:hAnsi="宋体"/>
        </w:rPr>
        <w:t>1.1.2 本招标项目招标人：</w:t>
      </w:r>
      <w:r>
        <w:rPr>
          <w:rFonts w:hint="eastAsia" w:ascii="宋体" w:hAnsi="宋体"/>
          <w:b/>
          <w:u w:val="single"/>
        </w:rPr>
        <w:t>见投标人须知前附表</w:t>
      </w:r>
    </w:p>
    <w:p>
      <w:pPr>
        <w:spacing w:line="360" w:lineRule="auto"/>
        <w:rPr>
          <w:rFonts w:ascii="宋体" w:hAnsi="宋体"/>
        </w:rPr>
      </w:pPr>
      <w:r>
        <w:rPr>
          <w:rFonts w:ascii="宋体" w:hAnsi="宋体"/>
        </w:rPr>
        <w:t>1.1.3 本标段招标代理机构：</w:t>
      </w:r>
      <w:r>
        <w:rPr>
          <w:rFonts w:hint="eastAsia" w:ascii="宋体" w:hAnsi="宋体"/>
          <w:b/>
          <w:u w:val="single"/>
        </w:rPr>
        <w:t>见投标人须知前附表</w:t>
      </w:r>
    </w:p>
    <w:p>
      <w:pPr>
        <w:spacing w:line="360" w:lineRule="auto"/>
        <w:rPr>
          <w:rFonts w:ascii="宋体" w:hAnsi="宋体"/>
        </w:rPr>
      </w:pPr>
      <w:r>
        <w:rPr>
          <w:rFonts w:ascii="宋体" w:hAnsi="宋体"/>
        </w:rPr>
        <w:t>1.1.4 本招标项目名称：</w:t>
      </w:r>
      <w:r>
        <w:rPr>
          <w:rFonts w:hint="eastAsia" w:ascii="宋体" w:hAnsi="宋体"/>
          <w:b/>
          <w:u w:val="single"/>
        </w:rPr>
        <w:t>见投标人须知前附表</w:t>
      </w:r>
    </w:p>
    <w:p>
      <w:pPr>
        <w:spacing w:line="360" w:lineRule="auto"/>
        <w:rPr>
          <w:rFonts w:ascii="宋体" w:hAnsi="宋体"/>
        </w:rPr>
      </w:pPr>
      <w:r>
        <w:rPr>
          <w:rFonts w:ascii="宋体" w:hAnsi="宋体"/>
        </w:rPr>
        <w:t>1.1.5 本标段建设地点：</w:t>
      </w:r>
      <w:r>
        <w:rPr>
          <w:rFonts w:hint="eastAsia" w:ascii="宋体" w:hAnsi="宋体"/>
          <w:b/>
          <w:u w:val="single"/>
        </w:rPr>
        <w:t>见投标人须知前附表</w:t>
      </w:r>
    </w:p>
    <w:p>
      <w:pPr>
        <w:spacing w:line="360" w:lineRule="auto"/>
      </w:pPr>
      <w:bookmarkStart w:id="63" w:name="_Toc273437286"/>
      <w:bookmarkStart w:id="64" w:name="_Toc152042307"/>
      <w:bookmarkStart w:id="65" w:name="_Toc263777129"/>
      <w:bookmarkStart w:id="66" w:name="_Toc144974499"/>
      <w:bookmarkStart w:id="67" w:name="_Toc152045531"/>
      <w:bookmarkStart w:id="68" w:name="_Toc267475034"/>
      <w:bookmarkStart w:id="69" w:name="_Toc263403035"/>
      <w:r>
        <w:t>1.2 资金来源和落实情况</w:t>
      </w:r>
      <w:bookmarkEnd w:id="63"/>
      <w:bookmarkEnd w:id="64"/>
      <w:bookmarkEnd w:id="65"/>
      <w:bookmarkEnd w:id="66"/>
      <w:bookmarkEnd w:id="67"/>
      <w:bookmarkEnd w:id="68"/>
      <w:bookmarkEnd w:id="69"/>
    </w:p>
    <w:p>
      <w:pPr>
        <w:spacing w:line="360" w:lineRule="auto"/>
        <w:rPr>
          <w:rFonts w:ascii="宋体" w:hAnsi="宋体"/>
        </w:rPr>
      </w:pPr>
      <w:r>
        <w:rPr>
          <w:rFonts w:ascii="宋体" w:hAnsi="宋体"/>
        </w:rPr>
        <w:t>1.2.1 本招标项目的资金来源：</w:t>
      </w:r>
      <w:r>
        <w:rPr>
          <w:rFonts w:hint="eastAsia" w:ascii="宋体" w:hAnsi="宋体"/>
          <w:b/>
          <w:u w:val="single"/>
        </w:rPr>
        <w:t>见投标人须知前附表</w:t>
      </w:r>
    </w:p>
    <w:p>
      <w:pPr>
        <w:spacing w:line="360" w:lineRule="auto"/>
        <w:rPr>
          <w:rFonts w:ascii="宋体" w:hAnsi="宋体"/>
        </w:rPr>
      </w:pPr>
      <w:r>
        <w:rPr>
          <w:rFonts w:ascii="宋体" w:hAnsi="宋体"/>
        </w:rPr>
        <w:t>1.2.2 本招标项目的出资比例：</w:t>
      </w:r>
      <w:r>
        <w:rPr>
          <w:rFonts w:hint="eastAsia" w:ascii="宋体" w:hAnsi="宋体"/>
          <w:b/>
          <w:u w:val="single"/>
        </w:rPr>
        <w:t>见投标人须知前附表</w:t>
      </w:r>
    </w:p>
    <w:p>
      <w:pPr>
        <w:spacing w:line="360" w:lineRule="auto"/>
        <w:rPr>
          <w:rFonts w:ascii="宋体" w:hAnsi="宋体"/>
        </w:rPr>
      </w:pPr>
      <w:r>
        <w:rPr>
          <w:rFonts w:ascii="宋体" w:hAnsi="宋体"/>
        </w:rPr>
        <w:t>1.2.3 本招标项目的资金落实情况：</w:t>
      </w:r>
      <w:r>
        <w:rPr>
          <w:rFonts w:hint="eastAsia" w:ascii="宋体" w:hAnsi="宋体"/>
          <w:b/>
          <w:u w:val="single"/>
        </w:rPr>
        <w:t>见投标人须知前附表</w:t>
      </w:r>
    </w:p>
    <w:p>
      <w:pPr>
        <w:spacing w:line="360" w:lineRule="auto"/>
      </w:pPr>
      <w:bookmarkStart w:id="70" w:name="_Toc267475035"/>
      <w:bookmarkStart w:id="71" w:name="_Toc263403036"/>
      <w:bookmarkStart w:id="72" w:name="_Toc152045532"/>
      <w:bookmarkStart w:id="73" w:name="_Toc144974500"/>
      <w:bookmarkStart w:id="74" w:name="_Toc263777130"/>
      <w:bookmarkStart w:id="75" w:name="_Toc152042308"/>
      <w:bookmarkStart w:id="76" w:name="_Toc273437287"/>
      <w:r>
        <w:t>1.3 招标范围、计划工期、质量要求</w:t>
      </w:r>
      <w:bookmarkEnd w:id="70"/>
      <w:bookmarkEnd w:id="71"/>
      <w:bookmarkEnd w:id="72"/>
      <w:bookmarkEnd w:id="73"/>
      <w:bookmarkEnd w:id="74"/>
      <w:bookmarkEnd w:id="75"/>
      <w:bookmarkEnd w:id="76"/>
    </w:p>
    <w:p>
      <w:pPr>
        <w:spacing w:line="360" w:lineRule="auto"/>
        <w:rPr>
          <w:rFonts w:ascii="宋体" w:hAnsi="宋体"/>
          <w:b/>
          <w:u w:val="single"/>
        </w:rPr>
      </w:pPr>
      <w:r>
        <w:rPr>
          <w:rFonts w:ascii="宋体" w:hAnsi="宋体"/>
        </w:rPr>
        <w:t>1.3.1 本次招标范围：</w:t>
      </w:r>
      <w:r>
        <w:rPr>
          <w:rFonts w:hint="eastAsia" w:ascii="宋体" w:hAnsi="宋体"/>
          <w:b/>
          <w:u w:val="single"/>
        </w:rPr>
        <w:t>见投标人须知前附表</w:t>
      </w:r>
    </w:p>
    <w:p>
      <w:pPr>
        <w:spacing w:line="360" w:lineRule="auto"/>
        <w:rPr>
          <w:rFonts w:ascii="宋体" w:hAnsi="宋体"/>
          <w:b/>
          <w:u w:val="single"/>
        </w:rPr>
      </w:pPr>
      <w:r>
        <w:rPr>
          <w:rFonts w:ascii="宋体" w:hAnsi="宋体"/>
        </w:rPr>
        <w:t>1.3.2 本标段的计划工期：</w:t>
      </w:r>
      <w:r>
        <w:rPr>
          <w:rFonts w:ascii="宋体" w:hAnsi="宋体"/>
          <w:b/>
          <w:u w:val="single"/>
        </w:rPr>
        <w:t>见投标人须知前附表</w:t>
      </w:r>
    </w:p>
    <w:p>
      <w:pPr>
        <w:spacing w:line="360" w:lineRule="auto"/>
        <w:rPr>
          <w:rFonts w:ascii="宋体" w:hAnsi="宋体"/>
        </w:rPr>
      </w:pPr>
      <w:r>
        <w:rPr>
          <w:rFonts w:ascii="宋体" w:hAnsi="宋体"/>
        </w:rPr>
        <w:t>1.3.3 本标段的质量要求：</w:t>
      </w:r>
      <w:r>
        <w:rPr>
          <w:rFonts w:hint="eastAsia" w:ascii="宋体" w:hAnsi="宋体"/>
          <w:b/>
          <w:u w:val="single"/>
        </w:rPr>
        <w:t>见投标人须知前附表</w:t>
      </w:r>
    </w:p>
    <w:p>
      <w:pPr>
        <w:spacing w:line="360" w:lineRule="auto"/>
      </w:pPr>
      <w:bookmarkStart w:id="77" w:name="_Toc263777131"/>
      <w:bookmarkStart w:id="78" w:name="_Toc273437288"/>
      <w:bookmarkStart w:id="79" w:name="_Toc152045533"/>
      <w:bookmarkStart w:id="80" w:name="_Toc152042309"/>
      <w:bookmarkStart w:id="81" w:name="_Toc267475036"/>
      <w:bookmarkStart w:id="82" w:name="_Toc144974501"/>
      <w:bookmarkStart w:id="83" w:name="_Toc263403037"/>
      <w:r>
        <w:t>1.4 投标人资格要求</w:t>
      </w:r>
      <w:bookmarkEnd w:id="77"/>
      <w:bookmarkEnd w:id="78"/>
      <w:bookmarkEnd w:id="79"/>
      <w:bookmarkEnd w:id="80"/>
      <w:bookmarkEnd w:id="81"/>
      <w:bookmarkEnd w:id="82"/>
      <w:bookmarkEnd w:id="83"/>
    </w:p>
    <w:p>
      <w:pPr>
        <w:spacing w:line="360" w:lineRule="auto"/>
        <w:rPr>
          <w:rFonts w:ascii="宋体" w:hAnsi="宋体"/>
        </w:rPr>
      </w:pPr>
      <w:r>
        <w:rPr>
          <w:rFonts w:ascii="宋体" w:hAnsi="宋体"/>
        </w:rPr>
        <w:t xml:space="preserve">1.4.1 </w:t>
      </w:r>
      <w:r>
        <w:rPr>
          <w:rFonts w:hint="eastAsia" w:ascii="宋体" w:hAnsi="宋体"/>
        </w:rPr>
        <w:t>本工程对投标人资格审查方式：</w:t>
      </w:r>
      <w:r>
        <w:rPr>
          <w:rFonts w:hint="eastAsia" w:ascii="宋体" w:hAnsi="宋体"/>
          <w:b/>
          <w:u w:val="single"/>
        </w:rPr>
        <w:t>资格后审</w:t>
      </w:r>
    </w:p>
    <w:p>
      <w:pPr>
        <w:spacing w:line="360" w:lineRule="auto"/>
        <w:ind w:firstLine="420" w:firstLineChars="200"/>
        <w:rPr>
          <w:rFonts w:ascii="宋体" w:hAnsi="宋体"/>
        </w:rPr>
      </w:pPr>
      <w:bookmarkStart w:id="84" w:name="_Toc152045534"/>
      <w:bookmarkStart w:id="85" w:name="_Toc144974502"/>
      <w:bookmarkStart w:id="86" w:name="_Toc152042310"/>
      <w:bookmarkStart w:id="87" w:name="_Toc263403038"/>
      <w:r>
        <w:rPr>
          <w:rFonts w:hint="eastAsia" w:ascii="宋体" w:hAnsi="宋体"/>
        </w:rPr>
        <w:t>对投标人进行资格后审时：</w:t>
      </w:r>
      <w:bookmarkEnd w:id="84"/>
      <w:bookmarkEnd w:id="85"/>
      <w:bookmarkEnd w:id="86"/>
      <w:bookmarkEnd w:id="87"/>
      <w:r>
        <w:rPr>
          <w:rFonts w:ascii="宋体" w:hAnsi="宋体"/>
        </w:rPr>
        <w:t>投标人应具备承担本标段施工的资质条件、能力和信誉。</w:t>
      </w:r>
    </w:p>
    <w:p>
      <w:pPr>
        <w:numPr>
          <w:ilvl w:val="0"/>
          <w:numId w:val="1"/>
        </w:numPr>
        <w:tabs>
          <w:tab w:val="clear" w:pos="780"/>
        </w:tabs>
        <w:spacing w:line="360" w:lineRule="auto"/>
        <w:ind w:left="840" w:leftChars="200" w:hanging="420" w:hangingChars="200"/>
        <w:rPr>
          <w:rFonts w:ascii="宋体" w:hAnsi="宋体"/>
        </w:rPr>
      </w:pPr>
      <w:r>
        <w:rPr>
          <w:rFonts w:ascii="宋体" w:hAnsi="宋体"/>
        </w:rPr>
        <w:t>资质条件：</w:t>
      </w:r>
      <w:r>
        <w:rPr>
          <w:rFonts w:hint="eastAsia" w:ascii="宋体" w:hAnsi="宋体"/>
          <w:b/>
          <w:u w:val="single"/>
        </w:rPr>
        <w:t>见投标人须知前附表</w:t>
      </w:r>
    </w:p>
    <w:p>
      <w:pPr>
        <w:numPr>
          <w:ilvl w:val="0"/>
          <w:numId w:val="1"/>
        </w:numPr>
        <w:tabs>
          <w:tab w:val="clear" w:pos="780"/>
        </w:tabs>
        <w:spacing w:line="360" w:lineRule="auto"/>
        <w:ind w:left="840" w:leftChars="200" w:hanging="420" w:hangingChars="200"/>
        <w:rPr>
          <w:rFonts w:ascii="宋体" w:hAnsi="宋体"/>
        </w:rPr>
      </w:pPr>
      <w:r>
        <w:rPr>
          <w:rFonts w:ascii="宋体" w:hAnsi="宋体"/>
        </w:rPr>
        <w:t>财务要求：</w:t>
      </w:r>
      <w:r>
        <w:rPr>
          <w:rFonts w:hint="eastAsia" w:ascii="宋体" w:hAnsi="宋体"/>
          <w:b/>
          <w:u w:val="single"/>
        </w:rPr>
        <w:t>见投标人须知前附表</w:t>
      </w:r>
    </w:p>
    <w:p>
      <w:pPr>
        <w:numPr>
          <w:ilvl w:val="0"/>
          <w:numId w:val="1"/>
        </w:numPr>
        <w:tabs>
          <w:tab w:val="clear" w:pos="780"/>
        </w:tabs>
        <w:spacing w:line="360" w:lineRule="auto"/>
        <w:ind w:left="840" w:leftChars="200" w:hanging="420" w:hangingChars="200"/>
        <w:rPr>
          <w:rFonts w:ascii="宋体" w:hAnsi="宋体"/>
        </w:rPr>
      </w:pPr>
      <w:r>
        <w:rPr>
          <w:rFonts w:ascii="宋体" w:hAnsi="宋体"/>
        </w:rPr>
        <w:t>业绩要求：</w:t>
      </w:r>
      <w:r>
        <w:rPr>
          <w:rFonts w:hint="eastAsia" w:ascii="宋体" w:hAnsi="宋体"/>
          <w:b/>
          <w:u w:val="single"/>
        </w:rPr>
        <w:t>见投标人须知前附表</w:t>
      </w:r>
    </w:p>
    <w:p>
      <w:pPr>
        <w:numPr>
          <w:ilvl w:val="0"/>
          <w:numId w:val="1"/>
        </w:numPr>
        <w:tabs>
          <w:tab w:val="clear" w:pos="780"/>
        </w:tabs>
        <w:spacing w:line="360" w:lineRule="auto"/>
        <w:ind w:left="840" w:leftChars="200" w:hanging="420" w:hangingChars="200"/>
        <w:rPr>
          <w:rFonts w:ascii="宋体" w:hAnsi="宋体"/>
        </w:rPr>
      </w:pPr>
      <w:r>
        <w:rPr>
          <w:rFonts w:ascii="宋体" w:hAnsi="宋体"/>
        </w:rPr>
        <w:t>信誉要求：</w:t>
      </w:r>
      <w:r>
        <w:rPr>
          <w:rFonts w:hint="eastAsia" w:ascii="宋体" w:hAnsi="宋体"/>
          <w:b/>
          <w:u w:val="single"/>
        </w:rPr>
        <w:t>见投标人须知前附表</w:t>
      </w:r>
    </w:p>
    <w:p>
      <w:pPr>
        <w:numPr>
          <w:ilvl w:val="0"/>
          <w:numId w:val="1"/>
        </w:numPr>
        <w:tabs>
          <w:tab w:val="clear" w:pos="780"/>
        </w:tabs>
        <w:spacing w:line="360" w:lineRule="auto"/>
        <w:ind w:left="840" w:leftChars="200" w:hanging="420" w:hangingChars="200"/>
        <w:rPr>
          <w:rFonts w:ascii="宋体" w:hAnsi="宋体"/>
        </w:rPr>
      </w:pPr>
      <w:r>
        <w:rPr>
          <w:rFonts w:ascii="宋体" w:hAnsi="宋体"/>
        </w:rPr>
        <w:t>项目经理资格：</w:t>
      </w:r>
      <w:r>
        <w:rPr>
          <w:rFonts w:hint="eastAsia" w:ascii="宋体" w:hAnsi="宋体"/>
          <w:b/>
          <w:u w:val="single"/>
        </w:rPr>
        <w:t>见投标人须知前附表</w:t>
      </w:r>
    </w:p>
    <w:p>
      <w:pPr>
        <w:numPr>
          <w:ilvl w:val="0"/>
          <w:numId w:val="1"/>
        </w:numPr>
        <w:tabs>
          <w:tab w:val="clear" w:pos="780"/>
        </w:tabs>
        <w:spacing w:line="360" w:lineRule="auto"/>
        <w:ind w:left="840" w:leftChars="200" w:hanging="420" w:hangingChars="200"/>
        <w:rPr>
          <w:rFonts w:ascii="宋体" w:hAnsi="宋体"/>
        </w:rPr>
      </w:pPr>
      <w:r>
        <w:rPr>
          <w:rFonts w:ascii="宋体" w:hAnsi="宋体"/>
        </w:rPr>
        <w:t>其他要求：</w:t>
      </w:r>
      <w:r>
        <w:rPr>
          <w:rFonts w:hint="eastAsia" w:ascii="宋体" w:hAnsi="宋体"/>
          <w:b/>
          <w:u w:val="single"/>
        </w:rPr>
        <w:t>见投标人须知前附表</w:t>
      </w:r>
    </w:p>
    <w:p>
      <w:pPr>
        <w:spacing w:line="360" w:lineRule="auto"/>
        <w:rPr>
          <w:rFonts w:ascii="宋体" w:hAnsi="宋体"/>
        </w:rPr>
      </w:pPr>
      <w:r>
        <w:rPr>
          <w:rFonts w:ascii="宋体" w:hAnsi="宋体"/>
        </w:rPr>
        <w:t xml:space="preserve">1.4.2 投标人须知前附表规定接受联合体投标的，除应符合本章第1.4.1项和投标人须知前附表的要求外，还应遵守以下规定： </w:t>
      </w:r>
    </w:p>
    <w:p>
      <w:pPr>
        <w:spacing w:line="360" w:lineRule="auto"/>
        <w:ind w:firstLine="420" w:firstLineChars="200"/>
        <w:rPr>
          <w:rFonts w:ascii="宋体" w:hAnsi="宋体"/>
        </w:rPr>
      </w:pPr>
      <w:r>
        <w:rPr>
          <w:rFonts w:ascii="宋体" w:hAnsi="宋体"/>
        </w:rPr>
        <w:t xml:space="preserve">（1）联合体各方应按招标文件提供的格式签订联合体协议书，明确联合体牵头人和各方权利义务；  </w:t>
      </w:r>
    </w:p>
    <w:p>
      <w:pPr>
        <w:spacing w:line="360" w:lineRule="auto"/>
        <w:ind w:firstLine="420" w:firstLineChars="200"/>
        <w:rPr>
          <w:rFonts w:ascii="宋体" w:hAnsi="宋体"/>
        </w:rPr>
      </w:pPr>
      <w:r>
        <w:rPr>
          <w:rFonts w:ascii="宋体" w:hAnsi="宋体"/>
        </w:rPr>
        <w:t>（2）由同一专业的单位组成的联合体，按照资质等级较低的单位确定资质等级；</w:t>
      </w:r>
    </w:p>
    <w:p>
      <w:pPr>
        <w:spacing w:line="360" w:lineRule="auto"/>
        <w:ind w:firstLine="420" w:firstLineChars="200"/>
        <w:rPr>
          <w:rFonts w:ascii="宋体" w:hAnsi="宋体"/>
        </w:rPr>
      </w:pPr>
      <w:r>
        <w:rPr>
          <w:rFonts w:ascii="宋体" w:hAnsi="宋体"/>
        </w:rPr>
        <w:t>（3）联合体各方不得再以自己名义单独或参加其他联合体在同一标段中投标。 </w:t>
      </w:r>
    </w:p>
    <w:p>
      <w:pPr>
        <w:spacing w:line="360" w:lineRule="auto"/>
        <w:rPr>
          <w:rFonts w:ascii="宋体" w:hAnsi="宋体"/>
        </w:rPr>
      </w:pPr>
      <w:r>
        <w:rPr>
          <w:rFonts w:ascii="宋体" w:hAnsi="宋体"/>
        </w:rPr>
        <w:t>1.4.3 投标人不得存在下列情形之一：</w:t>
      </w:r>
    </w:p>
    <w:p>
      <w:pPr>
        <w:numPr>
          <w:ilvl w:val="0"/>
          <w:numId w:val="2"/>
        </w:numPr>
        <w:tabs>
          <w:tab w:val="clear" w:pos="780"/>
        </w:tabs>
        <w:spacing w:line="360" w:lineRule="auto"/>
        <w:ind w:left="945" w:leftChars="200" w:hanging="525" w:hangingChars="250"/>
        <w:rPr>
          <w:rFonts w:ascii="宋体" w:hAnsi="宋体"/>
        </w:rPr>
      </w:pPr>
      <w:bookmarkStart w:id="88" w:name="_Toc152045535"/>
      <w:bookmarkStart w:id="89" w:name="_Toc267475037"/>
      <w:bookmarkStart w:id="90" w:name="_Toc263777132"/>
      <w:bookmarkStart w:id="91" w:name="_Toc152042311"/>
      <w:bookmarkStart w:id="92" w:name="_Toc263403039"/>
      <w:bookmarkStart w:id="93" w:name="_Toc144974503"/>
      <w:bookmarkStart w:id="94" w:name="_Toc273437289"/>
      <w:r>
        <w:rPr>
          <w:rFonts w:ascii="宋体" w:hAnsi="宋体"/>
        </w:rPr>
        <w:t xml:space="preserve">为招标人不具有独立法人资格的附属机构(单位)； </w:t>
      </w:r>
    </w:p>
    <w:p>
      <w:pPr>
        <w:numPr>
          <w:ilvl w:val="0"/>
          <w:numId w:val="2"/>
        </w:numPr>
        <w:tabs>
          <w:tab w:val="clear" w:pos="780"/>
        </w:tabs>
        <w:spacing w:line="360" w:lineRule="auto"/>
        <w:ind w:left="970" w:leftChars="200" w:hanging="550" w:hangingChars="250"/>
        <w:rPr>
          <w:rFonts w:ascii="宋体" w:hAnsi="宋体"/>
        </w:rPr>
      </w:pPr>
      <w:r>
        <w:rPr>
          <w:rFonts w:hint="eastAsia"/>
          <w:kern w:val="0"/>
          <w:sz w:val="22"/>
        </w:rPr>
        <w:t>为本标段前期准备提供设计或咨询服务的，但设计施工总承包的除外</w:t>
      </w:r>
      <w:r>
        <w:rPr>
          <w:rFonts w:ascii="宋体" w:hAnsi="宋体"/>
        </w:rPr>
        <w:t>；</w:t>
      </w:r>
    </w:p>
    <w:p>
      <w:pPr>
        <w:numPr>
          <w:ilvl w:val="0"/>
          <w:numId w:val="2"/>
        </w:numPr>
        <w:tabs>
          <w:tab w:val="clear" w:pos="780"/>
        </w:tabs>
        <w:spacing w:line="360" w:lineRule="auto"/>
        <w:ind w:left="945" w:leftChars="200" w:hanging="525" w:hangingChars="250"/>
        <w:rPr>
          <w:rFonts w:ascii="宋体" w:hAnsi="宋体"/>
        </w:rPr>
      </w:pPr>
      <w:r>
        <w:rPr>
          <w:rFonts w:ascii="宋体" w:hAnsi="宋体"/>
        </w:rPr>
        <w:t>为本标段的监理人；</w:t>
      </w:r>
    </w:p>
    <w:p>
      <w:pPr>
        <w:numPr>
          <w:ilvl w:val="0"/>
          <w:numId w:val="2"/>
        </w:numPr>
        <w:tabs>
          <w:tab w:val="clear" w:pos="780"/>
        </w:tabs>
        <w:spacing w:line="360" w:lineRule="auto"/>
        <w:ind w:left="945" w:leftChars="200" w:hanging="525" w:hangingChars="250"/>
        <w:rPr>
          <w:rFonts w:ascii="宋体" w:hAnsi="宋体"/>
        </w:rPr>
      </w:pPr>
      <w:r>
        <w:rPr>
          <w:rFonts w:ascii="宋体" w:hAnsi="宋体"/>
        </w:rPr>
        <w:t>为本标段的代建人；</w:t>
      </w:r>
    </w:p>
    <w:p>
      <w:pPr>
        <w:numPr>
          <w:ilvl w:val="0"/>
          <w:numId w:val="2"/>
        </w:numPr>
        <w:tabs>
          <w:tab w:val="clear" w:pos="780"/>
        </w:tabs>
        <w:spacing w:line="360" w:lineRule="auto"/>
        <w:ind w:left="945" w:leftChars="200" w:hanging="525" w:hangingChars="250"/>
        <w:rPr>
          <w:rFonts w:ascii="宋体" w:hAnsi="宋体"/>
        </w:rPr>
      </w:pPr>
      <w:r>
        <w:rPr>
          <w:rFonts w:ascii="宋体" w:hAnsi="宋体"/>
        </w:rPr>
        <w:t>为本标段提供招标代理服务的；</w:t>
      </w:r>
    </w:p>
    <w:p>
      <w:pPr>
        <w:numPr>
          <w:ilvl w:val="0"/>
          <w:numId w:val="2"/>
        </w:numPr>
        <w:tabs>
          <w:tab w:val="clear" w:pos="780"/>
        </w:tabs>
        <w:spacing w:line="360" w:lineRule="auto"/>
        <w:ind w:left="945" w:leftChars="200" w:hanging="525" w:hangingChars="250"/>
        <w:rPr>
          <w:rFonts w:ascii="宋体" w:hAnsi="宋体"/>
        </w:rPr>
      </w:pPr>
      <w:r>
        <w:rPr>
          <w:rFonts w:ascii="宋体" w:hAnsi="宋体"/>
        </w:rPr>
        <w:t>与本标段的监理人或代建人或招标代理机构同为一个法定代表人的；</w:t>
      </w:r>
    </w:p>
    <w:p>
      <w:pPr>
        <w:numPr>
          <w:ilvl w:val="0"/>
          <w:numId w:val="2"/>
        </w:numPr>
        <w:tabs>
          <w:tab w:val="clear" w:pos="780"/>
        </w:tabs>
        <w:spacing w:line="360" w:lineRule="auto"/>
        <w:ind w:left="945" w:leftChars="200" w:hanging="525" w:hangingChars="250"/>
        <w:rPr>
          <w:rFonts w:ascii="宋体" w:hAnsi="宋体"/>
        </w:rPr>
      </w:pPr>
      <w:r>
        <w:rPr>
          <w:rFonts w:ascii="宋体" w:hAnsi="宋体"/>
        </w:rPr>
        <w:t>与本标段的监理人或代建人或招标代理机构相互控股或参股的；</w:t>
      </w:r>
    </w:p>
    <w:p>
      <w:pPr>
        <w:numPr>
          <w:ilvl w:val="0"/>
          <w:numId w:val="2"/>
        </w:numPr>
        <w:tabs>
          <w:tab w:val="clear" w:pos="780"/>
        </w:tabs>
        <w:spacing w:line="360" w:lineRule="auto"/>
        <w:ind w:left="945" w:leftChars="200" w:hanging="525" w:hangingChars="250"/>
        <w:rPr>
          <w:rFonts w:ascii="宋体" w:hAnsi="宋体"/>
        </w:rPr>
      </w:pPr>
      <w:r>
        <w:rPr>
          <w:rFonts w:ascii="宋体" w:hAnsi="宋体"/>
        </w:rPr>
        <w:t>与本标段的监理人或代建人或招标代理机构相互任职或工作的；</w:t>
      </w:r>
    </w:p>
    <w:p>
      <w:pPr>
        <w:numPr>
          <w:ilvl w:val="0"/>
          <w:numId w:val="2"/>
        </w:numPr>
        <w:tabs>
          <w:tab w:val="clear" w:pos="780"/>
        </w:tabs>
        <w:spacing w:line="360" w:lineRule="auto"/>
        <w:ind w:left="945" w:leftChars="200" w:hanging="525" w:hangingChars="250"/>
        <w:rPr>
          <w:rFonts w:ascii="宋体" w:hAnsi="宋体"/>
        </w:rPr>
      </w:pPr>
      <w:r>
        <w:rPr>
          <w:rFonts w:ascii="宋体" w:hAnsi="宋体"/>
        </w:rPr>
        <w:t>被责令停业的；</w:t>
      </w:r>
    </w:p>
    <w:p>
      <w:pPr>
        <w:numPr>
          <w:ilvl w:val="0"/>
          <w:numId w:val="2"/>
        </w:numPr>
        <w:tabs>
          <w:tab w:val="clear" w:pos="780"/>
        </w:tabs>
        <w:spacing w:line="360" w:lineRule="auto"/>
        <w:ind w:left="945" w:leftChars="200" w:hanging="525" w:hangingChars="250"/>
        <w:rPr>
          <w:rFonts w:ascii="宋体" w:hAnsi="宋体"/>
        </w:rPr>
      </w:pPr>
      <w:r>
        <w:rPr>
          <w:rFonts w:ascii="宋体" w:hAnsi="宋体"/>
        </w:rPr>
        <w:t>被暂停或取消投标资格的；</w:t>
      </w:r>
    </w:p>
    <w:p>
      <w:pPr>
        <w:numPr>
          <w:ilvl w:val="0"/>
          <w:numId w:val="2"/>
        </w:numPr>
        <w:tabs>
          <w:tab w:val="clear" w:pos="780"/>
        </w:tabs>
        <w:spacing w:line="360" w:lineRule="auto"/>
        <w:ind w:left="945" w:leftChars="200" w:hanging="525" w:hangingChars="250"/>
        <w:rPr>
          <w:rFonts w:ascii="宋体" w:hAnsi="宋体"/>
        </w:rPr>
      </w:pPr>
      <w:r>
        <w:rPr>
          <w:rFonts w:ascii="宋体" w:hAnsi="宋体"/>
        </w:rPr>
        <w:t>财产被接管或冻结的；</w:t>
      </w:r>
    </w:p>
    <w:p>
      <w:pPr>
        <w:numPr>
          <w:ilvl w:val="0"/>
          <w:numId w:val="2"/>
        </w:numPr>
        <w:tabs>
          <w:tab w:val="clear" w:pos="780"/>
        </w:tabs>
        <w:spacing w:line="360" w:lineRule="auto"/>
        <w:ind w:left="945" w:leftChars="200" w:hanging="525" w:hangingChars="250"/>
        <w:rPr>
          <w:rFonts w:ascii="宋体" w:hAnsi="宋体"/>
        </w:rPr>
      </w:pPr>
      <w:r>
        <w:rPr>
          <w:rFonts w:ascii="宋体" w:hAnsi="宋体"/>
        </w:rPr>
        <w:t>在最近三年内有骗取中标或严重违约或重大工程质量问题的。</w:t>
      </w:r>
    </w:p>
    <w:p>
      <w:pPr>
        <w:spacing w:line="360" w:lineRule="auto"/>
        <w:rPr>
          <w:rFonts w:ascii="宋体" w:hAnsi="宋体"/>
        </w:rPr>
      </w:pPr>
      <w:r>
        <w:rPr>
          <w:rFonts w:ascii="宋体" w:hAnsi="宋体"/>
        </w:rPr>
        <w:t>1.4.</w:t>
      </w:r>
      <w:r>
        <w:rPr>
          <w:rFonts w:hint="eastAsia" w:ascii="宋体" w:hAnsi="宋体"/>
        </w:rPr>
        <w:t>4</w:t>
      </w:r>
      <w:r>
        <w:rPr>
          <w:rFonts w:hint="eastAsia"/>
          <w:szCs w:val="21"/>
        </w:rPr>
        <w:t>投标人之间有下列情形之一的，不得同时参加工程项目同一标段的投标</w:t>
      </w:r>
      <w:r>
        <w:rPr>
          <w:rFonts w:ascii="宋体" w:hAnsi="宋体"/>
        </w:rPr>
        <w:t>：</w:t>
      </w:r>
    </w:p>
    <w:p>
      <w:pPr>
        <w:numPr>
          <w:ilvl w:val="0"/>
          <w:numId w:val="3"/>
        </w:numPr>
        <w:spacing w:line="360" w:lineRule="auto"/>
        <w:rPr>
          <w:szCs w:val="21"/>
        </w:rPr>
      </w:pPr>
      <w:r>
        <w:rPr>
          <w:rFonts w:hint="eastAsia"/>
          <w:szCs w:val="21"/>
        </w:rPr>
        <w:t>法定代表人为同一个人的两个或者两个以上企业法人；</w:t>
      </w:r>
    </w:p>
    <w:p>
      <w:pPr>
        <w:numPr>
          <w:ilvl w:val="0"/>
          <w:numId w:val="3"/>
        </w:numPr>
        <w:spacing w:line="360" w:lineRule="auto"/>
        <w:rPr>
          <w:szCs w:val="21"/>
        </w:rPr>
      </w:pPr>
      <w:r>
        <w:rPr>
          <w:rFonts w:hint="eastAsia"/>
          <w:szCs w:val="21"/>
        </w:rPr>
        <w:t>投标人之间存在控股关系、隶属、管理关系的。</w:t>
      </w:r>
    </w:p>
    <w:p>
      <w:pPr>
        <w:spacing w:line="360" w:lineRule="auto"/>
      </w:pPr>
      <w:r>
        <w:t>1.5 费用承担</w:t>
      </w:r>
      <w:bookmarkEnd w:id="88"/>
      <w:bookmarkEnd w:id="89"/>
      <w:bookmarkEnd w:id="90"/>
      <w:bookmarkEnd w:id="91"/>
      <w:bookmarkEnd w:id="92"/>
      <w:bookmarkEnd w:id="93"/>
      <w:bookmarkEnd w:id="94"/>
    </w:p>
    <w:p>
      <w:pPr>
        <w:spacing w:line="360" w:lineRule="auto"/>
        <w:ind w:firstLine="420" w:firstLineChars="200"/>
        <w:rPr>
          <w:rFonts w:ascii="宋体" w:hAnsi="宋体"/>
        </w:rPr>
      </w:pPr>
      <w:r>
        <w:rPr>
          <w:rFonts w:ascii="宋体" w:hAnsi="宋体"/>
        </w:rPr>
        <w:t>投标人准备和参加投标活动发生的费用自理。</w:t>
      </w:r>
    </w:p>
    <w:p>
      <w:pPr>
        <w:spacing w:line="360" w:lineRule="auto"/>
      </w:pPr>
      <w:bookmarkStart w:id="95" w:name="_Toc263403040"/>
      <w:bookmarkStart w:id="96" w:name="_Toc267475038"/>
      <w:bookmarkStart w:id="97" w:name="_Toc273437290"/>
      <w:bookmarkStart w:id="98" w:name="_Toc144974504"/>
      <w:bookmarkStart w:id="99" w:name="_Toc152045536"/>
      <w:bookmarkStart w:id="100" w:name="_Toc152042312"/>
      <w:bookmarkStart w:id="101" w:name="_Toc263777133"/>
      <w:r>
        <w:t>1.6 保密</w:t>
      </w:r>
      <w:bookmarkEnd w:id="95"/>
      <w:bookmarkEnd w:id="96"/>
      <w:bookmarkEnd w:id="97"/>
      <w:bookmarkEnd w:id="98"/>
      <w:bookmarkEnd w:id="99"/>
      <w:bookmarkEnd w:id="100"/>
      <w:bookmarkEnd w:id="101"/>
    </w:p>
    <w:p>
      <w:pPr>
        <w:spacing w:line="360" w:lineRule="auto"/>
        <w:ind w:firstLine="420" w:firstLineChars="200"/>
        <w:rPr>
          <w:rFonts w:ascii="宋体" w:hAnsi="宋体"/>
        </w:rPr>
      </w:pPr>
      <w:r>
        <w:rPr>
          <w:rFonts w:ascii="宋体" w:hAnsi="宋体"/>
        </w:rPr>
        <w:t>参与招标投标活动的各方应对招标文件和投标文件中的商业和技术等秘密保密，违者应对由此造成的后果承担法律责任。</w:t>
      </w:r>
    </w:p>
    <w:p>
      <w:pPr>
        <w:spacing w:line="360" w:lineRule="auto"/>
      </w:pPr>
      <w:bookmarkStart w:id="102" w:name="_Toc144974505"/>
      <w:bookmarkStart w:id="103" w:name="_Toc263777134"/>
      <w:bookmarkStart w:id="104" w:name="_Toc152045537"/>
      <w:bookmarkStart w:id="105" w:name="_Toc267475039"/>
      <w:bookmarkStart w:id="106" w:name="_Toc263403041"/>
      <w:bookmarkStart w:id="107" w:name="_Toc152042313"/>
      <w:bookmarkStart w:id="108" w:name="_Toc273437291"/>
      <w:r>
        <w:t>1.7 语言</w:t>
      </w:r>
      <w:bookmarkEnd w:id="102"/>
      <w:r>
        <w:t>文字</w:t>
      </w:r>
      <w:bookmarkEnd w:id="103"/>
      <w:bookmarkEnd w:id="104"/>
      <w:bookmarkEnd w:id="105"/>
      <w:bookmarkEnd w:id="106"/>
      <w:bookmarkEnd w:id="107"/>
      <w:bookmarkEnd w:id="108"/>
    </w:p>
    <w:p>
      <w:pPr>
        <w:spacing w:line="360" w:lineRule="auto"/>
        <w:ind w:firstLine="420" w:firstLineChars="200"/>
        <w:rPr>
          <w:rFonts w:ascii="宋体" w:hAnsi="宋体"/>
        </w:rPr>
      </w:pPr>
      <w:r>
        <w:rPr>
          <w:rFonts w:ascii="宋体" w:hAnsi="宋体"/>
        </w:rPr>
        <w:t>除专用术语外，与招标投标有关的语言均使用中文。必要时专用术语应附有中文注释。</w:t>
      </w:r>
    </w:p>
    <w:p>
      <w:pPr>
        <w:spacing w:line="360" w:lineRule="auto"/>
      </w:pPr>
      <w:bookmarkStart w:id="109" w:name="_Toc144974506"/>
      <w:bookmarkStart w:id="110" w:name="_Toc267475040"/>
      <w:bookmarkStart w:id="111" w:name="_Toc263777135"/>
      <w:bookmarkStart w:id="112" w:name="_Toc152045538"/>
      <w:bookmarkStart w:id="113" w:name="_Toc152042314"/>
      <w:bookmarkStart w:id="114" w:name="_Toc263403042"/>
      <w:bookmarkStart w:id="115" w:name="_Toc273437292"/>
      <w:r>
        <w:t>1.8 计量单位</w:t>
      </w:r>
      <w:bookmarkEnd w:id="109"/>
      <w:bookmarkEnd w:id="110"/>
      <w:bookmarkEnd w:id="111"/>
      <w:bookmarkEnd w:id="112"/>
      <w:bookmarkEnd w:id="113"/>
      <w:bookmarkEnd w:id="114"/>
      <w:bookmarkEnd w:id="115"/>
    </w:p>
    <w:p>
      <w:pPr>
        <w:spacing w:line="360" w:lineRule="auto"/>
        <w:ind w:firstLine="420" w:firstLineChars="200"/>
        <w:rPr>
          <w:rFonts w:ascii="宋体" w:hAnsi="宋体"/>
        </w:rPr>
      </w:pPr>
      <w:r>
        <w:rPr>
          <w:rFonts w:ascii="宋体" w:hAnsi="宋体"/>
        </w:rPr>
        <w:t>所有计量均采用中华人民共和国法定计量单位。</w:t>
      </w:r>
    </w:p>
    <w:p>
      <w:pPr>
        <w:spacing w:line="360" w:lineRule="auto"/>
        <w:rPr>
          <w:rFonts w:ascii="宋体" w:hAnsi="宋体"/>
        </w:rPr>
      </w:pPr>
      <w:bookmarkStart w:id="116" w:name="_Toc144974507"/>
      <w:bookmarkStart w:id="117" w:name="_Toc152045539"/>
      <w:bookmarkStart w:id="118" w:name="_Toc267475041"/>
      <w:bookmarkStart w:id="119" w:name="_Toc273437293"/>
      <w:bookmarkStart w:id="120" w:name="_Toc263777136"/>
      <w:bookmarkStart w:id="121" w:name="_Toc263403043"/>
      <w:bookmarkStart w:id="122" w:name="_Toc152042315"/>
      <w:r>
        <w:t xml:space="preserve">1.9 </w:t>
      </w:r>
      <w:r>
        <w:rPr>
          <w:rFonts w:ascii="宋体" w:hAnsi="宋体"/>
        </w:rPr>
        <w:t>踏勘现场</w:t>
      </w:r>
      <w:bookmarkEnd w:id="116"/>
      <w:bookmarkEnd w:id="117"/>
      <w:bookmarkEnd w:id="118"/>
      <w:bookmarkEnd w:id="119"/>
      <w:bookmarkEnd w:id="120"/>
      <w:bookmarkEnd w:id="121"/>
      <w:bookmarkEnd w:id="122"/>
    </w:p>
    <w:p>
      <w:pPr>
        <w:spacing w:line="360" w:lineRule="auto"/>
        <w:rPr>
          <w:rFonts w:ascii="宋体" w:hAnsi="宋体"/>
        </w:rPr>
      </w:pPr>
      <w:bookmarkStart w:id="123" w:name="_Toc267475042"/>
      <w:bookmarkStart w:id="124" w:name="_Toc152042317"/>
      <w:bookmarkStart w:id="125" w:name="_Toc263777137"/>
      <w:bookmarkStart w:id="126" w:name="_Toc152045541"/>
      <w:bookmarkStart w:id="127" w:name="_Toc273437294"/>
      <w:bookmarkStart w:id="128" w:name="_Toc263403045"/>
      <w:bookmarkStart w:id="129" w:name="_Toc144974509"/>
      <w:r>
        <w:rPr>
          <w:rFonts w:ascii="宋体" w:hAnsi="宋体"/>
        </w:rPr>
        <w:t>1.9.1 投标人须知前附表规定组织踏勘现场的，招标人按投标人须知前附表规定的</w:t>
      </w:r>
    </w:p>
    <w:p>
      <w:pPr>
        <w:spacing w:line="360" w:lineRule="auto"/>
        <w:jc w:val="left"/>
        <w:rPr>
          <w:rFonts w:ascii="宋体" w:hAnsi="宋体"/>
        </w:rPr>
      </w:pPr>
      <w:r>
        <w:rPr>
          <w:rFonts w:ascii="宋体" w:hAnsi="宋体"/>
        </w:rPr>
        <w:t>时间、地点组织投标人踏勘项目现场。</w:t>
      </w:r>
    </w:p>
    <w:p>
      <w:pPr>
        <w:spacing w:line="360" w:lineRule="auto"/>
        <w:rPr>
          <w:rFonts w:ascii="宋体" w:hAnsi="宋体"/>
        </w:rPr>
      </w:pPr>
      <w:r>
        <w:rPr>
          <w:rFonts w:ascii="宋体" w:hAnsi="宋体"/>
        </w:rPr>
        <w:t>1.9.2 投标人踏勘现场发生的费用自理。</w:t>
      </w:r>
    </w:p>
    <w:p>
      <w:pPr>
        <w:spacing w:line="360" w:lineRule="auto"/>
        <w:rPr>
          <w:rFonts w:ascii="宋体" w:hAnsi="宋体"/>
        </w:rPr>
      </w:pPr>
      <w:r>
        <w:rPr>
          <w:rFonts w:ascii="宋体" w:hAnsi="宋体"/>
        </w:rPr>
        <w:t>1.9.3 除招标人的原因外，投标人自行负责在踏勘现场中所发生的人员伤亡和财产损失。</w:t>
      </w:r>
    </w:p>
    <w:p>
      <w:pPr>
        <w:spacing w:line="360" w:lineRule="auto"/>
        <w:rPr>
          <w:rFonts w:ascii="宋体" w:hAnsi="宋体"/>
        </w:rPr>
      </w:pPr>
      <w:r>
        <w:rPr>
          <w:rFonts w:ascii="宋体" w:hAnsi="宋体"/>
        </w:rPr>
        <w:t>1.9.4 招标人在踏勘现场中介绍的工程场地和相关的周边环境情况，供投标人在编制投标文件时参考，招标人不对投标人据此作出的判断和决策负责。</w:t>
      </w:r>
    </w:p>
    <w:p>
      <w:pPr>
        <w:spacing w:line="360" w:lineRule="auto"/>
        <w:rPr>
          <w:rFonts w:hint="eastAsia" w:ascii="宋体" w:hAnsi="宋体"/>
        </w:rPr>
      </w:pPr>
      <w:r>
        <w:rPr>
          <w:rFonts w:hint="eastAsia" w:ascii="宋体" w:hAnsi="宋体"/>
          <w:lang w:val="en-US" w:eastAsia="zh-CN"/>
        </w:rPr>
        <w:t>1.10</w:t>
      </w:r>
      <w:r>
        <w:rPr>
          <w:rFonts w:hint="eastAsia" w:ascii="宋体" w:hAnsi="宋体"/>
        </w:rPr>
        <w:t xml:space="preserve">投标预备会 </w:t>
      </w:r>
    </w:p>
    <w:p>
      <w:pPr>
        <w:spacing w:line="360" w:lineRule="auto"/>
        <w:rPr>
          <w:rFonts w:hint="eastAsia" w:ascii="宋体" w:hAnsi="宋体"/>
        </w:rPr>
      </w:pPr>
      <w:r>
        <w:rPr>
          <w:rFonts w:hint="eastAsia" w:ascii="宋体" w:hAnsi="宋体"/>
          <w:lang w:val="en-US" w:eastAsia="zh-CN"/>
        </w:rPr>
        <w:t>1.10.1</w:t>
      </w:r>
      <w:r>
        <w:rPr>
          <w:rFonts w:hint="eastAsia" w:ascii="宋体" w:hAnsi="宋体"/>
        </w:rPr>
        <w:t xml:space="preserve">投标人须知前附表规定召开投标预备会的，招标人按投标人须知前附表规定的时间和地点召开投标预备会，澄清投标人提出的问题。 </w:t>
      </w:r>
    </w:p>
    <w:p>
      <w:pPr>
        <w:spacing w:line="360" w:lineRule="auto"/>
        <w:rPr>
          <w:rFonts w:hint="eastAsia" w:ascii="宋体" w:hAnsi="宋体"/>
        </w:rPr>
      </w:pPr>
      <w:r>
        <w:rPr>
          <w:rFonts w:hint="eastAsia" w:ascii="宋体" w:hAnsi="宋体"/>
          <w:lang w:val="en-US" w:eastAsia="zh-CN"/>
        </w:rPr>
        <w:t>1.10.2</w:t>
      </w:r>
      <w:r>
        <w:rPr>
          <w:rFonts w:hint="eastAsia" w:ascii="宋体" w:hAnsi="宋体"/>
        </w:rPr>
        <w:t xml:space="preserve">投标人应在投标人须知前附表规定的时间前，以书面形式将提出的问题送达招标人，以便招标人在会议期间澄清。 </w:t>
      </w:r>
    </w:p>
    <w:p>
      <w:pPr>
        <w:spacing w:line="360" w:lineRule="auto"/>
        <w:rPr>
          <w:rFonts w:ascii="宋体" w:hAnsi="宋体"/>
        </w:rPr>
      </w:pPr>
      <w:r>
        <w:rPr>
          <w:rFonts w:hint="eastAsia" w:ascii="宋体" w:hAnsi="宋体"/>
          <w:lang w:val="en-US" w:eastAsia="zh-CN"/>
        </w:rPr>
        <w:t>1.10.3</w:t>
      </w:r>
      <w:r>
        <w:rPr>
          <w:rFonts w:hint="eastAsia" w:ascii="宋体" w:hAnsi="宋体"/>
        </w:rPr>
        <w:t xml:space="preserve">投标预备会后，招标人在投标人须知前附表规定的时间内，将对投标人所提问题的澄清，以书面方式通知所有购买招标文件的投标人。该澄清内容为招标文件的组成部分。 </w:t>
      </w:r>
    </w:p>
    <w:p>
      <w:pPr>
        <w:spacing w:line="360" w:lineRule="auto"/>
        <w:rPr>
          <w:rFonts w:ascii="宋体" w:hAnsi="宋体"/>
        </w:rPr>
      </w:pPr>
      <w:r>
        <w:rPr>
          <w:rFonts w:ascii="宋体" w:hAnsi="宋体"/>
        </w:rPr>
        <w:t>1.1</w:t>
      </w:r>
      <w:r>
        <w:rPr>
          <w:rFonts w:hint="eastAsia" w:ascii="宋体" w:hAnsi="宋体"/>
          <w:lang w:val="en-US" w:eastAsia="zh-CN"/>
        </w:rPr>
        <w:t>1</w:t>
      </w:r>
      <w:r>
        <w:rPr>
          <w:rFonts w:ascii="宋体" w:hAnsi="宋体"/>
        </w:rPr>
        <w:t>分包</w:t>
      </w:r>
      <w:bookmarkEnd w:id="123"/>
      <w:bookmarkEnd w:id="124"/>
      <w:bookmarkEnd w:id="125"/>
      <w:bookmarkEnd w:id="126"/>
      <w:bookmarkEnd w:id="127"/>
      <w:bookmarkEnd w:id="128"/>
      <w:bookmarkEnd w:id="129"/>
    </w:p>
    <w:p>
      <w:pPr>
        <w:spacing w:line="360" w:lineRule="auto"/>
        <w:ind w:firstLine="420" w:firstLineChars="200"/>
        <w:rPr>
          <w:rFonts w:ascii="宋体" w:hAnsi="宋体"/>
        </w:rPr>
      </w:pPr>
      <w:r>
        <w:rPr>
          <w:rFonts w:ascii="宋体" w:hAnsi="宋体"/>
        </w:rPr>
        <w:t>投标人拟在中标后将中标项目的部分非主体、非关键性工作进行分包的，应符合投标人须知前附表规定的分包内容、分包金额和接受分包的第三人资质要求等限制性条件。</w:t>
      </w:r>
    </w:p>
    <w:p>
      <w:pPr>
        <w:spacing w:line="360" w:lineRule="auto"/>
      </w:pPr>
      <w:bookmarkStart w:id="130" w:name="_Toc273437295"/>
      <w:bookmarkStart w:id="131" w:name="_Toc263777138"/>
      <w:bookmarkStart w:id="132" w:name="_Toc267475043"/>
      <w:bookmarkStart w:id="133" w:name="_Toc263403046"/>
      <w:r>
        <w:t>1.1</w:t>
      </w:r>
      <w:r>
        <w:rPr>
          <w:rFonts w:hint="eastAsia"/>
          <w:lang w:val="en-US" w:eastAsia="zh-CN"/>
        </w:rPr>
        <w:t>2</w:t>
      </w:r>
      <w:r>
        <w:t>偏离</w:t>
      </w:r>
      <w:bookmarkEnd w:id="130"/>
      <w:bookmarkEnd w:id="131"/>
      <w:bookmarkEnd w:id="132"/>
      <w:bookmarkEnd w:id="133"/>
    </w:p>
    <w:p>
      <w:pPr>
        <w:spacing w:line="360" w:lineRule="auto"/>
        <w:ind w:firstLine="422" w:firstLineChars="200"/>
        <w:rPr>
          <w:rFonts w:ascii="宋体" w:hAnsi="宋体"/>
        </w:rPr>
      </w:pPr>
      <w:r>
        <w:rPr>
          <w:rFonts w:ascii="宋体" w:hAnsi="宋体"/>
          <w:b/>
          <w:u w:val="single"/>
        </w:rPr>
        <w:t>投标人须知前附表</w:t>
      </w:r>
      <w:r>
        <w:rPr>
          <w:rFonts w:ascii="宋体" w:hAnsi="宋体"/>
        </w:rPr>
        <w:t>允许投标文件偏离招标文件某些要求的，偏离应当符合招标文件规定的偏离范围和幅度。</w:t>
      </w:r>
    </w:p>
    <w:p>
      <w:pPr>
        <w:pStyle w:val="4"/>
      </w:pPr>
      <w:bookmarkStart w:id="134" w:name="_Toc273437297"/>
      <w:bookmarkStart w:id="135" w:name="_Toc152045542"/>
      <w:bookmarkStart w:id="136" w:name="_Toc263403047"/>
      <w:bookmarkStart w:id="137" w:name="_Toc267475045"/>
      <w:bookmarkStart w:id="138" w:name="_Toc152042318"/>
      <w:bookmarkStart w:id="139" w:name="_Toc263777140"/>
      <w:bookmarkStart w:id="140" w:name="_Toc144974510"/>
      <w:bookmarkStart w:id="141" w:name="_Toc5878"/>
      <w:r>
        <w:t>2. 招标文件</w:t>
      </w:r>
      <w:bookmarkEnd w:id="134"/>
      <w:bookmarkEnd w:id="135"/>
      <w:bookmarkEnd w:id="136"/>
      <w:bookmarkEnd w:id="137"/>
      <w:bookmarkEnd w:id="138"/>
      <w:bookmarkEnd w:id="139"/>
      <w:bookmarkEnd w:id="140"/>
      <w:bookmarkEnd w:id="141"/>
    </w:p>
    <w:p>
      <w:pPr>
        <w:spacing w:line="360" w:lineRule="auto"/>
      </w:pPr>
      <w:bookmarkStart w:id="142" w:name="_Toc263777141"/>
      <w:bookmarkStart w:id="143" w:name="_Toc263403048"/>
      <w:bookmarkStart w:id="144" w:name="_Toc152045543"/>
      <w:bookmarkStart w:id="145" w:name="_Toc144974511"/>
      <w:bookmarkStart w:id="146" w:name="_Toc273437298"/>
      <w:bookmarkStart w:id="147" w:name="_Toc152042319"/>
      <w:bookmarkStart w:id="148" w:name="_Toc267475046"/>
      <w:r>
        <w:t>2.1 招标文件的组成</w:t>
      </w:r>
      <w:bookmarkEnd w:id="142"/>
      <w:bookmarkEnd w:id="143"/>
      <w:bookmarkEnd w:id="144"/>
      <w:bookmarkEnd w:id="145"/>
      <w:bookmarkEnd w:id="146"/>
      <w:bookmarkEnd w:id="147"/>
      <w:bookmarkEnd w:id="148"/>
    </w:p>
    <w:p>
      <w:pPr>
        <w:spacing w:line="360" w:lineRule="auto"/>
        <w:ind w:firstLine="420" w:firstLineChars="200"/>
        <w:rPr>
          <w:rFonts w:ascii="宋体" w:hAnsi="宋体"/>
        </w:rPr>
      </w:pPr>
      <w:r>
        <w:rPr>
          <w:rFonts w:ascii="宋体" w:hAnsi="宋体"/>
        </w:rPr>
        <w:t>本招标文件包括：</w:t>
      </w:r>
    </w:p>
    <w:p>
      <w:pPr>
        <w:numPr>
          <w:ilvl w:val="0"/>
          <w:numId w:val="4"/>
        </w:numPr>
        <w:tabs>
          <w:tab w:val="clear" w:pos="780"/>
        </w:tabs>
        <w:spacing w:line="360" w:lineRule="auto"/>
        <w:ind w:left="840" w:leftChars="200" w:hanging="420" w:hangingChars="200"/>
        <w:rPr>
          <w:rFonts w:ascii="宋体" w:hAnsi="宋体"/>
        </w:rPr>
      </w:pPr>
      <w:r>
        <w:rPr>
          <w:rFonts w:hint="eastAsia" w:ascii="宋体" w:hAnsi="宋体"/>
        </w:rPr>
        <w:t>招标</w:t>
      </w:r>
      <w:r>
        <w:rPr>
          <w:rFonts w:ascii="宋体" w:hAnsi="宋体"/>
        </w:rPr>
        <w:t>公告；</w:t>
      </w:r>
    </w:p>
    <w:p>
      <w:pPr>
        <w:numPr>
          <w:ilvl w:val="0"/>
          <w:numId w:val="4"/>
        </w:numPr>
        <w:tabs>
          <w:tab w:val="clear" w:pos="780"/>
        </w:tabs>
        <w:spacing w:line="360" w:lineRule="auto"/>
        <w:ind w:left="840" w:leftChars="200" w:hanging="420" w:hangingChars="200"/>
        <w:rPr>
          <w:rFonts w:ascii="宋体" w:hAnsi="宋体"/>
        </w:rPr>
      </w:pPr>
      <w:r>
        <w:rPr>
          <w:rFonts w:ascii="宋体" w:hAnsi="宋体"/>
        </w:rPr>
        <w:t>投标人须知；</w:t>
      </w:r>
    </w:p>
    <w:p>
      <w:pPr>
        <w:numPr>
          <w:ilvl w:val="0"/>
          <w:numId w:val="4"/>
        </w:numPr>
        <w:tabs>
          <w:tab w:val="clear" w:pos="780"/>
        </w:tabs>
        <w:spacing w:line="360" w:lineRule="auto"/>
        <w:ind w:left="840" w:leftChars="200" w:hanging="420" w:hangingChars="200"/>
        <w:rPr>
          <w:rFonts w:ascii="宋体" w:hAnsi="宋体"/>
        </w:rPr>
      </w:pPr>
      <w:r>
        <w:rPr>
          <w:rFonts w:ascii="宋体" w:hAnsi="宋体"/>
        </w:rPr>
        <w:t>评标办法；</w:t>
      </w:r>
    </w:p>
    <w:p>
      <w:pPr>
        <w:numPr>
          <w:ilvl w:val="0"/>
          <w:numId w:val="4"/>
        </w:numPr>
        <w:tabs>
          <w:tab w:val="clear" w:pos="780"/>
        </w:tabs>
        <w:spacing w:line="360" w:lineRule="auto"/>
        <w:ind w:left="840" w:leftChars="200" w:hanging="420" w:hangingChars="200"/>
        <w:rPr>
          <w:rFonts w:ascii="宋体" w:hAnsi="宋体"/>
        </w:rPr>
      </w:pPr>
      <w:r>
        <w:rPr>
          <w:rFonts w:ascii="宋体" w:hAnsi="宋体"/>
        </w:rPr>
        <w:t>合同条款及格式；</w:t>
      </w:r>
    </w:p>
    <w:p>
      <w:pPr>
        <w:numPr>
          <w:ilvl w:val="0"/>
          <w:numId w:val="4"/>
        </w:numPr>
        <w:tabs>
          <w:tab w:val="clear" w:pos="780"/>
        </w:tabs>
        <w:spacing w:line="360" w:lineRule="auto"/>
        <w:ind w:left="840" w:leftChars="200" w:hanging="420" w:hangingChars="200"/>
        <w:rPr>
          <w:rFonts w:ascii="宋体" w:hAnsi="宋体"/>
        </w:rPr>
      </w:pPr>
      <w:r>
        <w:rPr>
          <w:rFonts w:ascii="宋体" w:hAnsi="宋体"/>
        </w:rPr>
        <w:t>工程量清单；</w:t>
      </w:r>
    </w:p>
    <w:p>
      <w:pPr>
        <w:numPr>
          <w:ilvl w:val="0"/>
          <w:numId w:val="4"/>
        </w:numPr>
        <w:tabs>
          <w:tab w:val="clear" w:pos="780"/>
        </w:tabs>
        <w:spacing w:line="360" w:lineRule="auto"/>
        <w:ind w:left="840" w:leftChars="200" w:hanging="420" w:hangingChars="200"/>
        <w:rPr>
          <w:rFonts w:ascii="宋体" w:hAnsi="宋体"/>
        </w:rPr>
      </w:pPr>
      <w:r>
        <w:rPr>
          <w:rFonts w:ascii="宋体" w:hAnsi="宋体"/>
        </w:rPr>
        <w:t>图纸；</w:t>
      </w:r>
    </w:p>
    <w:p>
      <w:pPr>
        <w:numPr>
          <w:ilvl w:val="0"/>
          <w:numId w:val="4"/>
        </w:numPr>
        <w:tabs>
          <w:tab w:val="clear" w:pos="780"/>
        </w:tabs>
        <w:spacing w:line="360" w:lineRule="auto"/>
        <w:ind w:left="840" w:leftChars="200" w:hanging="420" w:hangingChars="200"/>
        <w:rPr>
          <w:rFonts w:ascii="宋体" w:hAnsi="宋体"/>
        </w:rPr>
      </w:pPr>
      <w:r>
        <w:rPr>
          <w:rFonts w:ascii="宋体" w:hAnsi="宋体"/>
        </w:rPr>
        <w:t>技术标准和要求；</w:t>
      </w:r>
    </w:p>
    <w:p>
      <w:pPr>
        <w:numPr>
          <w:ilvl w:val="0"/>
          <w:numId w:val="4"/>
        </w:numPr>
        <w:tabs>
          <w:tab w:val="clear" w:pos="780"/>
        </w:tabs>
        <w:spacing w:line="360" w:lineRule="auto"/>
        <w:ind w:left="840" w:leftChars="200" w:hanging="420" w:hangingChars="200"/>
        <w:rPr>
          <w:rFonts w:ascii="宋体" w:hAnsi="宋体"/>
        </w:rPr>
      </w:pPr>
      <w:r>
        <w:rPr>
          <w:rFonts w:ascii="宋体" w:hAnsi="宋体"/>
        </w:rPr>
        <w:t>投标文件格式；</w:t>
      </w:r>
    </w:p>
    <w:p>
      <w:pPr>
        <w:numPr>
          <w:ilvl w:val="0"/>
          <w:numId w:val="4"/>
        </w:numPr>
        <w:tabs>
          <w:tab w:val="clear" w:pos="780"/>
        </w:tabs>
        <w:spacing w:line="360" w:lineRule="auto"/>
        <w:ind w:left="840" w:leftChars="200" w:hanging="420" w:hangingChars="200"/>
        <w:rPr>
          <w:rFonts w:ascii="宋体" w:hAnsi="宋体"/>
        </w:rPr>
      </w:pPr>
      <w:r>
        <w:rPr>
          <w:rFonts w:hint="eastAsia" w:ascii="宋体" w:hAnsi="宋体"/>
        </w:rPr>
        <w:t>投标人须知前附表规定的</w:t>
      </w:r>
      <w:r>
        <w:rPr>
          <w:rFonts w:ascii="宋体" w:hAnsi="宋体"/>
        </w:rPr>
        <w:t>其他材料：</w:t>
      </w:r>
    </w:p>
    <w:p>
      <w:pPr>
        <w:spacing w:line="360" w:lineRule="auto"/>
        <w:ind w:firstLine="420" w:firstLineChars="200"/>
        <w:rPr>
          <w:rFonts w:ascii="宋体" w:hAnsi="宋体"/>
        </w:rPr>
      </w:pPr>
      <w:r>
        <w:rPr>
          <w:rFonts w:hint="eastAsia" w:ascii="宋体" w:hAnsi="宋体"/>
        </w:rPr>
        <w:t>根据本章第</w:t>
      </w:r>
      <w:r>
        <w:rPr>
          <w:rFonts w:ascii="宋体" w:hAnsi="宋体"/>
        </w:rPr>
        <w:t>1</w:t>
      </w:r>
      <w:r>
        <w:rPr>
          <w:rFonts w:hint="eastAsia" w:ascii="宋体" w:hAnsi="宋体"/>
        </w:rPr>
        <w:t>.</w:t>
      </w:r>
      <w:r>
        <w:rPr>
          <w:rFonts w:ascii="宋体" w:hAnsi="宋体"/>
        </w:rPr>
        <w:t>10</w:t>
      </w:r>
      <w:r>
        <w:rPr>
          <w:rFonts w:hint="eastAsia" w:ascii="宋体" w:hAnsi="宋体"/>
        </w:rPr>
        <w:t>款第2.2款和第2.3款对招标文件所作的澄清、修改，构成招标文件的组成部分。</w:t>
      </w:r>
    </w:p>
    <w:p>
      <w:pPr>
        <w:spacing w:line="360" w:lineRule="auto"/>
        <w:ind w:firstLine="420" w:firstLineChars="200"/>
        <w:rPr>
          <w:rFonts w:ascii="宋体" w:hAnsi="宋体"/>
        </w:rPr>
      </w:pPr>
      <w:r>
        <w:rPr>
          <w:rFonts w:hint="eastAsia" w:ascii="宋体" w:hAnsi="宋体"/>
        </w:rPr>
        <w:t>投标人在投标截止时间前，应通过“唐河县公共资源交易中心网”随时查看有关该工程招标文件的澄清、修改(招标答疑、补遗文件)公示等内容。否则，其风险应由投标人自行承担。</w:t>
      </w:r>
    </w:p>
    <w:p>
      <w:pPr>
        <w:spacing w:line="360" w:lineRule="auto"/>
        <w:ind w:firstLine="420" w:firstLineChars="200"/>
        <w:rPr>
          <w:rFonts w:ascii="宋体" w:hAnsi="宋体"/>
        </w:rPr>
      </w:pPr>
      <w:r>
        <w:rPr>
          <w:rFonts w:hint="eastAsia" w:ascii="宋体" w:hAnsi="宋体"/>
        </w:rPr>
        <w:t>投标人从“唐河县公共资源交易中心网”下载招标文件后，应仔细阅读招标文件及附件的全部内容，招标文件与附件具有同等效力。投标人同时应认真审阅招标文件中所有的事项、条款、格式和标准要求等，如果投标人的投标文件没有按照招标文件要求提交全部资料或者投标文件没有对招标文件做出实质性响应，其风险应由投标人自行承担。</w:t>
      </w:r>
    </w:p>
    <w:p>
      <w:pPr>
        <w:spacing w:line="360" w:lineRule="auto"/>
      </w:pPr>
      <w:bookmarkStart w:id="149" w:name="_Toc144974512"/>
      <w:bookmarkStart w:id="150" w:name="_Toc263777142"/>
      <w:bookmarkStart w:id="151" w:name="_Toc152042320"/>
      <w:bookmarkStart w:id="152" w:name="_Toc263403049"/>
      <w:bookmarkStart w:id="153" w:name="_Toc267475047"/>
      <w:bookmarkStart w:id="154" w:name="_Toc152045544"/>
      <w:bookmarkStart w:id="155" w:name="_Toc273437299"/>
      <w:r>
        <w:t>2.</w:t>
      </w:r>
      <w:r>
        <w:rPr>
          <w:rFonts w:hint="eastAsia"/>
        </w:rPr>
        <w:t>2</w:t>
      </w:r>
      <w:r>
        <w:t>招标文件的澄清</w:t>
      </w:r>
      <w:bookmarkEnd w:id="149"/>
      <w:bookmarkEnd w:id="150"/>
      <w:bookmarkEnd w:id="151"/>
      <w:bookmarkEnd w:id="152"/>
      <w:bookmarkEnd w:id="153"/>
      <w:bookmarkEnd w:id="154"/>
      <w:r>
        <w:rPr>
          <w:rFonts w:hint="eastAsia"/>
        </w:rPr>
        <w:t>与修改</w:t>
      </w:r>
      <w:bookmarkEnd w:id="155"/>
    </w:p>
    <w:p>
      <w:pPr>
        <w:spacing w:line="360" w:lineRule="auto"/>
        <w:rPr>
          <w:rFonts w:ascii="宋体" w:hAnsi="宋体"/>
          <w:szCs w:val="21"/>
        </w:rPr>
      </w:pPr>
      <w:r>
        <w:rPr>
          <w:rFonts w:ascii="宋体" w:hAnsi="宋体"/>
        </w:rPr>
        <w:t>2.</w:t>
      </w:r>
      <w:r>
        <w:rPr>
          <w:rFonts w:hint="eastAsia" w:ascii="宋体" w:hAnsi="宋体"/>
        </w:rPr>
        <w:t>2</w:t>
      </w:r>
      <w:r>
        <w:rPr>
          <w:rFonts w:ascii="宋体" w:hAnsi="宋体"/>
        </w:rPr>
        <w:t>.1投标人</w:t>
      </w:r>
      <w:r>
        <w:rPr>
          <w:rFonts w:hint="eastAsia" w:ascii="宋体" w:hAnsi="宋体"/>
        </w:rPr>
        <w:t>从“唐河县公共资源交易中心网”下载招标文件后，</w:t>
      </w:r>
      <w:r>
        <w:rPr>
          <w:rFonts w:ascii="宋体" w:hAnsi="宋体"/>
        </w:rPr>
        <w:t>应仔细阅读招标文件的全部内容。</w:t>
      </w:r>
      <w:r>
        <w:rPr>
          <w:rFonts w:ascii="宋体" w:hAnsi="宋体"/>
          <w:szCs w:val="21"/>
        </w:rPr>
        <w:t>如</w:t>
      </w:r>
      <w:r>
        <w:rPr>
          <w:rFonts w:hint="eastAsia" w:ascii="宋体" w:hAnsi="宋体"/>
          <w:szCs w:val="21"/>
        </w:rPr>
        <w:t>有疑问</w:t>
      </w:r>
      <w:r>
        <w:rPr>
          <w:rFonts w:ascii="宋体" w:hAnsi="宋体"/>
          <w:szCs w:val="21"/>
        </w:rPr>
        <w:t>，应及时向招标人提出，以便</w:t>
      </w:r>
      <w:r>
        <w:rPr>
          <w:rFonts w:hint="eastAsia" w:ascii="宋体" w:hAnsi="宋体"/>
        </w:rPr>
        <w:t>澄清</w:t>
      </w:r>
      <w:r>
        <w:rPr>
          <w:rFonts w:ascii="宋体" w:hAnsi="宋体"/>
          <w:szCs w:val="21"/>
        </w:rPr>
        <w:t>。</w:t>
      </w:r>
    </w:p>
    <w:p>
      <w:pPr>
        <w:spacing w:line="360" w:lineRule="auto"/>
        <w:rPr>
          <w:rFonts w:ascii="宋体" w:hAnsi="宋体"/>
        </w:rPr>
      </w:pPr>
      <w:r>
        <w:rPr>
          <w:rFonts w:hint="eastAsia" w:ascii="宋体" w:hAnsi="宋体"/>
        </w:rPr>
        <w:t>2.2.2 招标人不集中组织答疑，实行网上提疑和答疑。投标人若对招标文件有疑问，需要招标人予以澄清，应登录“唐河县公共资源交易中心网”以不署名的形式提出。按</w:t>
      </w:r>
      <w:r>
        <w:rPr>
          <w:rFonts w:ascii="宋体" w:hAnsi="宋体"/>
          <w:b/>
        </w:rPr>
        <w:t>投标人须知前附表</w:t>
      </w:r>
      <w:r>
        <w:rPr>
          <w:rFonts w:hint="eastAsia" w:ascii="宋体" w:hAnsi="宋体"/>
        </w:rPr>
        <w:t>规定时限前提疑。</w:t>
      </w:r>
    </w:p>
    <w:p>
      <w:pPr>
        <w:spacing w:line="360" w:lineRule="auto"/>
        <w:rPr>
          <w:rFonts w:ascii="宋体" w:hAnsi="宋体"/>
        </w:rPr>
      </w:pPr>
      <w:r>
        <w:rPr>
          <w:rFonts w:hint="eastAsia" w:ascii="宋体" w:hAnsi="宋体"/>
        </w:rPr>
        <w:t>2.2.3招标人将按</w:t>
      </w:r>
      <w:r>
        <w:rPr>
          <w:rFonts w:ascii="宋体" w:hAnsi="宋体"/>
          <w:b/>
        </w:rPr>
        <w:t>投标人须知前附表</w:t>
      </w:r>
      <w:r>
        <w:rPr>
          <w:rFonts w:hint="eastAsia" w:ascii="宋体" w:hAnsi="宋体"/>
        </w:rPr>
        <w:t>规定时限前在网上解答招标文件的疑问，并形成招标文件的澄清答疑文件。招标文件的澄清答疑文件将在“唐河县公共资源交易中心网”向所有投标人公示，</w:t>
      </w:r>
      <w:r>
        <w:rPr>
          <w:rFonts w:ascii="宋体" w:hAnsi="宋体"/>
        </w:rPr>
        <w:t>但不指明来源</w:t>
      </w:r>
      <w:r>
        <w:rPr>
          <w:rFonts w:hint="eastAsia" w:ascii="宋体" w:hAnsi="宋体"/>
        </w:rPr>
        <w:t>。</w:t>
      </w:r>
    </w:p>
    <w:p>
      <w:pPr>
        <w:spacing w:line="360" w:lineRule="auto"/>
        <w:rPr>
          <w:rFonts w:ascii="宋体" w:hAnsi="宋体"/>
        </w:rPr>
      </w:pPr>
      <w:r>
        <w:rPr>
          <w:rFonts w:hint="eastAsia" w:ascii="宋体" w:hAnsi="宋体"/>
        </w:rPr>
        <w:t>2.2.4 招标文件发布后，在</w:t>
      </w:r>
      <w:r>
        <w:rPr>
          <w:rFonts w:ascii="宋体" w:hAnsi="宋体"/>
          <w:b/>
        </w:rPr>
        <w:t>投标人须知前附表</w:t>
      </w:r>
      <w:r>
        <w:rPr>
          <w:rFonts w:hint="eastAsia" w:ascii="宋体" w:hAnsi="宋体"/>
        </w:rPr>
        <w:t>规定时限的任何时候，确需要变更招标文件内容的，招标人可主动或在解答投标人提出的澄清答疑时对招标文件进行修改，并同时报招标投标监督部门备案。招标文件的修改以答疑形式在“唐河县公共资源交易中心网”发布，招标文件的答疑作为招标文件的组成部分，并具有约束力。</w:t>
      </w:r>
    </w:p>
    <w:p>
      <w:pPr>
        <w:spacing w:line="360" w:lineRule="auto"/>
        <w:rPr>
          <w:rFonts w:ascii="宋体" w:hAnsi="宋体"/>
        </w:rPr>
      </w:pPr>
      <w:r>
        <w:rPr>
          <w:rFonts w:hint="eastAsia" w:ascii="宋体" w:hAnsi="宋体"/>
        </w:rPr>
        <w:t>2.2.5 招标文件的答疑在“唐河县公共资源交易中心网”公示后，若投标人对招标文件的答疑有需要进一步澄清的，应在24小时内以不署名的形式在“唐河县公共资源交易中心网”提出。</w:t>
      </w:r>
    </w:p>
    <w:p>
      <w:pPr>
        <w:spacing w:line="360" w:lineRule="auto"/>
        <w:rPr>
          <w:rFonts w:ascii="宋体" w:hAnsi="宋体"/>
        </w:rPr>
      </w:pPr>
      <w:bookmarkStart w:id="156" w:name="_Toc267475048"/>
      <w:bookmarkStart w:id="157" w:name="_Toc144974513"/>
      <w:bookmarkStart w:id="158" w:name="_Toc152042321"/>
      <w:bookmarkStart w:id="159" w:name="_Toc263403050"/>
      <w:bookmarkStart w:id="160" w:name="_Toc152045545"/>
      <w:bookmarkStart w:id="161" w:name="_Toc263777143"/>
      <w:r>
        <w:rPr>
          <w:rFonts w:hint="eastAsia" w:ascii="宋体" w:hAnsi="宋体"/>
        </w:rPr>
        <w:t xml:space="preserve">2.2.6 </w:t>
      </w:r>
      <w:r>
        <w:rPr>
          <w:rFonts w:hint="eastAsia" w:ascii="宋体" w:hAnsi="宋体"/>
          <w:szCs w:val="21"/>
        </w:rPr>
        <w:t>投标人应注意及时浏览网上发布的澄清和修改通知并下载，因投标人原因未及时获知澄清、修改内容而导致的任何后果，概由投标人自己承担。</w:t>
      </w:r>
    </w:p>
    <w:p>
      <w:pPr>
        <w:autoSpaceDE w:val="0"/>
        <w:autoSpaceDN w:val="0"/>
        <w:adjustRightInd w:val="0"/>
        <w:spacing w:line="500" w:lineRule="exact"/>
        <w:jc w:val="left"/>
        <w:rPr>
          <w:rFonts w:ascii="宋体" w:hAnsi="宋体"/>
        </w:rPr>
      </w:pPr>
      <w:r>
        <w:rPr>
          <w:rFonts w:hint="eastAsia" w:ascii="宋体" w:hAnsi="宋体"/>
        </w:rPr>
        <w:t xml:space="preserve">2.2.7 </w:t>
      </w:r>
      <w:r>
        <w:rPr>
          <w:rFonts w:hint="eastAsia" w:ascii="宋体" w:hAnsi="宋体"/>
          <w:szCs w:val="21"/>
        </w:rPr>
        <w:t>如果</w:t>
      </w:r>
      <w:r>
        <w:rPr>
          <w:rFonts w:ascii="宋体" w:hAnsi="宋体"/>
          <w:szCs w:val="21"/>
        </w:rPr>
        <w:t>澄清、</w:t>
      </w:r>
      <w:r>
        <w:rPr>
          <w:rFonts w:hint="eastAsia" w:ascii="宋体" w:hAnsi="宋体"/>
          <w:szCs w:val="21"/>
        </w:rPr>
        <w:t>修改招标文件的时间距投标截止时间不足15天，招标</w:t>
      </w:r>
      <w:r>
        <w:rPr>
          <w:rFonts w:ascii="宋体" w:hAnsi="宋体"/>
          <w:szCs w:val="21"/>
        </w:rPr>
        <w:t>人应当顺</w:t>
      </w:r>
      <w:r>
        <w:rPr>
          <w:rFonts w:hint="eastAsia" w:ascii="宋体" w:hAnsi="宋体"/>
          <w:szCs w:val="21"/>
        </w:rPr>
        <w:t>延提交投标</w:t>
      </w:r>
      <w:r>
        <w:rPr>
          <w:rFonts w:ascii="宋体" w:hAnsi="宋体"/>
          <w:szCs w:val="21"/>
        </w:rPr>
        <w:t>文件的</w:t>
      </w:r>
      <w:r>
        <w:rPr>
          <w:rFonts w:hint="eastAsia" w:ascii="宋体" w:hAnsi="宋体"/>
          <w:szCs w:val="21"/>
        </w:rPr>
        <w:t>截止时间。</w:t>
      </w:r>
    </w:p>
    <w:p>
      <w:pPr>
        <w:spacing w:line="360" w:lineRule="auto"/>
        <w:rPr>
          <w:rFonts w:ascii="宋体" w:hAnsi="宋体"/>
        </w:rPr>
      </w:pPr>
      <w:r>
        <w:rPr>
          <w:rFonts w:hint="eastAsia" w:ascii="宋体" w:hAnsi="宋体"/>
        </w:rPr>
        <w:t>2.2.8 招标文件的澄清、修改、补充等内容均以网上答疑形式明确的内容为准。当招标文件的澄清、修改、补充等在同一内容的表述上不一致时，以最后发出的网上答疑为准。</w:t>
      </w:r>
    </w:p>
    <w:bookmarkEnd w:id="156"/>
    <w:bookmarkEnd w:id="157"/>
    <w:bookmarkEnd w:id="158"/>
    <w:bookmarkEnd w:id="159"/>
    <w:bookmarkEnd w:id="160"/>
    <w:bookmarkEnd w:id="161"/>
    <w:p>
      <w:pPr>
        <w:spacing w:line="360" w:lineRule="auto"/>
      </w:pPr>
      <w:bookmarkStart w:id="162" w:name="_Toc273437300"/>
      <w:bookmarkStart w:id="163" w:name="_Toc152045546"/>
      <w:bookmarkStart w:id="164" w:name="_Toc263777144"/>
      <w:bookmarkStart w:id="165" w:name="_Toc267475049"/>
      <w:bookmarkStart w:id="166" w:name="_Toc152042322"/>
      <w:bookmarkStart w:id="167" w:name="_Toc144974514"/>
      <w:bookmarkStart w:id="168" w:name="_Toc263403051"/>
      <w:r>
        <w:t>2.</w:t>
      </w:r>
      <w:r>
        <w:rPr>
          <w:rFonts w:hint="eastAsia"/>
        </w:rPr>
        <w:t>3</w:t>
      </w:r>
      <w:r>
        <w:t>招标</w:t>
      </w:r>
      <w:r>
        <w:rPr>
          <w:rFonts w:hint="eastAsia"/>
        </w:rPr>
        <w:t>控制价的公布</w:t>
      </w:r>
      <w:bookmarkEnd w:id="162"/>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本工程的</w:t>
      </w:r>
      <w:r>
        <w:t>招标</w:t>
      </w:r>
      <w:r>
        <w:rPr>
          <w:rFonts w:hint="eastAsia"/>
        </w:rPr>
        <w:t>控制价</w:t>
      </w:r>
      <w:r>
        <w:rPr>
          <w:rFonts w:ascii="宋体" w:hAnsi="宋体" w:cs="宋体"/>
          <w:kern w:val="0"/>
          <w:szCs w:val="21"/>
        </w:rPr>
        <w:t>随同招标文件一同发布</w:t>
      </w:r>
      <w:r>
        <w:rPr>
          <w:rFonts w:hint="eastAsia" w:ascii="宋体" w:hAnsi="宋体" w:cs="宋体"/>
          <w:kern w:val="0"/>
          <w:szCs w:val="21"/>
        </w:rPr>
        <w:t>。</w:t>
      </w:r>
    </w:p>
    <w:p>
      <w:pPr>
        <w:pStyle w:val="4"/>
        <w:rPr>
          <w:sz w:val="52"/>
          <w:szCs w:val="52"/>
        </w:rPr>
      </w:pPr>
      <w:bookmarkStart w:id="169" w:name="_Toc273437301"/>
      <w:bookmarkStart w:id="170" w:name="_Toc32497"/>
      <w:r>
        <w:rPr>
          <w:rFonts w:hint="eastAsia"/>
        </w:rPr>
        <w:t>3</w:t>
      </w:r>
      <w:r>
        <w:t>.投标文件</w:t>
      </w:r>
      <w:bookmarkEnd w:id="163"/>
      <w:bookmarkEnd w:id="164"/>
      <w:bookmarkEnd w:id="165"/>
      <w:bookmarkEnd w:id="166"/>
      <w:bookmarkEnd w:id="167"/>
      <w:bookmarkEnd w:id="168"/>
      <w:bookmarkEnd w:id="169"/>
      <w:bookmarkEnd w:id="170"/>
    </w:p>
    <w:p>
      <w:pPr>
        <w:spacing w:line="360" w:lineRule="auto"/>
        <w:rPr>
          <w:rFonts w:ascii="宋体" w:hAnsi="宋体"/>
        </w:rPr>
      </w:pPr>
      <w:bookmarkStart w:id="171" w:name="_Toc17702"/>
      <w:bookmarkStart w:id="172" w:name="_Toc381360388"/>
      <w:bookmarkStart w:id="173" w:name="_Toc152045555"/>
      <w:bookmarkStart w:id="174" w:name="_Toc267475059"/>
      <w:bookmarkStart w:id="175" w:name="_Toc144974523"/>
      <w:bookmarkStart w:id="176" w:name="_Toc273437311"/>
      <w:bookmarkStart w:id="177" w:name="_Toc263777153"/>
      <w:bookmarkStart w:id="178" w:name="_Toc152042331"/>
      <w:bookmarkStart w:id="179" w:name="_Toc263403060"/>
      <w:r>
        <w:rPr>
          <w:rFonts w:hint="eastAsia" w:ascii="宋体" w:hAnsi="宋体"/>
        </w:rPr>
        <w:t>3.1 投标文件的组成</w:t>
      </w:r>
      <w:bookmarkEnd w:id="171"/>
      <w:bookmarkEnd w:id="172"/>
    </w:p>
    <w:p>
      <w:pPr>
        <w:spacing w:line="360" w:lineRule="auto"/>
        <w:rPr>
          <w:rFonts w:ascii="宋体" w:hAnsi="宋体"/>
        </w:rPr>
      </w:pPr>
      <w:r>
        <w:rPr>
          <w:rFonts w:hint="eastAsia" w:ascii="宋体" w:hAnsi="宋体"/>
        </w:rPr>
        <w:t>3.1.1 投标文件应包括下列内容：</w:t>
      </w:r>
    </w:p>
    <w:p>
      <w:pPr>
        <w:spacing w:line="360" w:lineRule="auto"/>
      </w:pPr>
      <w:r>
        <w:rPr>
          <w:rFonts w:hint="eastAsia" w:ascii="宋体" w:hAnsi="宋体"/>
        </w:rPr>
        <w:t>一、</w:t>
      </w:r>
      <w:r>
        <w:rPr>
          <w:rFonts w:hint="eastAsia"/>
        </w:rPr>
        <w:t>法定代表人申明</w:t>
      </w:r>
    </w:p>
    <w:p>
      <w:pPr>
        <w:spacing w:line="360" w:lineRule="auto"/>
      </w:pPr>
      <w:r>
        <w:rPr>
          <w:rFonts w:hint="eastAsia"/>
        </w:rPr>
        <w:t>二、资格审查申请书</w:t>
      </w:r>
    </w:p>
    <w:p>
      <w:pPr>
        <w:spacing w:line="360" w:lineRule="auto"/>
        <w:ind w:firstLine="420" w:firstLineChars="200"/>
        <w:rPr>
          <w:color w:val="000000" w:themeColor="text1"/>
        </w:rPr>
      </w:pPr>
      <w:r>
        <w:rPr>
          <w:rFonts w:hint="eastAsia"/>
          <w:color w:val="000000" w:themeColor="text1"/>
        </w:rPr>
        <w:t>(一)法定代表人身份证明</w:t>
      </w:r>
    </w:p>
    <w:p>
      <w:pPr>
        <w:spacing w:line="360" w:lineRule="auto"/>
        <w:ind w:firstLine="420" w:firstLineChars="200"/>
        <w:rPr>
          <w:color w:val="000000" w:themeColor="text1"/>
        </w:rPr>
      </w:pPr>
      <w:r>
        <w:rPr>
          <w:rFonts w:hint="eastAsia"/>
          <w:color w:val="000000" w:themeColor="text1"/>
        </w:rPr>
        <w:t>(二)授权委托书</w:t>
      </w:r>
    </w:p>
    <w:p>
      <w:pPr>
        <w:spacing w:line="360" w:lineRule="auto"/>
        <w:ind w:firstLine="420" w:firstLineChars="200"/>
        <w:rPr>
          <w:color w:val="000000" w:themeColor="text1"/>
        </w:rPr>
      </w:pPr>
      <w:r>
        <w:rPr>
          <w:rFonts w:hint="eastAsia"/>
          <w:color w:val="000000" w:themeColor="text1"/>
        </w:rPr>
        <w:t>(</w:t>
      </w:r>
      <w:r>
        <w:rPr>
          <w:rFonts w:hint="eastAsia"/>
          <w:color w:val="000000" w:themeColor="text1"/>
          <w:lang w:val="en-US" w:eastAsia="zh-CN"/>
        </w:rPr>
        <w:t>三</w:t>
      </w:r>
      <w:r>
        <w:rPr>
          <w:rFonts w:hint="eastAsia"/>
          <w:color w:val="000000" w:themeColor="text1"/>
        </w:rPr>
        <w:t>)投标保证金交付证明</w:t>
      </w:r>
    </w:p>
    <w:p>
      <w:pPr>
        <w:spacing w:line="360" w:lineRule="auto"/>
        <w:ind w:firstLine="420" w:firstLineChars="200"/>
        <w:rPr>
          <w:color w:val="000000" w:themeColor="text1"/>
        </w:rPr>
      </w:pPr>
      <w:r>
        <w:rPr>
          <w:rFonts w:hint="eastAsia"/>
          <w:color w:val="000000" w:themeColor="text1"/>
        </w:rPr>
        <w:t>(</w:t>
      </w:r>
      <w:r>
        <w:rPr>
          <w:rFonts w:hint="eastAsia"/>
          <w:color w:val="000000" w:themeColor="text1"/>
          <w:lang w:val="en-US" w:eastAsia="zh-CN"/>
        </w:rPr>
        <w:t>四</w:t>
      </w:r>
      <w:r>
        <w:rPr>
          <w:rFonts w:hint="eastAsia"/>
          <w:color w:val="000000" w:themeColor="text1"/>
        </w:rPr>
        <w:t>)投标人基本情况表</w:t>
      </w:r>
    </w:p>
    <w:p>
      <w:pPr>
        <w:spacing w:line="360" w:lineRule="auto"/>
        <w:ind w:firstLine="420" w:firstLineChars="200"/>
        <w:rPr>
          <w:color w:val="000000" w:themeColor="text1"/>
        </w:rPr>
      </w:pPr>
      <w:r>
        <w:rPr>
          <w:rFonts w:hint="eastAsia"/>
          <w:color w:val="000000" w:themeColor="text1"/>
        </w:rPr>
        <w:t>(</w:t>
      </w:r>
      <w:r>
        <w:rPr>
          <w:rFonts w:hint="eastAsia"/>
          <w:color w:val="000000" w:themeColor="text1"/>
          <w:lang w:val="en-US" w:eastAsia="zh-CN"/>
        </w:rPr>
        <w:t>五</w:t>
      </w:r>
      <w:r>
        <w:rPr>
          <w:rFonts w:hint="eastAsia"/>
          <w:color w:val="000000" w:themeColor="text1"/>
        </w:rPr>
        <w:t>)近年财务状况表</w:t>
      </w:r>
    </w:p>
    <w:p>
      <w:pPr>
        <w:spacing w:line="360" w:lineRule="auto"/>
        <w:ind w:firstLine="420" w:firstLineChars="200"/>
        <w:rPr>
          <w:color w:val="000000" w:themeColor="text1"/>
        </w:rPr>
      </w:pPr>
      <w:r>
        <w:rPr>
          <w:rFonts w:hint="eastAsia"/>
          <w:color w:val="000000" w:themeColor="text1"/>
        </w:rPr>
        <w:t>(</w:t>
      </w:r>
      <w:r>
        <w:rPr>
          <w:rFonts w:hint="eastAsia"/>
          <w:color w:val="000000" w:themeColor="text1"/>
          <w:lang w:val="en-US" w:eastAsia="zh-CN"/>
        </w:rPr>
        <w:t>六</w:t>
      </w:r>
      <w:r>
        <w:rPr>
          <w:rFonts w:hint="eastAsia"/>
          <w:color w:val="000000" w:themeColor="text1"/>
        </w:rPr>
        <w:t>)近年完成的类似项目情况表</w:t>
      </w:r>
    </w:p>
    <w:p>
      <w:pPr>
        <w:spacing w:line="360" w:lineRule="auto"/>
        <w:ind w:firstLine="420" w:firstLineChars="200"/>
        <w:rPr>
          <w:color w:val="000000" w:themeColor="text1"/>
        </w:rPr>
      </w:pPr>
      <w:r>
        <w:rPr>
          <w:rFonts w:hint="eastAsia"/>
          <w:color w:val="000000" w:themeColor="text1"/>
        </w:rPr>
        <w:t>(</w:t>
      </w:r>
      <w:r>
        <w:rPr>
          <w:rFonts w:hint="eastAsia"/>
          <w:color w:val="000000" w:themeColor="text1"/>
          <w:lang w:val="en-US" w:eastAsia="zh-CN"/>
        </w:rPr>
        <w:t>七</w:t>
      </w:r>
      <w:r>
        <w:rPr>
          <w:rFonts w:hint="eastAsia"/>
          <w:color w:val="000000" w:themeColor="text1"/>
        </w:rPr>
        <w:t>)正在施工的和新承接的项目情况</w:t>
      </w:r>
    </w:p>
    <w:p>
      <w:pPr>
        <w:spacing w:line="360" w:lineRule="auto"/>
        <w:ind w:firstLine="420" w:firstLineChars="200"/>
        <w:rPr>
          <w:color w:val="000000" w:themeColor="text1"/>
        </w:rPr>
      </w:pPr>
      <w:r>
        <w:rPr>
          <w:rFonts w:hint="eastAsia"/>
          <w:color w:val="000000" w:themeColor="text1"/>
        </w:rPr>
        <w:t>(</w:t>
      </w:r>
      <w:r>
        <w:rPr>
          <w:rFonts w:hint="eastAsia"/>
          <w:color w:val="000000" w:themeColor="text1"/>
          <w:lang w:val="en-US" w:eastAsia="zh-CN"/>
        </w:rPr>
        <w:t>八</w:t>
      </w:r>
      <w:r>
        <w:rPr>
          <w:rFonts w:hint="eastAsia"/>
          <w:color w:val="000000" w:themeColor="text1"/>
        </w:rPr>
        <w:t>)近年发生的不良诉讼和仲裁情况</w:t>
      </w:r>
    </w:p>
    <w:p>
      <w:pPr>
        <w:spacing w:line="360" w:lineRule="auto"/>
        <w:ind w:firstLine="420" w:firstLineChars="200"/>
        <w:rPr>
          <w:color w:val="000000" w:themeColor="text1"/>
        </w:rPr>
      </w:pPr>
      <w:r>
        <w:rPr>
          <w:rFonts w:hint="eastAsia"/>
          <w:color w:val="000000" w:themeColor="text1"/>
        </w:rPr>
        <w:t>(</w:t>
      </w:r>
      <w:r>
        <w:rPr>
          <w:rFonts w:hint="eastAsia"/>
          <w:color w:val="000000" w:themeColor="text1"/>
          <w:lang w:val="en-US" w:eastAsia="zh-CN"/>
        </w:rPr>
        <w:t>九</w:t>
      </w:r>
      <w:r>
        <w:rPr>
          <w:rFonts w:hint="eastAsia"/>
          <w:color w:val="000000" w:themeColor="text1"/>
        </w:rPr>
        <w:t>)企业其他信誉情况表</w:t>
      </w:r>
    </w:p>
    <w:p>
      <w:pPr>
        <w:spacing w:line="360" w:lineRule="auto"/>
        <w:ind w:firstLine="420" w:firstLineChars="200"/>
        <w:rPr>
          <w:color w:val="000000" w:themeColor="text1"/>
        </w:rPr>
      </w:pPr>
      <w:r>
        <w:rPr>
          <w:rFonts w:hint="eastAsia"/>
          <w:color w:val="000000" w:themeColor="text1"/>
        </w:rPr>
        <w:t>(十)项目</w:t>
      </w:r>
      <w:r>
        <w:rPr>
          <w:color w:val="000000" w:themeColor="text1"/>
        </w:rPr>
        <w:t>管理机构</w:t>
      </w:r>
    </w:p>
    <w:p>
      <w:pPr>
        <w:spacing w:line="360" w:lineRule="auto"/>
        <w:rPr>
          <w:color w:val="000000" w:themeColor="text1"/>
        </w:rPr>
      </w:pPr>
      <w:r>
        <w:rPr>
          <w:rFonts w:hint="eastAsia"/>
          <w:color w:val="000000" w:themeColor="text1"/>
        </w:rPr>
        <w:t>三、商务标</w:t>
      </w:r>
    </w:p>
    <w:p>
      <w:pPr>
        <w:spacing w:line="360" w:lineRule="auto"/>
        <w:ind w:firstLine="420" w:firstLineChars="200"/>
        <w:rPr>
          <w:color w:val="000000" w:themeColor="text1"/>
        </w:rPr>
      </w:pPr>
      <w:r>
        <w:rPr>
          <w:rFonts w:hint="eastAsia"/>
          <w:color w:val="000000" w:themeColor="text1"/>
        </w:rPr>
        <w:t>(一)投标函及投标函附录</w:t>
      </w:r>
    </w:p>
    <w:p>
      <w:pPr>
        <w:spacing w:line="360" w:lineRule="auto"/>
        <w:ind w:firstLine="420" w:firstLineChars="200"/>
        <w:rPr>
          <w:color w:val="000000" w:themeColor="text1"/>
        </w:rPr>
      </w:pPr>
      <w:r>
        <w:rPr>
          <w:rFonts w:hint="eastAsia"/>
          <w:color w:val="000000" w:themeColor="text1"/>
        </w:rPr>
        <w:t>(二)已标价工程量清单</w:t>
      </w:r>
    </w:p>
    <w:p>
      <w:pPr>
        <w:spacing w:line="360" w:lineRule="auto"/>
        <w:ind w:firstLine="420" w:firstLineChars="200"/>
        <w:rPr>
          <w:color w:val="000000" w:themeColor="text1"/>
        </w:rPr>
      </w:pPr>
      <w:r>
        <w:rPr>
          <w:rFonts w:hint="eastAsia"/>
          <w:color w:val="000000" w:themeColor="text1"/>
        </w:rPr>
        <w:t>(三)拟分包项目情况表</w:t>
      </w:r>
    </w:p>
    <w:p>
      <w:pPr>
        <w:spacing w:line="360" w:lineRule="auto"/>
        <w:ind w:firstLine="420" w:firstLineChars="200"/>
        <w:rPr>
          <w:color w:val="000000" w:themeColor="text1"/>
        </w:rPr>
      </w:pPr>
      <w:r>
        <w:rPr>
          <w:rFonts w:hint="eastAsia"/>
          <w:color w:val="000000" w:themeColor="text1"/>
        </w:rPr>
        <w:t>(四)承诺书</w:t>
      </w:r>
    </w:p>
    <w:p>
      <w:pPr>
        <w:spacing w:line="360" w:lineRule="auto"/>
        <w:ind w:firstLine="420" w:firstLineChars="200"/>
        <w:rPr>
          <w:color w:val="000000" w:themeColor="text1"/>
        </w:rPr>
      </w:pPr>
      <w:r>
        <w:rPr>
          <w:rFonts w:hint="eastAsia"/>
          <w:color w:val="000000" w:themeColor="text1"/>
        </w:rPr>
        <w:t>(五)其他材料</w:t>
      </w:r>
    </w:p>
    <w:p>
      <w:pPr>
        <w:spacing w:line="360" w:lineRule="auto"/>
        <w:rPr>
          <w:color w:val="000000" w:themeColor="text1"/>
        </w:rPr>
      </w:pPr>
      <w:r>
        <w:rPr>
          <w:rFonts w:hint="eastAsia"/>
          <w:color w:val="000000" w:themeColor="text1"/>
        </w:rPr>
        <w:t>四、技术标</w:t>
      </w:r>
    </w:p>
    <w:p>
      <w:pPr>
        <w:spacing w:line="360" w:lineRule="auto"/>
        <w:ind w:firstLine="420" w:firstLineChars="200"/>
        <w:rPr>
          <w:color w:val="000000" w:themeColor="text1"/>
        </w:rPr>
      </w:pPr>
      <w:r>
        <w:rPr>
          <w:rFonts w:hint="eastAsia"/>
          <w:color w:val="000000" w:themeColor="text1"/>
        </w:rPr>
        <w:t>施工组织设计</w:t>
      </w:r>
    </w:p>
    <w:p>
      <w:pPr>
        <w:spacing w:line="360" w:lineRule="auto"/>
        <w:ind w:firstLine="420" w:firstLineChars="200"/>
        <w:rPr>
          <w:color w:val="000000" w:themeColor="text1"/>
        </w:rPr>
      </w:pPr>
      <w:r>
        <w:rPr>
          <w:rFonts w:hint="eastAsia"/>
          <w:color w:val="000000" w:themeColor="text1"/>
        </w:rPr>
        <w:t>附表格式</w:t>
      </w:r>
    </w:p>
    <w:p>
      <w:pPr>
        <w:spacing w:line="360" w:lineRule="auto"/>
        <w:jc w:val="left"/>
        <w:rPr>
          <w:rFonts w:ascii="宋体" w:hAnsi="宋体"/>
        </w:rPr>
      </w:pPr>
      <w:r>
        <w:rPr>
          <w:rFonts w:ascii="宋体" w:hAnsi="宋体"/>
        </w:rPr>
        <w:t xml:space="preserve">3.1.2 </w:t>
      </w:r>
      <w:r>
        <w:rPr>
          <w:rFonts w:hint="eastAsia" w:ascii="宋体" w:hAnsi="宋体"/>
        </w:rPr>
        <w:t>投标人须知前附表规定不接受联合体投标的，或投标人没有组成联合体的，投标文件不包括本章第</w:t>
      </w:r>
      <w:r>
        <w:rPr>
          <w:rFonts w:ascii="宋体" w:hAnsi="宋体"/>
        </w:rPr>
        <w:t>3.1.1</w:t>
      </w:r>
      <w:r>
        <w:rPr>
          <w:rFonts w:hint="eastAsia" w:ascii="宋体" w:hAnsi="宋体"/>
        </w:rPr>
        <w:t>（</w:t>
      </w:r>
      <w:r>
        <w:rPr>
          <w:rFonts w:ascii="宋体" w:hAnsi="宋体"/>
        </w:rPr>
        <w:t>3</w:t>
      </w:r>
      <w:r>
        <w:rPr>
          <w:rFonts w:hint="eastAsia" w:ascii="宋体" w:hAnsi="宋体"/>
        </w:rPr>
        <w:t>）目所指的联合体协议书。</w:t>
      </w:r>
    </w:p>
    <w:p>
      <w:pPr>
        <w:spacing w:line="360" w:lineRule="auto"/>
        <w:jc w:val="left"/>
        <w:rPr>
          <w:rFonts w:ascii="宋体" w:hAnsi="宋体"/>
        </w:rPr>
      </w:pPr>
      <w:r>
        <w:rPr>
          <w:rFonts w:ascii="宋体" w:hAnsi="宋体"/>
        </w:rPr>
        <w:t xml:space="preserve">3.2 </w:t>
      </w:r>
      <w:r>
        <w:rPr>
          <w:rFonts w:hint="eastAsia" w:ascii="宋体" w:hAnsi="宋体"/>
        </w:rPr>
        <w:t>资格审查资料</w:t>
      </w:r>
    </w:p>
    <w:p>
      <w:pPr>
        <w:spacing w:line="360" w:lineRule="auto"/>
        <w:jc w:val="left"/>
        <w:rPr>
          <w:rFonts w:ascii="宋体" w:hAnsi="宋体"/>
        </w:rPr>
      </w:pPr>
      <w:r>
        <w:rPr>
          <w:rFonts w:hint="eastAsia" w:ascii="宋体" w:hAnsi="宋体"/>
        </w:rPr>
        <w:t>应按照</w:t>
      </w:r>
      <w:r>
        <w:rPr>
          <w:rFonts w:ascii="宋体" w:hAnsi="宋体"/>
        </w:rPr>
        <w:t>投标人</w:t>
      </w:r>
      <w:r>
        <w:rPr>
          <w:rFonts w:hint="eastAsia" w:ascii="宋体" w:hAnsi="宋体"/>
        </w:rPr>
        <w:t>须知前附表1.4.1要求</w:t>
      </w:r>
      <w:r>
        <w:rPr>
          <w:rFonts w:ascii="宋体" w:hAnsi="宋体"/>
        </w:rPr>
        <w:t>对投标企业资质条件、财务要求、业绩要求、信誉要求、项目经理资格及其他要求</w:t>
      </w:r>
      <w:r>
        <w:rPr>
          <w:rFonts w:hint="eastAsia" w:ascii="宋体" w:hAnsi="宋体"/>
        </w:rPr>
        <w:t>提供</w:t>
      </w:r>
      <w:r>
        <w:rPr>
          <w:rFonts w:ascii="宋体" w:hAnsi="宋体"/>
        </w:rPr>
        <w:t>相关证明材料。</w:t>
      </w:r>
    </w:p>
    <w:p>
      <w:pPr>
        <w:spacing w:line="360" w:lineRule="auto"/>
        <w:jc w:val="left"/>
        <w:rPr>
          <w:rFonts w:ascii="宋体" w:hAnsi="宋体"/>
        </w:rPr>
      </w:pPr>
      <w:r>
        <w:rPr>
          <w:rFonts w:hint="eastAsia" w:ascii="宋体" w:hAnsi="宋体"/>
        </w:rPr>
        <w:t>3.3.投标报价</w:t>
      </w:r>
    </w:p>
    <w:p>
      <w:pPr>
        <w:spacing w:line="360" w:lineRule="auto"/>
        <w:jc w:val="left"/>
        <w:rPr>
          <w:rFonts w:ascii="宋体" w:hAnsi="宋体"/>
        </w:rPr>
      </w:pPr>
      <w:r>
        <w:rPr>
          <w:rFonts w:ascii="宋体" w:hAnsi="宋体"/>
        </w:rPr>
        <w:t xml:space="preserve">3.3.1 </w:t>
      </w:r>
      <w:r>
        <w:rPr>
          <w:rFonts w:hint="eastAsia" w:ascii="宋体" w:hAnsi="宋体"/>
        </w:rPr>
        <w:t>投标人应按第五章“工程量清单”的要求填写相应表格。</w:t>
      </w:r>
    </w:p>
    <w:p>
      <w:pPr>
        <w:spacing w:line="360" w:lineRule="auto"/>
        <w:jc w:val="left"/>
        <w:rPr>
          <w:rFonts w:ascii="宋体" w:hAnsi="宋体"/>
        </w:rPr>
      </w:pPr>
      <w:r>
        <w:rPr>
          <w:rFonts w:ascii="宋体" w:hAnsi="宋体"/>
        </w:rPr>
        <w:t xml:space="preserve">3.3.2 </w:t>
      </w:r>
      <w:r>
        <w:rPr>
          <w:rFonts w:hint="eastAsia" w:ascii="宋体" w:hAnsi="宋体"/>
        </w:rPr>
        <w:t>投标人在投标截止时间前修改投标函中的投标总报价，应同时修改第五章“工程量清单”中的相应报价。此修改须符合本章第</w:t>
      </w:r>
      <w:r>
        <w:rPr>
          <w:rFonts w:ascii="宋体" w:hAnsi="宋体"/>
        </w:rPr>
        <w:t>4.3</w:t>
      </w:r>
      <w:r>
        <w:rPr>
          <w:rFonts w:hint="eastAsia" w:ascii="宋体" w:hAnsi="宋体"/>
        </w:rPr>
        <w:t>款的有关要求。</w:t>
      </w:r>
    </w:p>
    <w:p>
      <w:pPr>
        <w:spacing w:line="360" w:lineRule="auto"/>
        <w:jc w:val="left"/>
        <w:rPr>
          <w:rFonts w:ascii="宋体" w:hAnsi="宋体"/>
        </w:rPr>
      </w:pPr>
      <w:r>
        <w:rPr>
          <w:rFonts w:hint="eastAsia" w:ascii="宋体" w:hAnsi="宋体"/>
        </w:rPr>
        <w:t>3.</w:t>
      </w:r>
      <w:r>
        <w:rPr>
          <w:rFonts w:ascii="宋体" w:hAnsi="宋体"/>
        </w:rPr>
        <w:t>3</w:t>
      </w:r>
      <w:r>
        <w:rPr>
          <w:rFonts w:hint="eastAsia" w:ascii="宋体" w:hAnsi="宋体"/>
        </w:rPr>
        <w:t>.3 投标报价不得超过招标控制价，否则其投标将予以拒绝。</w:t>
      </w:r>
    </w:p>
    <w:p>
      <w:pPr>
        <w:spacing w:line="360" w:lineRule="auto"/>
        <w:jc w:val="left"/>
        <w:rPr>
          <w:rFonts w:ascii="宋体" w:hAnsi="宋体"/>
        </w:rPr>
      </w:pPr>
      <w:r>
        <w:rPr>
          <w:rFonts w:ascii="宋体" w:hAnsi="宋体"/>
        </w:rPr>
        <w:t xml:space="preserve">3.4 </w:t>
      </w:r>
      <w:r>
        <w:rPr>
          <w:rFonts w:hint="eastAsia" w:ascii="宋体" w:hAnsi="宋体"/>
        </w:rPr>
        <w:t>投标有效期</w:t>
      </w:r>
    </w:p>
    <w:p>
      <w:pPr>
        <w:spacing w:line="360" w:lineRule="auto"/>
        <w:jc w:val="left"/>
        <w:rPr>
          <w:rFonts w:ascii="宋体" w:hAnsi="宋体"/>
        </w:rPr>
      </w:pPr>
      <w:r>
        <w:rPr>
          <w:rFonts w:ascii="宋体" w:hAnsi="宋体"/>
        </w:rPr>
        <w:t xml:space="preserve">3.4.1 </w:t>
      </w:r>
      <w:r>
        <w:rPr>
          <w:rFonts w:hint="eastAsia" w:ascii="宋体" w:hAnsi="宋体"/>
        </w:rPr>
        <w:t>在投标人须知前附表规定的投标有效期内，投标人不得要求撤销或修改其投标文件。</w:t>
      </w:r>
    </w:p>
    <w:p>
      <w:pPr>
        <w:spacing w:line="360" w:lineRule="auto"/>
        <w:jc w:val="left"/>
        <w:rPr>
          <w:rFonts w:ascii="宋体" w:hAnsi="宋体"/>
        </w:rPr>
      </w:pPr>
      <w:r>
        <w:rPr>
          <w:rFonts w:ascii="宋体" w:hAnsi="宋体"/>
        </w:rPr>
        <w:t>3.4.2</w:t>
      </w:r>
      <w:r>
        <w:rPr>
          <w:rFonts w:hint="eastAsia" w:ascii="宋体" w:hAnsi="宋体"/>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spacing w:line="360" w:lineRule="auto"/>
        <w:jc w:val="left"/>
        <w:rPr>
          <w:rFonts w:ascii="宋体" w:hAnsi="宋体"/>
        </w:rPr>
      </w:pPr>
      <w:r>
        <w:rPr>
          <w:rFonts w:ascii="宋体" w:hAnsi="宋体"/>
        </w:rPr>
        <w:t xml:space="preserve">3.5 </w:t>
      </w:r>
      <w:r>
        <w:rPr>
          <w:rFonts w:hint="eastAsia" w:ascii="宋体" w:hAnsi="宋体"/>
        </w:rPr>
        <w:t>投标保证金</w:t>
      </w:r>
    </w:p>
    <w:p>
      <w:pPr>
        <w:spacing w:line="360" w:lineRule="auto"/>
        <w:rPr>
          <w:rFonts w:ascii="宋体" w:hAnsi="宋体"/>
        </w:rPr>
      </w:pPr>
      <w:r>
        <w:rPr>
          <w:rFonts w:ascii="宋体" w:hAnsi="宋体"/>
        </w:rPr>
        <w:t xml:space="preserve">3.5.1 </w:t>
      </w:r>
      <w:r>
        <w:rPr>
          <w:rFonts w:hint="eastAsia" w:ascii="宋体" w:hAnsi="宋体"/>
        </w:rPr>
        <w:t>投标人在递交投标文件的同时，应按投标人须知前附表规定的金额、第八章“投标文件格式”规定的投标保证金格式递交投标保证金，并作为其投标文件的组成部分。联合体投标的，其投标保证金由牵头人递交，并应符合投标人须知前附表的规定。</w:t>
      </w:r>
    </w:p>
    <w:p>
      <w:pPr>
        <w:spacing w:line="360" w:lineRule="auto"/>
        <w:rPr>
          <w:rFonts w:ascii="宋体" w:hAnsi="宋体"/>
        </w:rPr>
      </w:pPr>
      <w:r>
        <w:rPr>
          <w:rFonts w:ascii="宋体" w:hAnsi="宋体"/>
        </w:rPr>
        <w:t xml:space="preserve">3.5.2 </w:t>
      </w:r>
      <w:r>
        <w:rPr>
          <w:rFonts w:hint="eastAsia" w:ascii="宋体" w:hAnsi="宋体"/>
        </w:rPr>
        <w:t>投标人不按本章第</w:t>
      </w:r>
      <w:r>
        <w:rPr>
          <w:rFonts w:ascii="宋体" w:hAnsi="宋体"/>
        </w:rPr>
        <w:t>3.4.1</w:t>
      </w:r>
      <w:r>
        <w:rPr>
          <w:rFonts w:hint="eastAsia" w:ascii="宋体" w:hAnsi="宋体"/>
        </w:rPr>
        <w:t>项要求提交投标保证金的，其投标文件作废标处理。</w:t>
      </w:r>
    </w:p>
    <w:p>
      <w:pPr>
        <w:spacing w:line="360" w:lineRule="auto"/>
        <w:rPr>
          <w:rFonts w:ascii="宋体" w:hAnsi="宋体"/>
        </w:rPr>
      </w:pPr>
      <w:r>
        <w:rPr>
          <w:rFonts w:ascii="宋体" w:hAnsi="宋体"/>
        </w:rPr>
        <w:t>3.5.3</w:t>
      </w:r>
      <w:r>
        <w:rPr>
          <w:rFonts w:hint="eastAsia" w:ascii="宋体" w:hAnsi="宋体"/>
        </w:rPr>
        <w:t>招标人与中标人合同备案后</w:t>
      </w:r>
      <w:r>
        <w:rPr>
          <w:rFonts w:ascii="宋体" w:hAnsi="宋体"/>
        </w:rPr>
        <w:t>5</w:t>
      </w:r>
      <w:r>
        <w:rPr>
          <w:rFonts w:hint="eastAsia" w:ascii="宋体" w:hAnsi="宋体"/>
        </w:rPr>
        <w:t>日内，向未中标人和中标候选人退还投标保证金。</w:t>
      </w:r>
    </w:p>
    <w:p>
      <w:pPr>
        <w:spacing w:line="360" w:lineRule="auto"/>
        <w:rPr>
          <w:rFonts w:ascii="宋体" w:hAnsi="宋体"/>
        </w:rPr>
      </w:pPr>
      <w:r>
        <w:rPr>
          <w:rFonts w:ascii="宋体" w:hAnsi="宋体"/>
        </w:rPr>
        <w:t xml:space="preserve">3.5.4 </w:t>
      </w:r>
      <w:r>
        <w:rPr>
          <w:rFonts w:hint="eastAsia" w:ascii="宋体" w:hAnsi="宋体"/>
        </w:rPr>
        <w:t>有下列情形之一的，投标保证金将不予退还：</w:t>
      </w:r>
    </w:p>
    <w:p>
      <w:pPr>
        <w:spacing w:line="360" w:lineRule="auto"/>
        <w:ind w:firstLine="420" w:firstLineChars="200"/>
        <w:rPr>
          <w:rFonts w:ascii="宋体" w:hAnsi="宋体"/>
        </w:rPr>
      </w:pPr>
      <w:r>
        <w:rPr>
          <w:rFonts w:hint="eastAsia" w:ascii="宋体" w:hAnsi="宋体"/>
        </w:rPr>
        <w:t>（</w:t>
      </w:r>
      <w:r>
        <w:rPr>
          <w:rFonts w:ascii="宋体" w:hAnsi="宋体"/>
        </w:rPr>
        <w:t>1</w:t>
      </w:r>
      <w:r>
        <w:rPr>
          <w:rFonts w:hint="eastAsia" w:ascii="宋体" w:hAnsi="宋体"/>
        </w:rPr>
        <w:t>）投标人在规定的投标有效期内撤销或修改其投标文件；</w:t>
      </w:r>
    </w:p>
    <w:p>
      <w:pPr>
        <w:spacing w:line="360" w:lineRule="auto"/>
        <w:ind w:firstLine="420" w:firstLineChars="200"/>
        <w:rPr>
          <w:rFonts w:ascii="宋体" w:hAnsi="宋体"/>
        </w:rPr>
      </w:pPr>
      <w:r>
        <w:rPr>
          <w:rFonts w:hint="eastAsia" w:ascii="宋体" w:hAnsi="宋体"/>
        </w:rPr>
        <w:t>（</w:t>
      </w:r>
      <w:r>
        <w:rPr>
          <w:rFonts w:ascii="宋体" w:hAnsi="宋体"/>
        </w:rPr>
        <w:t>2</w:t>
      </w:r>
      <w:r>
        <w:rPr>
          <w:rFonts w:hint="eastAsia" w:ascii="宋体" w:hAnsi="宋体"/>
        </w:rPr>
        <w:t>）中标人在收到中标通知书后，无正当理由拒签合同协议书或未按招标文件规定提交履约担保。</w:t>
      </w:r>
    </w:p>
    <w:p>
      <w:pPr>
        <w:spacing w:line="360" w:lineRule="auto"/>
        <w:rPr>
          <w:rFonts w:ascii="宋体" w:hAnsi="宋体"/>
        </w:rPr>
      </w:pPr>
      <w:r>
        <w:rPr>
          <w:rFonts w:ascii="宋体" w:hAnsi="宋体"/>
        </w:rPr>
        <w:t xml:space="preserve">3.6 </w:t>
      </w:r>
      <w:r>
        <w:rPr>
          <w:rFonts w:hint="eastAsia" w:ascii="宋体" w:hAnsi="宋体"/>
        </w:rPr>
        <w:t>备选投标方案</w:t>
      </w:r>
    </w:p>
    <w:p>
      <w:pPr>
        <w:spacing w:line="360" w:lineRule="auto"/>
        <w:ind w:firstLine="420" w:firstLineChars="200"/>
        <w:rPr>
          <w:rFonts w:ascii="宋体" w:hAnsi="宋体"/>
        </w:rPr>
      </w:pPr>
      <w:r>
        <w:rPr>
          <w:rFonts w:hint="eastAsia" w:ascii="宋体" w:hAnsi="宋体"/>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rPr>
          <w:rFonts w:ascii="宋体" w:hAnsi="宋体"/>
        </w:rPr>
      </w:pPr>
      <w:r>
        <w:rPr>
          <w:rFonts w:ascii="宋体" w:hAnsi="宋体"/>
        </w:rPr>
        <w:t>3.7</w:t>
      </w:r>
      <w:r>
        <w:rPr>
          <w:rFonts w:hint="eastAsia" w:ascii="宋体" w:hAnsi="宋体"/>
        </w:rPr>
        <w:t>投标文件的编制</w:t>
      </w:r>
    </w:p>
    <w:p>
      <w:pPr>
        <w:spacing w:line="360" w:lineRule="auto"/>
        <w:rPr>
          <w:rFonts w:ascii="宋体" w:hAnsi="宋体"/>
        </w:rPr>
      </w:pPr>
      <w:r>
        <w:rPr>
          <w:rFonts w:ascii="宋体" w:hAnsi="宋体"/>
        </w:rPr>
        <w:t>3.7.1</w:t>
      </w:r>
      <w:r>
        <w:rPr>
          <w:rFonts w:hint="eastAsia" w:ascii="宋体" w:hAnsi="宋体"/>
        </w:rPr>
        <w:t>投标文件应按第八章“投标文件格式”进行编写，如有必要，可以增加附页，作为投标文件的组成部分。其中，投标函附录在满足招标文件实质性要求的基础上，可以提出比招标文件要求更有利于招标人的承诺。</w:t>
      </w:r>
    </w:p>
    <w:p>
      <w:pPr>
        <w:spacing w:line="360" w:lineRule="auto"/>
        <w:rPr>
          <w:rFonts w:ascii="宋体" w:hAnsi="宋体"/>
        </w:rPr>
      </w:pPr>
      <w:r>
        <w:rPr>
          <w:rFonts w:ascii="宋体" w:hAnsi="宋体"/>
        </w:rPr>
        <w:t xml:space="preserve">3.7.2 </w:t>
      </w:r>
      <w:r>
        <w:rPr>
          <w:rFonts w:hint="eastAsia" w:ascii="宋体" w:hAnsi="宋体"/>
        </w:rPr>
        <w:t>投标文件应当对招标文件有关工期、投标有效期、质量要求、技术标准和要求、招标反馈等实质性内容作出响应。</w:t>
      </w:r>
    </w:p>
    <w:p>
      <w:pPr>
        <w:spacing w:line="360" w:lineRule="auto"/>
        <w:rPr>
          <w:rFonts w:ascii="宋体" w:hAnsi="宋体"/>
        </w:rPr>
      </w:pPr>
      <w:r>
        <w:rPr>
          <w:rFonts w:ascii="宋体" w:hAnsi="宋体"/>
        </w:rPr>
        <w:t>3.7.3</w:t>
      </w:r>
      <w:r>
        <w:rPr>
          <w:rFonts w:hint="eastAsia" w:ascii="宋体" w:hAnsi="宋体"/>
        </w:rPr>
        <w:t>电子投标文件应由投标人的法定代表人电子签名、单位电子签章。电子投标文件应附经法定代表人电子签名的授权委托书。签字或盖章的具体要求见投标人须知前附表。</w:t>
      </w:r>
    </w:p>
    <w:p>
      <w:pPr>
        <w:pStyle w:val="4"/>
      </w:pPr>
      <w:bookmarkStart w:id="180" w:name="_Toc16463"/>
      <w:r>
        <w:t>4. 投标</w:t>
      </w:r>
      <w:bookmarkEnd w:id="173"/>
      <w:bookmarkEnd w:id="174"/>
      <w:bookmarkEnd w:id="175"/>
      <w:bookmarkEnd w:id="176"/>
      <w:bookmarkEnd w:id="177"/>
      <w:bookmarkEnd w:id="178"/>
      <w:bookmarkEnd w:id="179"/>
      <w:bookmarkEnd w:id="180"/>
    </w:p>
    <w:p>
      <w:pPr>
        <w:autoSpaceDE w:val="0"/>
        <w:autoSpaceDN w:val="0"/>
        <w:adjustRightInd w:val="0"/>
        <w:spacing w:line="500" w:lineRule="exact"/>
        <w:jc w:val="left"/>
        <w:rPr>
          <w:rFonts w:ascii="宋体" w:hAnsi="宋体"/>
        </w:rPr>
      </w:pPr>
      <w:bookmarkStart w:id="181" w:name="_Toc273437312"/>
      <w:bookmarkStart w:id="182" w:name="_Toc152042332"/>
      <w:bookmarkStart w:id="183" w:name="_Toc152045556"/>
      <w:bookmarkStart w:id="184" w:name="_Toc263777154"/>
      <w:bookmarkStart w:id="185" w:name="_Toc263403061"/>
      <w:bookmarkStart w:id="186" w:name="_Toc144974524"/>
      <w:bookmarkStart w:id="187" w:name="_Toc267475060"/>
      <w:r>
        <w:rPr>
          <w:rFonts w:ascii="宋体" w:hAnsi="宋体"/>
        </w:rPr>
        <w:t xml:space="preserve">4.1 </w:t>
      </w:r>
      <w:r>
        <w:rPr>
          <w:rFonts w:hint="eastAsia" w:ascii="宋体" w:hAnsi="宋体"/>
        </w:rPr>
        <w:t>电子</w:t>
      </w:r>
      <w:r>
        <w:rPr>
          <w:rFonts w:ascii="宋体" w:hAnsi="宋体"/>
        </w:rPr>
        <w:t>投标文件的</w:t>
      </w:r>
      <w:bookmarkEnd w:id="181"/>
      <w:bookmarkEnd w:id="182"/>
      <w:bookmarkEnd w:id="183"/>
      <w:bookmarkEnd w:id="184"/>
      <w:bookmarkEnd w:id="185"/>
      <w:bookmarkEnd w:id="186"/>
      <w:bookmarkEnd w:id="187"/>
      <w:r>
        <w:rPr>
          <w:rFonts w:hint="eastAsia" w:ascii="宋体" w:hAnsi="宋体"/>
        </w:rPr>
        <w:t>要求</w:t>
      </w:r>
    </w:p>
    <w:p>
      <w:pPr>
        <w:autoSpaceDE w:val="0"/>
        <w:autoSpaceDN w:val="0"/>
        <w:adjustRightInd w:val="0"/>
        <w:spacing w:line="500" w:lineRule="exact"/>
        <w:jc w:val="left"/>
        <w:rPr>
          <w:rFonts w:ascii="宋体" w:hAnsi="宋体"/>
        </w:rPr>
      </w:pPr>
      <w:r>
        <w:rPr>
          <w:rFonts w:ascii="宋体" w:hAnsi="宋体"/>
        </w:rPr>
        <w:t>4.1.1</w:t>
      </w:r>
      <w:r>
        <w:rPr>
          <w:rFonts w:hint="eastAsia" w:ascii="宋体" w:hAnsi="宋体"/>
        </w:rPr>
        <w:t>电子投标文件应使用CA数字证书认证并加密，具体</w:t>
      </w:r>
      <w:r>
        <w:rPr>
          <w:rFonts w:ascii="宋体" w:hAnsi="宋体"/>
        </w:rPr>
        <w:t>详见</w:t>
      </w:r>
      <w:r>
        <w:rPr>
          <w:rFonts w:hint="eastAsia" w:ascii="宋体" w:hAnsi="宋体"/>
        </w:rPr>
        <w:t>《工程业务--投标文件制作工具操作手册</w:t>
      </w:r>
      <w:r>
        <w:rPr>
          <w:rFonts w:hint="eastAsia" w:ascii="宋体"/>
          <w:bCs/>
        </w:rPr>
        <w:t>》</w:t>
      </w:r>
      <w:r>
        <w:rPr>
          <w:rFonts w:hint="eastAsia" w:ascii="宋体"/>
        </w:rPr>
        <w:t>。否则，</w:t>
      </w:r>
      <w:r>
        <w:rPr>
          <w:rFonts w:ascii="宋体" w:hAnsi="宋体"/>
        </w:rPr>
        <w:t>被视为无效投标文件，其投标文件将被</w:t>
      </w:r>
      <w:r>
        <w:rPr>
          <w:rFonts w:hint="eastAsia" w:ascii="宋体" w:hAnsi="宋体"/>
        </w:rPr>
        <w:t>电子交易系统</w:t>
      </w:r>
      <w:r>
        <w:rPr>
          <w:rFonts w:ascii="宋体" w:hAnsi="宋体"/>
        </w:rPr>
        <w:t>拒绝</w:t>
      </w:r>
      <w:r>
        <w:rPr>
          <w:rFonts w:hint="eastAsia"/>
        </w:rPr>
        <w:t>。</w:t>
      </w:r>
    </w:p>
    <w:p>
      <w:pPr>
        <w:spacing w:line="360" w:lineRule="auto"/>
      </w:pPr>
      <w:bookmarkStart w:id="188" w:name="_Toc152042333"/>
      <w:bookmarkStart w:id="189" w:name="_Toc152045557"/>
      <w:bookmarkStart w:id="190" w:name="_Toc263777155"/>
      <w:bookmarkStart w:id="191" w:name="_Toc263403062"/>
      <w:bookmarkStart w:id="192" w:name="_Toc144974525"/>
      <w:bookmarkStart w:id="193" w:name="_Toc273437313"/>
      <w:bookmarkStart w:id="194" w:name="_Toc267475061"/>
      <w:r>
        <w:t xml:space="preserve">4.2 </w:t>
      </w:r>
      <w:r>
        <w:rPr>
          <w:rFonts w:hint="eastAsia"/>
        </w:rPr>
        <w:t>电子</w:t>
      </w:r>
      <w:r>
        <w:t>投标文件的递交</w:t>
      </w:r>
      <w:bookmarkEnd w:id="188"/>
      <w:bookmarkEnd w:id="189"/>
      <w:bookmarkEnd w:id="190"/>
      <w:bookmarkEnd w:id="191"/>
      <w:bookmarkEnd w:id="192"/>
      <w:bookmarkEnd w:id="193"/>
      <w:bookmarkEnd w:id="194"/>
      <w:r>
        <w:rPr>
          <w:rFonts w:hint="eastAsia" w:ascii="宋体" w:hAnsi="宋体"/>
        </w:rPr>
        <w:t>要求详见第二章“投标人须知前附表”。</w:t>
      </w:r>
    </w:p>
    <w:p>
      <w:pPr>
        <w:spacing w:line="360" w:lineRule="auto"/>
      </w:pPr>
      <w:r>
        <w:rPr>
          <w:rFonts w:hint="eastAsia" w:ascii="宋体" w:hAnsi="宋体"/>
        </w:rPr>
        <w:t>4.2.1</w:t>
      </w:r>
      <w:r>
        <w:rPr>
          <w:rFonts w:hint="eastAsia"/>
        </w:rPr>
        <w:t>投标人应在本章第4.3项规定的投标截止时间前完成投标文件的递交。投标文件的递交是指使用唐河县公共资源交易中心网上交易系统在投标截止时间前完成投标文件的上传。未在投标截止时间前完成上传或送达的，视为逾期送达。</w:t>
      </w:r>
    </w:p>
    <w:p>
      <w:pPr>
        <w:spacing w:line="360" w:lineRule="auto"/>
      </w:pPr>
      <w:r>
        <w:rPr>
          <w:rFonts w:hint="eastAsia" w:ascii="宋体" w:hAnsi="宋体"/>
        </w:rPr>
        <w:t>4.2.2</w:t>
      </w:r>
      <w:r>
        <w:rPr>
          <w:rFonts w:hint="eastAsia"/>
        </w:rPr>
        <w:t>投标人递交投标文件的地点：见投标人须知前附表。</w:t>
      </w:r>
    </w:p>
    <w:p>
      <w:pPr>
        <w:spacing w:line="360" w:lineRule="auto"/>
      </w:pPr>
      <w:r>
        <w:rPr>
          <w:rFonts w:hint="eastAsia" w:ascii="宋体" w:hAnsi="宋体"/>
        </w:rPr>
        <w:t>4.2.3</w:t>
      </w:r>
      <w:r>
        <w:rPr>
          <w:rFonts w:hint="eastAsia"/>
        </w:rPr>
        <w:t>除投标人须知前附表另有规定外，投标人所递交的投标文件不予退还。</w:t>
      </w:r>
    </w:p>
    <w:p>
      <w:pPr>
        <w:spacing w:line="360" w:lineRule="auto"/>
      </w:pPr>
      <w:r>
        <w:rPr>
          <w:rFonts w:hint="eastAsia" w:ascii="宋体" w:hAnsi="宋体"/>
        </w:rPr>
        <w:t xml:space="preserve">4.2.4 </w:t>
      </w:r>
      <w:r>
        <w:rPr>
          <w:rFonts w:hint="eastAsia"/>
        </w:rPr>
        <w:t>逾期上传的投标文件，招标人不予受理。</w:t>
      </w:r>
    </w:p>
    <w:p>
      <w:pPr>
        <w:spacing w:line="360" w:lineRule="auto"/>
      </w:pPr>
      <w:bookmarkStart w:id="195" w:name="_Toc267475062"/>
      <w:bookmarkStart w:id="196" w:name="_Toc263777156"/>
      <w:bookmarkStart w:id="197" w:name="_Toc273437314"/>
      <w:bookmarkStart w:id="198" w:name="_Toc197770874"/>
      <w:bookmarkStart w:id="199" w:name="_Toc261518394"/>
      <w:bookmarkStart w:id="200" w:name="_Toc144974526"/>
      <w:bookmarkStart w:id="201" w:name="_Toc263403063"/>
      <w:bookmarkStart w:id="202" w:name="_Toc152045558"/>
      <w:bookmarkStart w:id="203" w:name="_Toc152042334"/>
      <w:r>
        <w:t xml:space="preserve">4.3 </w:t>
      </w:r>
      <w:bookmarkEnd w:id="195"/>
      <w:bookmarkEnd w:id="196"/>
      <w:bookmarkEnd w:id="197"/>
      <w:bookmarkEnd w:id="198"/>
      <w:bookmarkEnd w:id="199"/>
      <w:bookmarkStart w:id="204" w:name="_Toc273437315"/>
      <w:bookmarkStart w:id="205" w:name="_Toc263777157"/>
      <w:bookmarkStart w:id="206" w:name="_Toc267475063"/>
      <w:r>
        <w:t>投标文件的修改与撤回</w:t>
      </w:r>
      <w:bookmarkEnd w:id="200"/>
      <w:bookmarkEnd w:id="201"/>
      <w:bookmarkEnd w:id="202"/>
      <w:bookmarkEnd w:id="203"/>
      <w:bookmarkEnd w:id="204"/>
      <w:bookmarkEnd w:id="205"/>
      <w:bookmarkEnd w:id="206"/>
    </w:p>
    <w:p>
      <w:pPr>
        <w:spacing w:line="360" w:lineRule="auto"/>
      </w:pPr>
      <w:r>
        <w:rPr>
          <w:rFonts w:ascii="宋体" w:hAnsi="宋体"/>
        </w:rPr>
        <w:t>4.</w:t>
      </w:r>
      <w:r>
        <w:rPr>
          <w:rFonts w:hint="eastAsia" w:ascii="宋体" w:hAnsi="宋体"/>
        </w:rPr>
        <w:t>3</w:t>
      </w:r>
      <w:r>
        <w:rPr>
          <w:rFonts w:ascii="宋体" w:hAnsi="宋体"/>
        </w:rPr>
        <w:t>.1</w:t>
      </w:r>
      <w:r>
        <w:rPr>
          <w:rFonts w:hint="eastAsia"/>
        </w:rPr>
        <w:t>在投标人须知前附表规定的投标截止时间前，投标人可以修改</w:t>
      </w:r>
      <w:r>
        <w:rPr>
          <w:rFonts w:hint="eastAsia" w:ascii="宋体" w:hAnsi="宋体"/>
        </w:rPr>
        <w:t>或撤回</w:t>
      </w:r>
      <w:r>
        <w:rPr>
          <w:rFonts w:hint="eastAsia"/>
        </w:rPr>
        <w:t>已上传的电子投标文件，最终电子投标文件以投标截止时间前完成上传至唐河县公共资源交易中心网交易系统最后一份投标文件为准。</w:t>
      </w:r>
    </w:p>
    <w:p>
      <w:pPr>
        <w:spacing w:line="360" w:lineRule="auto"/>
        <w:rPr>
          <w:rFonts w:ascii="宋体" w:hAnsi="宋体"/>
        </w:rPr>
      </w:pPr>
      <w:r>
        <w:rPr>
          <w:rFonts w:hint="eastAsia" w:ascii="宋体" w:hAnsi="宋体"/>
        </w:rPr>
        <w:t>4.3.2</w:t>
      </w:r>
      <w:bookmarkStart w:id="207" w:name="_Toc144974527"/>
      <w:bookmarkStart w:id="208" w:name="_Toc152045559"/>
      <w:bookmarkStart w:id="209" w:name="_Toc263403064"/>
      <w:bookmarkStart w:id="210" w:name="_Toc152042335"/>
      <w:r>
        <w:rPr>
          <w:rFonts w:ascii="宋体" w:hAnsi="宋体"/>
        </w:rPr>
        <w:t>投标截止时间之后，投标单位不得修改或撤回</w:t>
      </w:r>
      <w:r>
        <w:rPr>
          <w:rFonts w:hint="eastAsia" w:ascii="宋体" w:hAnsi="宋体"/>
        </w:rPr>
        <w:t>电子</w:t>
      </w:r>
      <w:r>
        <w:rPr>
          <w:rFonts w:ascii="宋体" w:hAnsi="宋体"/>
        </w:rPr>
        <w:t>投标文件；</w:t>
      </w:r>
    </w:p>
    <w:p>
      <w:pPr>
        <w:spacing w:line="360" w:lineRule="auto"/>
        <w:jc w:val="left"/>
        <w:rPr>
          <w:rFonts w:ascii="宋体" w:hAnsi="宋体"/>
        </w:rPr>
      </w:pPr>
      <w:r>
        <w:rPr>
          <w:rFonts w:ascii="宋体" w:hAnsi="宋体"/>
        </w:rPr>
        <w:t>4.</w:t>
      </w:r>
      <w:r>
        <w:rPr>
          <w:rFonts w:hint="eastAsia" w:ascii="宋体" w:hAnsi="宋体"/>
        </w:rPr>
        <w:t>3</w:t>
      </w:r>
      <w:r>
        <w:rPr>
          <w:rFonts w:ascii="宋体" w:hAnsi="宋体"/>
        </w:rPr>
        <w:t>.3 投标截止时间之后，在投标有效期内，投标人不得撤回</w:t>
      </w:r>
      <w:r>
        <w:rPr>
          <w:rFonts w:hint="eastAsia" w:ascii="宋体" w:hAnsi="宋体"/>
        </w:rPr>
        <w:t>电子</w:t>
      </w:r>
      <w:r>
        <w:rPr>
          <w:rFonts w:ascii="宋体" w:hAnsi="宋体"/>
        </w:rPr>
        <w:t>投标文件，否则投标保证金将</w:t>
      </w:r>
      <w:r>
        <w:rPr>
          <w:rFonts w:hint="eastAsia" w:ascii="宋体" w:hAnsi="宋体"/>
        </w:rPr>
        <w:t>不</w:t>
      </w:r>
      <w:r>
        <w:rPr>
          <w:rFonts w:ascii="宋体" w:hAnsi="宋体"/>
        </w:rPr>
        <w:t>予退回。</w:t>
      </w:r>
    </w:p>
    <w:p>
      <w:pPr>
        <w:pStyle w:val="4"/>
      </w:pPr>
      <w:bookmarkStart w:id="211" w:name="_Toc273437316"/>
      <w:bookmarkStart w:id="212" w:name="_Toc263777158"/>
      <w:bookmarkStart w:id="213" w:name="_Toc267475064"/>
      <w:bookmarkStart w:id="214" w:name="_Toc5171"/>
      <w:r>
        <w:t>5. 开标</w:t>
      </w:r>
      <w:bookmarkEnd w:id="207"/>
      <w:bookmarkEnd w:id="208"/>
      <w:bookmarkEnd w:id="209"/>
      <w:bookmarkEnd w:id="210"/>
      <w:bookmarkEnd w:id="211"/>
      <w:bookmarkEnd w:id="212"/>
      <w:bookmarkEnd w:id="213"/>
      <w:bookmarkEnd w:id="214"/>
    </w:p>
    <w:p>
      <w:pPr>
        <w:spacing w:line="360" w:lineRule="auto"/>
      </w:pPr>
      <w:bookmarkStart w:id="215" w:name="_Toc273437317"/>
      <w:bookmarkStart w:id="216" w:name="_Toc263777159"/>
      <w:bookmarkStart w:id="217" w:name="_Toc267475065"/>
      <w:bookmarkStart w:id="218" w:name="_Toc152045560"/>
      <w:bookmarkStart w:id="219" w:name="_Toc263403065"/>
      <w:bookmarkStart w:id="220" w:name="_Toc152042336"/>
      <w:bookmarkStart w:id="221" w:name="_Toc144974528"/>
      <w:r>
        <w:t>5.</w:t>
      </w:r>
      <w:r>
        <w:rPr>
          <w:rFonts w:hint="eastAsia"/>
        </w:rPr>
        <w:t>1</w:t>
      </w:r>
      <w:r>
        <w:t>开标时间和地点</w:t>
      </w:r>
      <w:bookmarkEnd w:id="215"/>
      <w:bookmarkEnd w:id="216"/>
      <w:bookmarkEnd w:id="217"/>
    </w:p>
    <w:p>
      <w:pPr>
        <w:spacing w:line="360" w:lineRule="auto"/>
        <w:ind w:firstLine="420" w:firstLineChars="200"/>
        <w:rPr>
          <w:rFonts w:ascii="宋体" w:hAnsi="宋体"/>
        </w:rPr>
      </w:pPr>
      <w:r>
        <w:rPr>
          <w:rFonts w:ascii="宋体" w:hAnsi="宋体"/>
        </w:rPr>
        <w:t>招标人在</w:t>
      </w:r>
      <w:r>
        <w:rPr>
          <w:rFonts w:hint="eastAsia" w:ascii="宋体" w:hAnsi="宋体"/>
        </w:rPr>
        <w:t>投标人须知前附表规定</w:t>
      </w:r>
      <w:r>
        <w:rPr>
          <w:rFonts w:ascii="宋体" w:hAnsi="宋体"/>
        </w:rPr>
        <w:t>的投标截止时间(开标时间)和地点公开开标</w:t>
      </w:r>
      <w:r>
        <w:rPr>
          <w:rFonts w:hint="eastAsia" w:ascii="宋体" w:hAnsi="宋体"/>
        </w:rPr>
        <w:t>（本项目采用网上不见面方式开标，投标企业无须到达开标现场）。</w:t>
      </w:r>
    </w:p>
    <w:p>
      <w:pPr>
        <w:spacing w:line="360" w:lineRule="auto"/>
      </w:pPr>
      <w:bookmarkStart w:id="222" w:name="_Toc152045561"/>
      <w:bookmarkStart w:id="223" w:name="_Toc152042337"/>
      <w:bookmarkStart w:id="224" w:name="_Toc144974529"/>
      <w:bookmarkStart w:id="225" w:name="_Toc267475066"/>
      <w:bookmarkStart w:id="226" w:name="_Toc263777160"/>
      <w:bookmarkStart w:id="227" w:name="_Toc263403066"/>
      <w:bookmarkStart w:id="228" w:name="_Toc273437318"/>
      <w:r>
        <w:t>5.</w:t>
      </w:r>
      <w:r>
        <w:rPr>
          <w:rFonts w:hint="eastAsia"/>
        </w:rPr>
        <w:t>2</w:t>
      </w:r>
      <w:r>
        <w:t>开标程序</w:t>
      </w:r>
      <w:bookmarkEnd w:id="222"/>
      <w:bookmarkEnd w:id="223"/>
      <w:bookmarkEnd w:id="224"/>
      <w:bookmarkEnd w:id="225"/>
      <w:bookmarkEnd w:id="226"/>
      <w:bookmarkEnd w:id="227"/>
      <w:bookmarkEnd w:id="228"/>
    </w:p>
    <w:p>
      <w:pPr>
        <w:spacing w:line="360" w:lineRule="auto"/>
        <w:ind w:firstLine="315" w:firstLineChars="150"/>
        <w:rPr>
          <w:rFonts w:ascii="宋体" w:hAnsi="宋体"/>
        </w:rPr>
      </w:pPr>
      <w:r>
        <w:rPr>
          <w:rFonts w:hint="eastAsia" w:ascii="宋体" w:hAnsi="宋体"/>
        </w:rPr>
        <w:t>招标人将按</w:t>
      </w:r>
      <w:r>
        <w:rPr>
          <w:rFonts w:hint="eastAsia" w:ascii="宋体" w:hAnsi="宋体"/>
          <w:b/>
        </w:rPr>
        <w:t>投标人须知前附表</w:t>
      </w:r>
      <w:r>
        <w:rPr>
          <w:rFonts w:hint="eastAsia" w:ascii="宋体" w:hAnsi="宋体"/>
        </w:rPr>
        <w:t>的时间和地点举行开标会议。投标人授权委托人代表持本单位CA数字证书提前登录不见面开标系统并在线签到。</w:t>
      </w:r>
    </w:p>
    <w:p>
      <w:pPr>
        <w:spacing w:line="360" w:lineRule="auto"/>
        <w:rPr>
          <w:rFonts w:ascii="宋体" w:hAnsi="宋体"/>
        </w:rPr>
      </w:pPr>
      <w:r>
        <w:rPr>
          <w:rFonts w:ascii="宋体" w:hAnsi="宋体"/>
        </w:rPr>
        <w:t>5.</w:t>
      </w:r>
      <w:r>
        <w:rPr>
          <w:rFonts w:hint="eastAsia" w:ascii="宋体" w:hAnsi="宋体"/>
        </w:rPr>
        <w:t>2</w:t>
      </w:r>
      <w:r>
        <w:rPr>
          <w:rFonts w:ascii="宋体" w:hAnsi="宋体"/>
        </w:rPr>
        <w:t xml:space="preserve">.1按下列程序进行开标： </w:t>
      </w:r>
    </w:p>
    <w:p>
      <w:pPr>
        <w:spacing w:line="360" w:lineRule="auto"/>
        <w:rPr>
          <w:rFonts w:ascii="宋体" w:hAnsi="宋体"/>
        </w:rPr>
      </w:pPr>
      <w:r>
        <w:rPr>
          <w:rFonts w:hint="eastAsia" w:ascii="宋体" w:hAnsi="宋体"/>
        </w:rPr>
        <w:t>（1）</w:t>
      </w:r>
      <w:r>
        <w:rPr>
          <w:rFonts w:hint="eastAsia" w:ascii="宋体" w:hAnsi="宋体"/>
          <w:szCs w:val="22"/>
          <w:highlight w:val="white"/>
        </w:rPr>
        <w:t>投标人授权委托人代表持本单位CA数字证书提前登录不见面开标系统并在线签到。</w:t>
      </w:r>
    </w:p>
    <w:p>
      <w:pPr>
        <w:spacing w:line="360" w:lineRule="auto"/>
        <w:rPr>
          <w:rFonts w:ascii="宋体" w:hAnsi="宋体"/>
        </w:rPr>
      </w:pPr>
      <w:r>
        <w:rPr>
          <w:rFonts w:hint="eastAsia" w:ascii="宋体" w:hAnsi="宋体"/>
        </w:rPr>
        <w:t>（2）开标时间到，在线公布投标人、招标人代表、监标人等有关名单。主持人（代理公司）根据保证金交纳情况来确定有效投标人，并退回不符合要求的投标文件。</w:t>
      </w:r>
    </w:p>
    <w:p>
      <w:pPr>
        <w:spacing w:line="360" w:lineRule="auto"/>
        <w:rPr>
          <w:rFonts w:ascii="宋体" w:hAnsi="宋体"/>
        </w:rPr>
      </w:pPr>
      <w:r>
        <w:rPr>
          <w:rFonts w:hint="eastAsia" w:ascii="宋体" w:hAnsi="宋体"/>
        </w:rPr>
        <w:t>（</w:t>
      </w:r>
      <w:r>
        <w:rPr>
          <w:rFonts w:ascii="宋体" w:hAnsi="宋体"/>
        </w:rPr>
        <w:t>3</w:t>
      </w:r>
      <w:r>
        <w:rPr>
          <w:rFonts w:hint="eastAsia" w:ascii="宋体" w:hAnsi="宋体"/>
        </w:rPr>
        <w:t>）开标顺序：</w:t>
      </w:r>
    </w:p>
    <w:bookmarkEnd w:id="218"/>
    <w:bookmarkEnd w:id="219"/>
    <w:bookmarkEnd w:id="220"/>
    <w:bookmarkEnd w:id="221"/>
    <w:p>
      <w:pPr>
        <w:spacing w:line="360" w:lineRule="auto"/>
        <w:ind w:firstLine="315" w:firstLineChars="150"/>
        <w:rPr>
          <w:rFonts w:ascii="宋体" w:hAnsi="宋体"/>
        </w:rPr>
      </w:pPr>
      <w:bookmarkStart w:id="229" w:name="_Toc144974530"/>
      <w:bookmarkStart w:id="230" w:name="_Toc273437319"/>
      <w:bookmarkStart w:id="231" w:name="_Toc267475067"/>
      <w:bookmarkStart w:id="232" w:name="_Toc263777162"/>
      <w:bookmarkStart w:id="233" w:name="_Toc263403067"/>
      <w:bookmarkStart w:id="234" w:name="_Toc152042338"/>
      <w:bookmarkStart w:id="235" w:name="_Toc152045562"/>
      <w:r>
        <w:rPr>
          <w:rFonts w:hint="eastAsia" w:ascii="宋体" w:hAnsi="宋体"/>
          <w:highlight w:val="white"/>
        </w:rPr>
        <w:t>①投标人解密：投标企业制作电子投标文件时，必须使用本单位企业数字证书进行加密，投标企业在开标前须自行检查数字证书有效性。在解密时间到达后，系统做出解密提示，请各投标人自行解密即可。开标解密时未解密成功的视为撤销其投标文件（因电子开标系统原因除外）。</w:t>
      </w:r>
    </w:p>
    <w:p>
      <w:pPr>
        <w:spacing w:line="360" w:lineRule="auto"/>
        <w:ind w:firstLine="315" w:firstLineChars="150"/>
        <w:rPr>
          <w:rFonts w:ascii="宋体" w:hAnsi="宋体"/>
        </w:rPr>
      </w:pPr>
      <w:r>
        <w:rPr>
          <w:rFonts w:hint="eastAsia" w:ascii="宋体" w:hAnsi="宋体"/>
          <w:highlight w:val="white"/>
        </w:rPr>
        <w:t>②招标人解密。目前无需招标人进行二次解密。</w:t>
      </w:r>
    </w:p>
    <w:p>
      <w:pPr>
        <w:spacing w:line="360" w:lineRule="auto"/>
        <w:ind w:firstLine="315" w:firstLineChars="150"/>
        <w:rPr>
          <w:rFonts w:ascii="宋体" w:hAnsi="宋体"/>
        </w:rPr>
      </w:pPr>
      <w:r>
        <w:rPr>
          <w:rFonts w:hint="eastAsia" w:ascii="宋体" w:hAnsi="宋体"/>
          <w:highlight w:val="white"/>
        </w:rPr>
        <w:t>③随机抽取参数（K值）并在线录入不见面系统。</w:t>
      </w:r>
    </w:p>
    <w:p>
      <w:pPr>
        <w:spacing w:line="360" w:lineRule="auto"/>
        <w:ind w:firstLine="315" w:firstLineChars="150"/>
        <w:rPr>
          <w:rFonts w:ascii="宋体" w:hAnsi="宋体"/>
        </w:rPr>
      </w:pPr>
      <w:r>
        <w:rPr>
          <w:rFonts w:hint="eastAsia" w:ascii="宋体" w:hAnsi="宋体"/>
          <w:highlight w:val="white"/>
        </w:rPr>
        <w:t>④唱标。查看唱标信息（系统不提供语音在线播放，该页面停留1分钟供投标人查看，如无异议视为同意）。招标人、监督人需要关注开标过程中，投标人随时在线提出的异议、问题沟通等信息，并做好及时回复；</w:t>
      </w:r>
    </w:p>
    <w:p>
      <w:pPr>
        <w:spacing w:line="360" w:lineRule="auto"/>
        <w:ind w:firstLine="315" w:firstLineChars="150"/>
        <w:rPr>
          <w:rFonts w:ascii="宋体" w:hAnsi="宋体"/>
        </w:rPr>
      </w:pPr>
      <w:r>
        <w:rPr>
          <w:rFonts w:hint="eastAsia" w:ascii="宋体" w:hAnsi="宋体"/>
          <w:highlight w:val="white"/>
        </w:rPr>
        <w:t>⑤招标代理机构宣布开标结束，点击“开标结束”操作按钮（系统自动进行“招标文件导入”、“控制价文件导入”）。</w:t>
      </w:r>
    </w:p>
    <w:p>
      <w:pPr>
        <w:spacing w:line="360" w:lineRule="auto"/>
        <w:ind w:firstLine="315" w:firstLineChars="150"/>
        <w:rPr>
          <w:rFonts w:ascii="宋体" w:hAnsi="宋体"/>
        </w:rPr>
      </w:pPr>
      <w:r>
        <w:rPr>
          <w:rFonts w:hint="eastAsia" w:ascii="宋体" w:hAnsi="宋体"/>
          <w:highlight w:val="white"/>
        </w:rPr>
        <w:t>⑥招标人（代理机构）、投标人等相关人员在开标记录表上进行CA签字确认。</w:t>
      </w:r>
    </w:p>
    <w:p>
      <w:pPr>
        <w:pStyle w:val="4"/>
      </w:pPr>
      <w:bookmarkStart w:id="236" w:name="_Toc1210"/>
      <w:r>
        <w:t>6.评标</w:t>
      </w:r>
      <w:bookmarkEnd w:id="229"/>
      <w:bookmarkEnd w:id="230"/>
      <w:bookmarkEnd w:id="231"/>
      <w:bookmarkEnd w:id="232"/>
      <w:bookmarkEnd w:id="233"/>
      <w:bookmarkEnd w:id="234"/>
      <w:bookmarkEnd w:id="235"/>
      <w:bookmarkEnd w:id="236"/>
    </w:p>
    <w:p>
      <w:pPr>
        <w:spacing w:line="360" w:lineRule="auto"/>
      </w:pPr>
      <w:bookmarkStart w:id="237" w:name="_Toc273437320"/>
      <w:bookmarkStart w:id="238" w:name="_Toc152042339"/>
      <w:bookmarkStart w:id="239" w:name="_Toc152045563"/>
      <w:bookmarkStart w:id="240" w:name="_Toc144974531"/>
      <w:bookmarkStart w:id="241" w:name="_Toc263777163"/>
      <w:bookmarkStart w:id="242" w:name="_Toc267475068"/>
      <w:bookmarkStart w:id="243" w:name="_Toc263403068"/>
      <w:r>
        <w:t>6.1评标委员会</w:t>
      </w:r>
      <w:bookmarkEnd w:id="237"/>
      <w:bookmarkEnd w:id="238"/>
      <w:bookmarkEnd w:id="239"/>
      <w:bookmarkEnd w:id="240"/>
      <w:bookmarkEnd w:id="241"/>
      <w:bookmarkEnd w:id="242"/>
      <w:bookmarkEnd w:id="243"/>
    </w:p>
    <w:p>
      <w:pPr>
        <w:spacing w:line="360" w:lineRule="auto"/>
        <w:rPr>
          <w:rFonts w:ascii="宋体" w:hAnsi="宋体"/>
        </w:rPr>
      </w:pPr>
      <w:r>
        <w:rPr>
          <w:rFonts w:hint="eastAsia" w:ascii="宋体" w:hAnsi="宋体"/>
        </w:rPr>
        <w:t>6.1.1</w:t>
      </w:r>
      <w:r>
        <w:rPr>
          <w:rFonts w:ascii="宋体" w:hAnsi="宋体"/>
        </w:rPr>
        <w:t>评标由招标人依法组建的评标委员会负责。评标委员会由有关技术、经济等方面的专家组成。评标委员会成员人数以及技术、经济等方面专家的确定方式见投标人须知前附表。</w:t>
      </w:r>
    </w:p>
    <w:p>
      <w:pPr>
        <w:spacing w:line="360" w:lineRule="auto"/>
        <w:rPr>
          <w:rFonts w:ascii="宋体" w:hAnsi="宋体"/>
        </w:rPr>
      </w:pPr>
      <w:r>
        <w:rPr>
          <w:rFonts w:ascii="宋体" w:hAnsi="宋体"/>
        </w:rPr>
        <w:t>6.1.</w:t>
      </w:r>
      <w:r>
        <w:rPr>
          <w:rFonts w:hint="eastAsia" w:ascii="宋体" w:hAnsi="宋体"/>
        </w:rPr>
        <w:t>2</w:t>
      </w:r>
      <w:r>
        <w:rPr>
          <w:rFonts w:ascii="宋体" w:hAnsi="宋体"/>
        </w:rPr>
        <w:t>评标委员会成员有下列情形之一的，应当回避：</w:t>
      </w:r>
    </w:p>
    <w:p>
      <w:pPr>
        <w:numPr>
          <w:ilvl w:val="0"/>
          <w:numId w:val="5"/>
        </w:numPr>
        <w:tabs>
          <w:tab w:val="left" w:pos="540"/>
          <w:tab w:val="clear" w:pos="780"/>
        </w:tabs>
        <w:spacing w:line="360" w:lineRule="auto"/>
        <w:rPr>
          <w:rFonts w:ascii="宋体" w:hAnsi="宋体"/>
        </w:rPr>
      </w:pPr>
      <w:r>
        <w:rPr>
          <w:rFonts w:ascii="宋体" w:hAnsi="宋体"/>
        </w:rPr>
        <w:t>招标人或投标人的主要负责人的近亲属；</w:t>
      </w:r>
    </w:p>
    <w:p>
      <w:pPr>
        <w:numPr>
          <w:ilvl w:val="0"/>
          <w:numId w:val="5"/>
        </w:numPr>
        <w:spacing w:line="360" w:lineRule="auto"/>
        <w:rPr>
          <w:rFonts w:ascii="宋体" w:hAnsi="宋体"/>
        </w:rPr>
      </w:pPr>
      <w:r>
        <w:rPr>
          <w:rFonts w:ascii="宋体" w:hAnsi="宋体"/>
        </w:rPr>
        <w:t>项目主管部门或者行政监督部门的人员；</w:t>
      </w:r>
    </w:p>
    <w:p>
      <w:pPr>
        <w:numPr>
          <w:ilvl w:val="0"/>
          <w:numId w:val="5"/>
        </w:numPr>
        <w:spacing w:line="360" w:lineRule="auto"/>
        <w:rPr>
          <w:rFonts w:ascii="宋体" w:hAnsi="宋体"/>
        </w:rPr>
      </w:pPr>
      <w:r>
        <w:rPr>
          <w:rFonts w:ascii="宋体" w:hAnsi="宋体"/>
        </w:rPr>
        <w:t>与投标人有经济利益关系，可能影响对投标公正评审的；</w:t>
      </w:r>
    </w:p>
    <w:p>
      <w:pPr>
        <w:spacing w:line="360" w:lineRule="auto"/>
        <w:ind w:firstLine="315" w:firstLineChars="150"/>
        <w:rPr>
          <w:rFonts w:ascii="宋体" w:hAnsi="宋体"/>
        </w:rPr>
      </w:pPr>
      <w:r>
        <w:rPr>
          <w:rFonts w:hint="eastAsia" w:ascii="宋体" w:hAnsi="宋体"/>
        </w:rPr>
        <w:t>（4</w:t>
      </w:r>
      <w:r>
        <w:rPr>
          <w:rFonts w:ascii="宋体" w:hAnsi="宋体"/>
        </w:rPr>
        <w:t>）</w:t>
      </w:r>
      <w:r>
        <w:rPr>
          <w:rFonts w:hint="eastAsia" w:ascii="宋体" w:hAnsi="宋体"/>
        </w:rPr>
        <w:t>曾因在招标、评标以及其他与招标投标有关活动中从事违法行为而受过行政处罚或刑事处罚的。</w:t>
      </w:r>
    </w:p>
    <w:p>
      <w:pPr>
        <w:spacing w:line="360" w:lineRule="auto"/>
      </w:pPr>
      <w:bookmarkStart w:id="244" w:name="_Toc267475069"/>
      <w:bookmarkStart w:id="245" w:name="_Toc273437321"/>
      <w:bookmarkStart w:id="246" w:name="_Toc152042340"/>
      <w:bookmarkStart w:id="247" w:name="_Toc263403069"/>
      <w:bookmarkStart w:id="248" w:name="_Toc152045564"/>
      <w:bookmarkStart w:id="249" w:name="_Toc263777164"/>
      <w:bookmarkStart w:id="250" w:name="_Toc144974532"/>
      <w:r>
        <w:t>6.2 评标原则</w:t>
      </w:r>
      <w:bookmarkEnd w:id="244"/>
      <w:bookmarkEnd w:id="245"/>
      <w:bookmarkEnd w:id="246"/>
      <w:bookmarkEnd w:id="247"/>
      <w:bookmarkEnd w:id="248"/>
      <w:bookmarkEnd w:id="249"/>
      <w:bookmarkEnd w:id="250"/>
      <w:r>
        <w:tab/>
      </w:r>
    </w:p>
    <w:p>
      <w:pPr>
        <w:spacing w:line="360" w:lineRule="auto"/>
        <w:ind w:firstLine="420" w:firstLineChars="200"/>
        <w:rPr>
          <w:rFonts w:ascii="宋体" w:hAnsi="宋体"/>
        </w:rPr>
      </w:pPr>
      <w:r>
        <w:rPr>
          <w:rFonts w:ascii="宋体" w:hAnsi="宋体"/>
        </w:rPr>
        <w:t>评标活动遵循公平、公正、科学和择优的原则。</w:t>
      </w:r>
    </w:p>
    <w:p>
      <w:pPr>
        <w:spacing w:line="360" w:lineRule="auto"/>
      </w:pPr>
      <w:bookmarkStart w:id="251" w:name="_Toc273437322"/>
      <w:bookmarkStart w:id="252" w:name="_Toc152042341"/>
      <w:bookmarkStart w:id="253" w:name="_Toc144974533"/>
      <w:bookmarkStart w:id="254" w:name="_Toc152045565"/>
      <w:bookmarkStart w:id="255" w:name="_Toc263403070"/>
      <w:bookmarkStart w:id="256" w:name="_Toc263777165"/>
      <w:bookmarkStart w:id="257" w:name="_Toc267475070"/>
      <w:r>
        <w:t>6.3 评标</w:t>
      </w:r>
      <w:bookmarkEnd w:id="251"/>
      <w:bookmarkEnd w:id="252"/>
      <w:bookmarkEnd w:id="253"/>
      <w:bookmarkEnd w:id="254"/>
      <w:bookmarkEnd w:id="255"/>
      <w:bookmarkEnd w:id="256"/>
      <w:bookmarkEnd w:id="257"/>
    </w:p>
    <w:p>
      <w:pPr>
        <w:spacing w:line="360" w:lineRule="auto"/>
        <w:ind w:firstLine="420" w:firstLineChars="200"/>
        <w:rPr>
          <w:rFonts w:ascii="宋体" w:hAnsi="宋体"/>
        </w:rPr>
      </w:pPr>
      <w:r>
        <w:rPr>
          <w:rFonts w:ascii="宋体" w:hAnsi="宋体"/>
        </w:rPr>
        <w:t>评标委员会按照第</w:t>
      </w:r>
      <w:r>
        <w:rPr>
          <w:rFonts w:hint="eastAsia" w:ascii="宋体" w:hAnsi="宋体"/>
        </w:rPr>
        <w:t>三</w:t>
      </w:r>
      <w:r>
        <w:rPr>
          <w:rFonts w:ascii="宋体" w:hAnsi="宋体"/>
        </w:rPr>
        <w:t>章“评标办法”规定的方法、评审因素、标准和程序对投标文件进行评审。第</w:t>
      </w:r>
      <w:r>
        <w:rPr>
          <w:rFonts w:hint="eastAsia" w:ascii="宋体" w:hAnsi="宋体"/>
        </w:rPr>
        <w:t>三</w:t>
      </w:r>
      <w:r>
        <w:rPr>
          <w:rFonts w:ascii="宋体" w:hAnsi="宋体"/>
        </w:rPr>
        <w:t>章</w:t>
      </w:r>
      <w:r>
        <w:rPr>
          <w:rFonts w:hint="eastAsia" w:ascii="宋体" w:hAnsi="宋体"/>
        </w:rPr>
        <w:t>“</w:t>
      </w:r>
      <w:r>
        <w:rPr>
          <w:rFonts w:ascii="宋体" w:hAnsi="宋体"/>
        </w:rPr>
        <w:t>评标办法</w:t>
      </w:r>
      <w:r>
        <w:rPr>
          <w:rFonts w:hint="eastAsia" w:ascii="宋体" w:hAnsi="宋体"/>
        </w:rPr>
        <w:t>”</w:t>
      </w:r>
      <w:r>
        <w:rPr>
          <w:rFonts w:ascii="宋体" w:hAnsi="宋体"/>
        </w:rPr>
        <w:t>没有规定的方法、评审因素和标准，不作为评标依据。</w:t>
      </w:r>
    </w:p>
    <w:p>
      <w:pPr>
        <w:pStyle w:val="4"/>
      </w:pPr>
      <w:bookmarkStart w:id="258" w:name="_Toc273437328"/>
      <w:bookmarkStart w:id="259" w:name="_Toc152042342"/>
      <w:bookmarkStart w:id="260" w:name="_Toc263777171"/>
      <w:bookmarkStart w:id="261" w:name="_Toc152045566"/>
      <w:bookmarkStart w:id="262" w:name="_Toc267475076"/>
      <w:bookmarkStart w:id="263" w:name="_Toc263403071"/>
      <w:bookmarkStart w:id="264" w:name="_Toc144974534"/>
      <w:bookmarkStart w:id="265" w:name="_Toc4607"/>
      <w:r>
        <w:t>7. 合同授予</w:t>
      </w:r>
      <w:bookmarkEnd w:id="258"/>
      <w:bookmarkEnd w:id="259"/>
      <w:bookmarkEnd w:id="260"/>
      <w:bookmarkEnd w:id="261"/>
      <w:bookmarkEnd w:id="262"/>
      <w:bookmarkEnd w:id="263"/>
      <w:bookmarkEnd w:id="264"/>
      <w:bookmarkEnd w:id="265"/>
    </w:p>
    <w:p>
      <w:pPr>
        <w:spacing w:line="360" w:lineRule="auto"/>
      </w:pPr>
      <w:bookmarkStart w:id="266" w:name="_Toc152042343"/>
      <w:bookmarkStart w:id="267" w:name="_Toc273437329"/>
      <w:bookmarkStart w:id="268" w:name="_Toc263777172"/>
      <w:bookmarkStart w:id="269" w:name="_Toc144974535"/>
      <w:bookmarkStart w:id="270" w:name="_Toc152045567"/>
      <w:bookmarkStart w:id="271" w:name="_Toc267475077"/>
      <w:bookmarkStart w:id="272" w:name="_Toc263403072"/>
      <w:r>
        <w:t>7.1 定标方式</w:t>
      </w:r>
      <w:bookmarkEnd w:id="266"/>
      <w:bookmarkEnd w:id="267"/>
      <w:bookmarkEnd w:id="268"/>
      <w:bookmarkEnd w:id="269"/>
      <w:bookmarkEnd w:id="270"/>
      <w:bookmarkEnd w:id="271"/>
      <w:bookmarkEnd w:id="272"/>
    </w:p>
    <w:p>
      <w:pPr>
        <w:spacing w:line="360" w:lineRule="auto"/>
        <w:rPr>
          <w:rFonts w:ascii="宋体" w:hAnsi="宋体"/>
        </w:rPr>
      </w:pPr>
      <w:r>
        <w:rPr>
          <w:rFonts w:hint="eastAsia" w:ascii="宋体" w:hAnsi="宋体"/>
        </w:rPr>
        <w:t>7.1.1</w:t>
      </w:r>
      <w:r>
        <w:rPr>
          <w:rFonts w:ascii="宋体" w:hAnsi="宋体"/>
        </w:rPr>
        <w:t>除投标人须知前附表规定评标委员会直接确定中标人外，招标人依据评标委员会推荐的中标候选人确定中标人，评标委员会推荐中标候选人的人数见</w:t>
      </w:r>
      <w:r>
        <w:rPr>
          <w:rFonts w:ascii="宋体" w:hAnsi="宋体"/>
          <w:b/>
          <w:u w:val="single"/>
        </w:rPr>
        <w:t>投标人须知前附表</w:t>
      </w:r>
      <w:r>
        <w:rPr>
          <w:rFonts w:ascii="宋体" w:hAnsi="宋体"/>
        </w:rPr>
        <w:t>。</w:t>
      </w:r>
    </w:p>
    <w:p>
      <w:pPr>
        <w:spacing w:line="360" w:lineRule="auto"/>
        <w:rPr>
          <w:rFonts w:ascii="宋体" w:hAnsi="宋体"/>
        </w:rPr>
      </w:pPr>
      <w:r>
        <w:rPr>
          <w:rFonts w:hint="eastAsia" w:ascii="宋体" w:hAnsi="宋体"/>
        </w:rPr>
        <w:t>7.1.2</w:t>
      </w:r>
      <w:r>
        <w:rPr>
          <w:rFonts w:ascii="宋体" w:hAnsi="宋体"/>
        </w:rPr>
        <w:t>评标后，招标</w:t>
      </w:r>
      <w:r>
        <w:rPr>
          <w:rFonts w:hint="eastAsia" w:ascii="宋体" w:hAnsi="宋体"/>
        </w:rPr>
        <w:t>人自收到评</w:t>
      </w:r>
      <w:r>
        <w:rPr>
          <w:rFonts w:ascii="宋体" w:hAnsi="宋体"/>
        </w:rPr>
        <w:t>标</w:t>
      </w:r>
      <w:r>
        <w:rPr>
          <w:rFonts w:hint="eastAsia" w:ascii="宋体" w:hAnsi="宋体"/>
        </w:rPr>
        <w:t>报告</w:t>
      </w:r>
      <w:r>
        <w:rPr>
          <w:rFonts w:ascii="宋体" w:hAnsi="宋体"/>
        </w:rPr>
        <w:t>之日起</w:t>
      </w:r>
      <w:r>
        <w:rPr>
          <w:rFonts w:hint="eastAsia" w:ascii="宋体" w:hAnsi="宋体"/>
        </w:rPr>
        <w:t>3</w:t>
      </w:r>
      <w:r>
        <w:rPr>
          <w:rFonts w:ascii="宋体" w:hAnsi="宋体"/>
        </w:rPr>
        <w:t>日内在</w:t>
      </w:r>
      <w:r>
        <w:rPr>
          <w:rFonts w:hint="eastAsia" w:ascii="宋体" w:hAnsi="宋体"/>
        </w:rPr>
        <w:t>唐河县公共资源交易中心网</w:t>
      </w:r>
      <w:r>
        <w:rPr>
          <w:rFonts w:ascii="宋体" w:hAnsi="宋体"/>
        </w:rPr>
        <w:t>公示</w:t>
      </w:r>
      <w:r>
        <w:rPr>
          <w:rFonts w:hint="eastAsia" w:ascii="宋体" w:hAnsi="宋体"/>
        </w:rPr>
        <w:t>中</w:t>
      </w:r>
      <w:r>
        <w:rPr>
          <w:rFonts w:ascii="宋体" w:hAnsi="宋体"/>
        </w:rPr>
        <w:t>标侯选</w:t>
      </w:r>
      <w:r>
        <w:rPr>
          <w:rFonts w:hint="eastAsia" w:ascii="宋体" w:hAnsi="宋体"/>
        </w:rPr>
        <w:t>人及其</w:t>
      </w:r>
      <w:r>
        <w:rPr>
          <w:rFonts w:hint="eastAsia"/>
        </w:rPr>
        <w:t>全部企业信息</w:t>
      </w:r>
      <w:r>
        <w:rPr>
          <w:rFonts w:ascii="宋体" w:hAnsi="宋体"/>
        </w:rPr>
        <w:t>，公示期结束后无异议，</w:t>
      </w:r>
      <w:r>
        <w:rPr>
          <w:rFonts w:hint="eastAsia" w:ascii="宋体" w:hAnsi="宋体"/>
        </w:rPr>
        <w:t>招标人按规定向中标人</w:t>
      </w:r>
      <w:r>
        <w:rPr>
          <w:rFonts w:ascii="宋体" w:hAnsi="宋体"/>
        </w:rPr>
        <w:t>签发中标通知书</w:t>
      </w:r>
      <w:r>
        <w:rPr>
          <w:rFonts w:hint="eastAsia" w:ascii="宋体" w:hAnsi="宋体"/>
        </w:rPr>
        <w:t>。</w:t>
      </w:r>
    </w:p>
    <w:p>
      <w:pPr>
        <w:spacing w:line="360" w:lineRule="auto"/>
      </w:pPr>
      <w:bookmarkStart w:id="273" w:name="_Toc152045568"/>
      <w:bookmarkStart w:id="274" w:name="_Toc263777173"/>
      <w:bookmarkStart w:id="275" w:name="_Toc267475078"/>
      <w:bookmarkStart w:id="276" w:name="_Toc152042344"/>
      <w:bookmarkStart w:id="277" w:name="_Toc263403073"/>
      <w:bookmarkStart w:id="278" w:name="_Toc144974536"/>
      <w:bookmarkStart w:id="279" w:name="_Toc273437330"/>
      <w:r>
        <w:t>7.2 中标通知</w:t>
      </w:r>
      <w:bookmarkEnd w:id="273"/>
      <w:bookmarkEnd w:id="274"/>
      <w:bookmarkEnd w:id="275"/>
      <w:bookmarkEnd w:id="276"/>
      <w:bookmarkEnd w:id="277"/>
      <w:bookmarkEnd w:id="278"/>
      <w:bookmarkEnd w:id="279"/>
    </w:p>
    <w:p>
      <w:pPr>
        <w:spacing w:line="360" w:lineRule="auto"/>
        <w:ind w:firstLine="420" w:firstLineChars="200"/>
        <w:rPr>
          <w:rFonts w:ascii="宋体" w:hAnsi="宋体"/>
        </w:rPr>
      </w:pPr>
      <w:r>
        <w:rPr>
          <w:rFonts w:ascii="宋体" w:hAnsi="宋体"/>
        </w:rPr>
        <w:t>在本章第3.3款规定的投标有效期内，招标人以书面形式向中标人发出中标通知书，同时将中标结果通知未中标的投标人。</w:t>
      </w:r>
    </w:p>
    <w:p>
      <w:pPr>
        <w:spacing w:line="360" w:lineRule="auto"/>
      </w:pPr>
      <w:bookmarkStart w:id="280" w:name="_Toc267475079"/>
      <w:bookmarkStart w:id="281" w:name="_Toc263777174"/>
      <w:bookmarkStart w:id="282" w:name="_Toc273437331"/>
      <w:bookmarkStart w:id="283" w:name="_Toc152042345"/>
      <w:bookmarkStart w:id="284" w:name="_Toc152045569"/>
      <w:bookmarkStart w:id="285" w:name="_Toc144974537"/>
      <w:bookmarkStart w:id="286" w:name="_Toc263403074"/>
      <w:r>
        <w:t>7.3 履约担保</w:t>
      </w:r>
      <w:bookmarkEnd w:id="280"/>
      <w:bookmarkEnd w:id="281"/>
      <w:bookmarkEnd w:id="282"/>
      <w:bookmarkEnd w:id="283"/>
      <w:bookmarkEnd w:id="284"/>
      <w:bookmarkEnd w:id="285"/>
      <w:bookmarkEnd w:id="286"/>
    </w:p>
    <w:p>
      <w:pPr>
        <w:spacing w:line="360" w:lineRule="auto"/>
        <w:rPr>
          <w:rFonts w:ascii="宋体" w:hAnsi="宋体"/>
        </w:rPr>
      </w:pPr>
      <w:bookmarkStart w:id="287" w:name="_Toc263777175"/>
      <w:bookmarkStart w:id="288" w:name="_Toc273437332"/>
      <w:bookmarkStart w:id="289" w:name="_Toc152042346"/>
      <w:bookmarkStart w:id="290" w:name="_Toc267475080"/>
      <w:bookmarkStart w:id="291" w:name="_Toc152045570"/>
      <w:bookmarkStart w:id="292" w:name="_Toc144974538"/>
      <w:bookmarkStart w:id="293" w:name="_Toc263403075"/>
      <w:r>
        <w:rPr>
          <w:rFonts w:ascii="宋体" w:hAnsi="宋体"/>
          <w:highlight w:val="white"/>
        </w:rPr>
        <w:t>7.3.1</w:t>
      </w:r>
      <w:r>
        <w:rPr>
          <w:rFonts w:hint="eastAsia" w:ascii="宋体" w:hAnsi="宋体"/>
          <w:highlight w:val="white"/>
        </w:rPr>
        <w:t xml:space="preserve"> </w:t>
      </w:r>
      <w:r>
        <w:rPr>
          <w:rFonts w:ascii="宋体" w:hAnsi="宋体"/>
          <w:highlight w:val="white"/>
        </w:rPr>
        <w:t>在签订合同前，中标人应按投标人须知前附表规定的金额、担保形式和招标文件第四章</w:t>
      </w:r>
      <w:r>
        <w:rPr>
          <w:rFonts w:hint="eastAsia" w:ascii="宋体" w:hAnsi="宋体"/>
          <w:highlight w:val="white"/>
        </w:rPr>
        <w:t>“</w:t>
      </w:r>
      <w:r>
        <w:rPr>
          <w:rFonts w:ascii="宋体" w:hAnsi="宋体"/>
          <w:highlight w:val="white"/>
        </w:rPr>
        <w:t>合同条款及格式</w:t>
      </w:r>
      <w:r>
        <w:rPr>
          <w:rFonts w:hint="eastAsia" w:ascii="宋体" w:hAnsi="宋体"/>
          <w:highlight w:val="white"/>
        </w:rPr>
        <w:t>”</w:t>
      </w:r>
      <w:r>
        <w:rPr>
          <w:rFonts w:ascii="宋体" w:hAnsi="宋体"/>
          <w:highlight w:val="white"/>
        </w:rPr>
        <w:t>规定的履约担保格式向招标人提交履约担保。联合体中标的，其履约担保由牵头人递交，并应符合</w:t>
      </w:r>
      <w:r>
        <w:rPr>
          <w:rFonts w:ascii="宋体" w:hAnsi="宋体"/>
          <w:b/>
          <w:highlight w:val="white"/>
        </w:rPr>
        <w:t>投标人须知前附表</w:t>
      </w:r>
      <w:r>
        <w:rPr>
          <w:rFonts w:ascii="宋体" w:hAnsi="宋体"/>
          <w:highlight w:val="white"/>
        </w:rPr>
        <w:t>规定的金额、担保形式和招标文件第四章</w:t>
      </w:r>
      <w:r>
        <w:rPr>
          <w:rFonts w:hint="eastAsia" w:ascii="宋体" w:hAnsi="宋体"/>
          <w:highlight w:val="white"/>
        </w:rPr>
        <w:t>“</w:t>
      </w:r>
      <w:r>
        <w:rPr>
          <w:rFonts w:ascii="宋体" w:hAnsi="宋体"/>
          <w:highlight w:val="white"/>
        </w:rPr>
        <w:t>合同条款及格式</w:t>
      </w:r>
      <w:r>
        <w:rPr>
          <w:rFonts w:hint="eastAsia" w:ascii="宋体" w:hAnsi="宋体"/>
          <w:highlight w:val="white"/>
        </w:rPr>
        <w:t>”</w:t>
      </w:r>
      <w:r>
        <w:rPr>
          <w:rFonts w:ascii="宋体" w:hAnsi="宋体"/>
          <w:highlight w:val="white"/>
        </w:rPr>
        <w:t>规定的履约担保格式要求。</w:t>
      </w:r>
    </w:p>
    <w:p>
      <w:pPr>
        <w:spacing w:line="360" w:lineRule="auto"/>
        <w:rPr>
          <w:rFonts w:ascii="宋体" w:hAnsi="宋体"/>
        </w:rPr>
      </w:pPr>
      <w:r>
        <w:rPr>
          <w:rFonts w:ascii="宋体" w:hAnsi="宋体"/>
          <w:highlight w:val="white"/>
        </w:rPr>
        <w:t>7.3.2 中标人不能按本章第7.3.1项要求提交履约担保的，视为放弃中标，其投标保证金不予退还，给招标人造成的损失超过投标保证金数额的，中标人还应当对超过部分予以赔偿。</w:t>
      </w:r>
    </w:p>
    <w:p>
      <w:pPr>
        <w:spacing w:line="360" w:lineRule="auto"/>
        <w:rPr>
          <w:rFonts w:ascii="宋体" w:hAnsi="宋体"/>
        </w:rPr>
      </w:pPr>
      <w:r>
        <w:rPr>
          <w:highlight w:val="white"/>
        </w:rPr>
        <w:t>7.3.3招标人要求中标人提供履约担保的，招标人必须在签订合同前，向中标人提供相同额度的工程款支付担保。</w:t>
      </w:r>
    </w:p>
    <w:p>
      <w:pPr>
        <w:spacing w:line="360" w:lineRule="auto"/>
      </w:pPr>
      <w:r>
        <w:rPr>
          <w:highlight w:val="white"/>
        </w:rPr>
        <w:t>7.4 签订合同</w:t>
      </w:r>
    </w:p>
    <w:p>
      <w:pPr>
        <w:spacing w:line="360" w:lineRule="auto"/>
        <w:rPr>
          <w:rFonts w:ascii="宋体" w:hAnsi="宋体"/>
        </w:rPr>
      </w:pPr>
      <w:r>
        <w:rPr>
          <w:rFonts w:ascii="宋体" w:hAnsi="宋体"/>
          <w:highlight w:val="white"/>
        </w:rPr>
        <w:t>7.4.1</w:t>
      </w:r>
      <w:r>
        <w:rPr>
          <w:rFonts w:hint="eastAsia" w:ascii="宋体" w:hAnsi="宋体"/>
          <w:highlight w:val="white"/>
        </w:rPr>
        <w:t xml:space="preserve"> </w:t>
      </w:r>
      <w:r>
        <w:rPr>
          <w:highlight w:val="white"/>
        </w:rPr>
        <w:t>中标结果公告发布后，按照市、县关于优化营商环境工作要求，招标人需在五个工作日内与中标企业签署合同并进行备案。</w:t>
      </w:r>
      <w:r>
        <w:rPr>
          <w:highlight w:val="white"/>
        </w:rPr>
        <w:br w:type="textWrapping"/>
      </w:r>
      <w:r>
        <w:rPr>
          <w:rFonts w:ascii="宋体" w:hAnsi="宋体"/>
          <w:highlight w:val="white"/>
        </w:rPr>
        <w:t>7.4.2、</w:t>
      </w:r>
      <w:r>
        <w:rPr>
          <w:highlight w:val="white"/>
        </w:rPr>
        <w:t>中标结果公告发布后，交易中心一日内在线发放中标确认书，代理机构、招标人、中标人网上下载。</w:t>
      </w:r>
    </w:p>
    <w:p>
      <w:pPr>
        <w:spacing w:line="360" w:lineRule="auto"/>
        <w:rPr>
          <w:rFonts w:ascii="宋体" w:hAnsi="宋体"/>
        </w:rPr>
      </w:pPr>
      <w:r>
        <w:rPr>
          <w:rFonts w:ascii="宋体" w:hAnsi="宋体"/>
          <w:highlight w:val="white"/>
        </w:rPr>
        <w:t>7.4.2 发出中标通知书后，招标人无正当理由拒签合同的，招标人向中标人退还投标保证金；给中标人造成损失的，还应当赔偿损失。</w:t>
      </w:r>
    </w:p>
    <w:p>
      <w:pPr>
        <w:spacing w:line="360" w:lineRule="auto"/>
        <w:rPr>
          <w:rFonts w:ascii="宋体" w:hAnsi="宋体"/>
        </w:rPr>
      </w:pPr>
      <w:r>
        <w:rPr>
          <w:rFonts w:hint="eastAsia" w:ascii="宋体" w:hAnsi="宋体"/>
          <w:highlight w:val="white"/>
        </w:rPr>
        <w:t xml:space="preserve">7.4.3 </w:t>
      </w:r>
      <w:r>
        <w:rPr>
          <w:highlight w:val="white"/>
        </w:rPr>
        <w:t>项目招标代理机构接收到中标确认书后，在交易平台系统在线发出中标通知书至招标人，招标人在线审核签章后推送至中标人，中标人网上下载中标通知书。此流程需在二个工作日办结</w:t>
      </w:r>
      <w:r>
        <w:rPr>
          <w:rFonts w:hint="eastAsia" w:ascii="宋体" w:hAnsi="宋体"/>
          <w:highlight w:val="white"/>
        </w:rPr>
        <w:t>。</w:t>
      </w:r>
    </w:p>
    <w:p>
      <w:pPr>
        <w:spacing w:line="360" w:lineRule="auto"/>
        <w:rPr>
          <w:rFonts w:ascii="宋体" w:hAnsi="宋体"/>
        </w:rPr>
      </w:pPr>
      <w:r>
        <w:rPr>
          <w:rFonts w:hint="eastAsia" w:ascii="宋体" w:hAnsi="宋体"/>
          <w:highlight w:val="white"/>
        </w:rPr>
        <w:t>7.4.4 项目招标代理机构按照招标文件制定合同推送至招标人，招标人在线审核签章后推送至中标人，中标人在线签署项目合同后，推送至交易平台合同管理系统进行备案，合同备案成功后，交易平台保证金管理系统自动退还中标企业投标保证金。此流程需在三个工作日内办结。</w:t>
      </w:r>
    </w:p>
    <w:bookmarkEnd w:id="287"/>
    <w:bookmarkEnd w:id="288"/>
    <w:bookmarkEnd w:id="289"/>
    <w:bookmarkEnd w:id="290"/>
    <w:bookmarkEnd w:id="291"/>
    <w:bookmarkEnd w:id="292"/>
    <w:bookmarkEnd w:id="293"/>
    <w:p>
      <w:pPr>
        <w:pStyle w:val="4"/>
      </w:pPr>
      <w:bookmarkStart w:id="294" w:name="_Toc263777176"/>
      <w:bookmarkStart w:id="295" w:name="_Toc263403076"/>
      <w:bookmarkStart w:id="296" w:name="_Toc267475081"/>
      <w:bookmarkStart w:id="297" w:name="_Toc144974539"/>
      <w:bookmarkStart w:id="298" w:name="_Toc152045571"/>
      <w:bookmarkStart w:id="299" w:name="_Toc273437333"/>
      <w:bookmarkStart w:id="300" w:name="_Toc152042347"/>
      <w:bookmarkStart w:id="301" w:name="_Toc9042"/>
      <w:r>
        <w:t>8. 重新招标和不再招标</w:t>
      </w:r>
      <w:bookmarkEnd w:id="294"/>
      <w:bookmarkEnd w:id="295"/>
      <w:bookmarkEnd w:id="296"/>
      <w:bookmarkEnd w:id="297"/>
      <w:bookmarkEnd w:id="298"/>
      <w:bookmarkEnd w:id="299"/>
      <w:bookmarkEnd w:id="300"/>
      <w:bookmarkEnd w:id="301"/>
    </w:p>
    <w:p>
      <w:pPr>
        <w:spacing w:line="360" w:lineRule="auto"/>
      </w:pPr>
      <w:bookmarkStart w:id="302" w:name="_Toc273437334"/>
      <w:bookmarkStart w:id="303" w:name="_Toc263403077"/>
      <w:bookmarkStart w:id="304" w:name="_Toc152045572"/>
      <w:bookmarkStart w:id="305" w:name="_Toc267475082"/>
      <w:bookmarkStart w:id="306" w:name="_Toc263777177"/>
      <w:bookmarkStart w:id="307" w:name="_Toc144974540"/>
      <w:bookmarkStart w:id="308" w:name="_Toc152042348"/>
      <w:r>
        <w:t>8.1 重新招标</w:t>
      </w:r>
      <w:bookmarkEnd w:id="302"/>
      <w:bookmarkEnd w:id="303"/>
      <w:bookmarkEnd w:id="304"/>
      <w:bookmarkEnd w:id="305"/>
      <w:bookmarkEnd w:id="306"/>
      <w:bookmarkEnd w:id="307"/>
      <w:bookmarkEnd w:id="308"/>
    </w:p>
    <w:p>
      <w:pPr>
        <w:spacing w:line="360" w:lineRule="auto"/>
        <w:ind w:firstLine="420" w:firstLineChars="200"/>
        <w:rPr>
          <w:rFonts w:ascii="宋体" w:hAnsi="宋体"/>
        </w:rPr>
      </w:pPr>
      <w:r>
        <w:rPr>
          <w:rFonts w:ascii="宋体" w:hAnsi="宋体"/>
        </w:rPr>
        <w:t>有下列情形之一的，招标人将重新招标：</w:t>
      </w:r>
    </w:p>
    <w:p>
      <w:pPr>
        <w:numPr>
          <w:ilvl w:val="1"/>
          <w:numId w:val="6"/>
        </w:numPr>
        <w:tabs>
          <w:tab w:val="clear" w:pos="780"/>
        </w:tabs>
        <w:spacing w:line="360" w:lineRule="auto"/>
        <w:ind w:left="840" w:leftChars="200" w:hanging="420" w:hangingChars="200"/>
        <w:rPr>
          <w:rFonts w:ascii="宋体" w:hAnsi="宋体"/>
        </w:rPr>
      </w:pPr>
      <w:r>
        <w:rPr>
          <w:rFonts w:ascii="宋体" w:hAnsi="宋体"/>
        </w:rPr>
        <w:t>投标截止时间止，投标人少于3个的；</w:t>
      </w:r>
    </w:p>
    <w:p>
      <w:pPr>
        <w:numPr>
          <w:ilvl w:val="1"/>
          <w:numId w:val="6"/>
        </w:numPr>
        <w:tabs>
          <w:tab w:val="clear" w:pos="780"/>
        </w:tabs>
        <w:spacing w:line="360" w:lineRule="auto"/>
        <w:ind w:left="840" w:leftChars="200" w:hanging="420" w:hangingChars="200"/>
        <w:rPr>
          <w:rFonts w:ascii="宋体" w:hAnsi="宋体"/>
        </w:rPr>
      </w:pPr>
      <w:r>
        <w:rPr>
          <w:rFonts w:ascii="宋体" w:hAnsi="宋体"/>
        </w:rPr>
        <w:t>经评标委员会评审后否决所有投标的</w:t>
      </w:r>
      <w:r>
        <w:rPr>
          <w:rFonts w:hint="eastAsia" w:ascii="宋体" w:hAnsi="宋体"/>
        </w:rPr>
        <w:t>；</w:t>
      </w:r>
    </w:p>
    <w:p>
      <w:pPr>
        <w:spacing w:line="360" w:lineRule="auto"/>
      </w:pPr>
      <w:bookmarkStart w:id="309" w:name="_Toc152042349"/>
      <w:bookmarkStart w:id="310" w:name="_Toc263777178"/>
      <w:bookmarkStart w:id="311" w:name="_Toc273437335"/>
      <w:bookmarkStart w:id="312" w:name="_Toc263403078"/>
      <w:bookmarkStart w:id="313" w:name="_Toc144974541"/>
      <w:bookmarkStart w:id="314" w:name="_Toc152045573"/>
      <w:bookmarkStart w:id="315" w:name="_Toc267475083"/>
      <w:r>
        <w:t>8.2 不再招标</w:t>
      </w:r>
      <w:bookmarkEnd w:id="309"/>
      <w:bookmarkEnd w:id="310"/>
      <w:bookmarkEnd w:id="311"/>
      <w:bookmarkEnd w:id="312"/>
      <w:bookmarkEnd w:id="313"/>
      <w:bookmarkEnd w:id="314"/>
      <w:bookmarkEnd w:id="315"/>
    </w:p>
    <w:p>
      <w:pPr>
        <w:spacing w:line="360" w:lineRule="auto"/>
        <w:ind w:firstLine="420" w:firstLineChars="200"/>
        <w:rPr>
          <w:rFonts w:ascii="宋体" w:hAnsi="宋体"/>
        </w:rPr>
      </w:pPr>
      <w:r>
        <w:rPr>
          <w:rFonts w:ascii="宋体" w:hAnsi="宋体"/>
        </w:rPr>
        <w:t>重新招标后投标人仍少于3个或者所有投标被否决的</w:t>
      </w:r>
      <w:r>
        <w:rPr>
          <w:rFonts w:hint="eastAsia" w:ascii="宋体" w:hAnsi="宋体"/>
        </w:rPr>
        <w:t>，</w:t>
      </w:r>
      <w:r>
        <w:rPr>
          <w:rFonts w:ascii="宋体" w:hAnsi="宋体"/>
        </w:rPr>
        <w:t>属于必须审批或核准的工程建设项目，经原审批或核准部门批准后不再进行招标。</w:t>
      </w:r>
    </w:p>
    <w:p>
      <w:pPr>
        <w:pStyle w:val="4"/>
      </w:pPr>
      <w:bookmarkStart w:id="316" w:name="_Toc273437336"/>
      <w:bookmarkStart w:id="317" w:name="_Toc152045574"/>
      <w:bookmarkStart w:id="318" w:name="_Toc152042350"/>
      <w:bookmarkStart w:id="319" w:name="_Toc263403079"/>
      <w:bookmarkStart w:id="320" w:name="_Toc144974542"/>
      <w:bookmarkStart w:id="321" w:name="_Toc267475084"/>
      <w:bookmarkStart w:id="322" w:name="_Toc263777179"/>
      <w:bookmarkStart w:id="323" w:name="_Toc738"/>
      <w:r>
        <w:t>9. 纪律和监督</w:t>
      </w:r>
      <w:bookmarkEnd w:id="316"/>
      <w:bookmarkEnd w:id="317"/>
      <w:bookmarkEnd w:id="318"/>
      <w:bookmarkEnd w:id="319"/>
      <w:bookmarkEnd w:id="320"/>
      <w:bookmarkEnd w:id="321"/>
      <w:bookmarkEnd w:id="322"/>
      <w:bookmarkEnd w:id="323"/>
    </w:p>
    <w:p>
      <w:pPr>
        <w:spacing w:line="360" w:lineRule="auto"/>
      </w:pPr>
      <w:bookmarkStart w:id="324" w:name="_Toc144974543"/>
      <w:bookmarkStart w:id="325" w:name="_Toc152042351"/>
      <w:bookmarkStart w:id="326" w:name="_Toc263777180"/>
      <w:bookmarkStart w:id="327" w:name="_Toc152045575"/>
      <w:bookmarkStart w:id="328" w:name="_Toc263403080"/>
      <w:bookmarkStart w:id="329" w:name="_Toc273437337"/>
      <w:bookmarkStart w:id="330" w:name="_Toc267475085"/>
      <w:r>
        <w:t>9.1 对招标人的纪律要求</w:t>
      </w:r>
      <w:bookmarkEnd w:id="324"/>
      <w:bookmarkEnd w:id="325"/>
      <w:bookmarkEnd w:id="326"/>
      <w:bookmarkEnd w:id="327"/>
      <w:bookmarkEnd w:id="328"/>
      <w:bookmarkEnd w:id="329"/>
      <w:bookmarkEnd w:id="330"/>
    </w:p>
    <w:p>
      <w:pPr>
        <w:spacing w:line="360" w:lineRule="auto"/>
        <w:ind w:firstLine="420" w:firstLineChars="200"/>
        <w:rPr>
          <w:rFonts w:ascii="宋体" w:hAnsi="宋体"/>
        </w:rPr>
      </w:pPr>
      <w:r>
        <w:rPr>
          <w:rFonts w:ascii="宋体" w:hAnsi="宋体"/>
        </w:rPr>
        <w:t>招标人不得泄漏招标投标活动中应当保密的情况和资料，不得与投标人串通损害国家利益、社会公共利益或者他人合法权益。</w:t>
      </w:r>
    </w:p>
    <w:p>
      <w:pPr>
        <w:spacing w:line="360" w:lineRule="auto"/>
      </w:pPr>
      <w:bookmarkStart w:id="331" w:name="_Toc263777181"/>
      <w:bookmarkStart w:id="332" w:name="_Toc152042352"/>
      <w:bookmarkStart w:id="333" w:name="_Toc267475086"/>
      <w:bookmarkStart w:id="334" w:name="_Toc144974544"/>
      <w:bookmarkStart w:id="335" w:name="_Toc152045576"/>
      <w:bookmarkStart w:id="336" w:name="_Toc263403081"/>
      <w:bookmarkStart w:id="337" w:name="_Toc273437338"/>
      <w:r>
        <w:t>9.2 对投标人的纪律要求</w:t>
      </w:r>
      <w:bookmarkEnd w:id="331"/>
      <w:bookmarkEnd w:id="332"/>
      <w:bookmarkEnd w:id="333"/>
      <w:bookmarkEnd w:id="334"/>
      <w:bookmarkEnd w:id="335"/>
      <w:bookmarkEnd w:id="336"/>
      <w:bookmarkEnd w:id="337"/>
    </w:p>
    <w:p>
      <w:pPr>
        <w:spacing w:line="360" w:lineRule="auto"/>
        <w:ind w:firstLine="420" w:firstLineChars="200"/>
        <w:rPr>
          <w:rFonts w:ascii="宋体" w:hAnsi="宋体"/>
        </w:rPr>
      </w:pPr>
      <w:r>
        <w:rPr>
          <w:rFonts w:ascii="宋体" w:hAnsi="宋体"/>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pPr>
      <w:bookmarkStart w:id="338" w:name="_Toc152042353"/>
      <w:bookmarkStart w:id="339" w:name="_Toc267475087"/>
      <w:bookmarkStart w:id="340" w:name="_Toc144974545"/>
      <w:bookmarkStart w:id="341" w:name="_Toc152045577"/>
      <w:bookmarkStart w:id="342" w:name="_Toc263777182"/>
      <w:bookmarkStart w:id="343" w:name="_Toc273437339"/>
      <w:bookmarkStart w:id="344" w:name="_Toc263403082"/>
      <w:r>
        <w:t>9.3 对评标委员会成员的纪律要求</w:t>
      </w:r>
      <w:bookmarkEnd w:id="338"/>
      <w:bookmarkEnd w:id="339"/>
      <w:bookmarkEnd w:id="340"/>
      <w:bookmarkEnd w:id="341"/>
      <w:bookmarkEnd w:id="342"/>
      <w:bookmarkEnd w:id="343"/>
      <w:bookmarkEnd w:id="344"/>
    </w:p>
    <w:p>
      <w:pPr>
        <w:spacing w:line="360" w:lineRule="auto"/>
        <w:ind w:firstLine="420" w:firstLineChars="200"/>
        <w:rPr>
          <w:rFonts w:ascii="宋体" w:hAnsi="宋体"/>
        </w:rPr>
      </w:pPr>
      <w:r>
        <w:rPr>
          <w:rFonts w:ascii="宋体" w:hAnsi="宋体"/>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pPr>
      <w:bookmarkStart w:id="345" w:name="_Toc267475088"/>
      <w:bookmarkStart w:id="346" w:name="_Toc152042354"/>
      <w:bookmarkStart w:id="347" w:name="_Toc263403083"/>
      <w:bookmarkStart w:id="348" w:name="_Toc263777183"/>
      <w:bookmarkStart w:id="349" w:name="_Toc152045578"/>
      <w:bookmarkStart w:id="350" w:name="_Toc273437340"/>
      <w:bookmarkStart w:id="351" w:name="_Toc144974546"/>
      <w:r>
        <w:t>9.4 对与评标活动有关的工作人员的纪律要求</w:t>
      </w:r>
      <w:bookmarkEnd w:id="345"/>
      <w:bookmarkEnd w:id="346"/>
      <w:bookmarkEnd w:id="347"/>
      <w:bookmarkEnd w:id="348"/>
      <w:bookmarkEnd w:id="349"/>
      <w:bookmarkEnd w:id="350"/>
    </w:p>
    <w:p>
      <w:pPr>
        <w:spacing w:line="360" w:lineRule="auto"/>
        <w:ind w:firstLine="420" w:firstLineChars="200"/>
        <w:rPr>
          <w:rFonts w:ascii="宋体" w:hAnsi="宋体"/>
        </w:rPr>
      </w:pPr>
      <w:bookmarkStart w:id="352" w:name="_Toc152042355"/>
      <w:r>
        <w:rPr>
          <w:rFonts w:ascii="宋体" w:hAnsi="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352"/>
    </w:p>
    <w:p>
      <w:pPr>
        <w:spacing w:line="360" w:lineRule="auto"/>
      </w:pPr>
      <w:bookmarkStart w:id="353" w:name="_Toc273437341"/>
      <w:bookmarkStart w:id="354" w:name="_Toc263777184"/>
      <w:bookmarkStart w:id="355" w:name="_Toc263403084"/>
      <w:bookmarkStart w:id="356" w:name="_Toc152045579"/>
      <w:bookmarkStart w:id="357" w:name="_Toc267475089"/>
      <w:bookmarkStart w:id="358" w:name="_Toc152042356"/>
      <w:r>
        <w:t>9.5投诉</w:t>
      </w:r>
      <w:bookmarkEnd w:id="351"/>
      <w:bookmarkEnd w:id="353"/>
      <w:bookmarkEnd w:id="354"/>
      <w:bookmarkEnd w:id="355"/>
      <w:bookmarkEnd w:id="356"/>
      <w:bookmarkEnd w:id="357"/>
      <w:bookmarkEnd w:id="358"/>
    </w:p>
    <w:p>
      <w:pPr>
        <w:spacing w:line="360" w:lineRule="auto"/>
        <w:ind w:firstLine="420" w:firstLineChars="200"/>
        <w:rPr>
          <w:rFonts w:ascii="宋体" w:hAnsi="宋体"/>
        </w:rPr>
      </w:pPr>
      <w:r>
        <w:rPr>
          <w:rFonts w:ascii="宋体" w:hAnsi="宋体"/>
        </w:rPr>
        <w:t>投标人和其他利害关系人认为本次招标活动违反法律、法规和规章规定的，有权向有关行政监督部门投诉。</w:t>
      </w:r>
    </w:p>
    <w:p>
      <w:pPr>
        <w:spacing w:line="360" w:lineRule="auto"/>
      </w:pPr>
      <w:r>
        <w:t xml:space="preserve">9.6 </w:t>
      </w:r>
      <w:r>
        <w:rPr>
          <w:rFonts w:hint="eastAsia"/>
        </w:rPr>
        <w:t>不良行为记录</w:t>
      </w:r>
    </w:p>
    <w:p>
      <w:pPr>
        <w:spacing w:line="360" w:lineRule="auto"/>
        <w:ind w:firstLine="420" w:firstLineChars="200"/>
        <w:rPr>
          <w:rFonts w:ascii="Calibri" w:hAnsi="Calibri"/>
          <w:szCs w:val="22"/>
          <w:highlight w:val="white"/>
        </w:rPr>
      </w:pPr>
      <w:r>
        <w:rPr>
          <w:rFonts w:hint="eastAsia" w:ascii="Calibri" w:hAnsi="Calibri"/>
          <w:szCs w:val="22"/>
          <w:highlight w:val="white"/>
        </w:rPr>
        <w:t>招标人、投标人、专家评委、代理机构在整个招投标活动中如有违反上述纪律要求及唐河县公共资源交易中心相关规定，由唐河县公共资源交易中心按照《南阳市公共资源交易主体不良行为公示办法》列入不良行为记录，并在唐河县公共资源交易中心网站予以曝光。</w:t>
      </w:r>
    </w:p>
    <w:p>
      <w:pPr>
        <w:pStyle w:val="4"/>
      </w:pPr>
      <w:bookmarkStart w:id="359" w:name="_Toc267475090"/>
      <w:bookmarkStart w:id="360" w:name="_Toc263777185"/>
      <w:bookmarkStart w:id="361" w:name="_Toc263403085"/>
      <w:bookmarkStart w:id="362" w:name="_Toc273437342"/>
      <w:bookmarkStart w:id="363" w:name="_Toc144974547"/>
      <w:bookmarkStart w:id="364" w:name="_Toc152042357"/>
      <w:bookmarkStart w:id="365" w:name="_Toc152045580"/>
      <w:bookmarkStart w:id="366" w:name="_Toc11468"/>
      <w:r>
        <w:t>10. 需要补充的其他内容</w:t>
      </w:r>
      <w:bookmarkEnd w:id="359"/>
      <w:bookmarkEnd w:id="360"/>
      <w:bookmarkEnd w:id="361"/>
      <w:bookmarkEnd w:id="362"/>
      <w:bookmarkEnd w:id="363"/>
      <w:bookmarkEnd w:id="364"/>
      <w:bookmarkEnd w:id="365"/>
      <w:bookmarkEnd w:id="366"/>
    </w:p>
    <w:p>
      <w:pPr>
        <w:spacing w:line="360" w:lineRule="auto"/>
        <w:rPr>
          <w:rFonts w:ascii="黑体" w:eastAsia="黑体"/>
          <w:sz w:val="28"/>
          <w:szCs w:val="28"/>
        </w:rPr>
      </w:pPr>
      <w:bookmarkStart w:id="367" w:name="_Toc312745614"/>
      <w:r>
        <w:rPr>
          <w:rFonts w:hint="eastAsia"/>
        </w:rPr>
        <w:t>需要补充的其他内容：见</w:t>
      </w:r>
      <w:r>
        <w:rPr>
          <w:b/>
          <w:u w:val="single"/>
        </w:rPr>
        <w:t>投标人须知前附表</w:t>
      </w:r>
      <w:r>
        <w:t>。</w:t>
      </w:r>
      <w:bookmarkEnd w:id="367"/>
      <w:bookmarkStart w:id="368" w:name="_Toc267475092"/>
      <w:bookmarkStart w:id="369" w:name="_Toc144974554"/>
      <w:bookmarkStart w:id="370" w:name="_Toc152045587"/>
      <w:bookmarkStart w:id="371" w:name="_Toc152042364"/>
      <w:bookmarkStart w:id="372" w:name="_Toc263777190"/>
      <w:bookmarkStart w:id="373" w:name="_Toc273437343"/>
      <w:bookmarkStart w:id="374" w:name="_Toc263403092"/>
      <w:r>
        <w:br w:type="page"/>
      </w:r>
      <w:bookmarkEnd w:id="368"/>
      <w:bookmarkEnd w:id="369"/>
      <w:bookmarkEnd w:id="370"/>
      <w:bookmarkEnd w:id="371"/>
      <w:bookmarkEnd w:id="372"/>
      <w:bookmarkEnd w:id="373"/>
      <w:bookmarkEnd w:id="374"/>
      <w:r>
        <w:rPr>
          <w:rFonts w:hint="eastAsia" w:ascii="黑体" w:eastAsia="黑体"/>
          <w:sz w:val="28"/>
          <w:szCs w:val="28"/>
        </w:rPr>
        <w:t>附表一：开标记录表</w:t>
      </w:r>
    </w:p>
    <w:p>
      <w:pPr>
        <w:spacing w:before="312" w:beforeLines="100" w:after="312" w:afterLines="100" w:line="400" w:lineRule="exact"/>
        <w:ind w:firstLine="1960" w:firstLineChars="700"/>
        <w:rPr>
          <w:rFonts w:ascii="黑体" w:eastAsia="黑体"/>
          <w:sz w:val="28"/>
          <w:szCs w:val="28"/>
        </w:rPr>
      </w:pPr>
      <w:r>
        <w:rPr>
          <w:rFonts w:hint="eastAsia" w:ascii="黑体" w:eastAsia="黑体"/>
          <w:sz w:val="28"/>
          <w:szCs w:val="28"/>
        </w:rPr>
        <w:t>（项目名称）标段施工开标记录表</w:t>
      </w:r>
    </w:p>
    <w:p>
      <w:pPr>
        <w:spacing w:line="400" w:lineRule="exact"/>
        <w:ind w:firstLine="105" w:firstLineChars="50"/>
        <w:rPr>
          <w:rFonts w:ascii="黑体" w:eastAsia="黑体"/>
        </w:rPr>
      </w:pPr>
      <w:r>
        <w:rPr>
          <w:rFonts w:hint="eastAsia" w:ascii="黑体" w:eastAsia="黑体"/>
        </w:rPr>
        <w:t>开标时间：年月日时分</w:t>
      </w:r>
    </w:p>
    <w:p>
      <w:pPr>
        <w:spacing w:line="400" w:lineRule="exact"/>
        <w:ind w:firstLine="105" w:firstLineChars="50"/>
        <w:rPr>
          <w:rFonts w:ascii="黑体" w:eastAsia="黑体"/>
        </w:rPr>
      </w:pPr>
      <w:r>
        <w:rPr>
          <w:rFonts w:hint="eastAsia" w:ascii="黑体" w:eastAsia="黑体"/>
        </w:rPr>
        <w:t>开标地点：</w:t>
      </w:r>
    </w:p>
    <w:p>
      <w:pPr>
        <w:spacing w:line="400" w:lineRule="exact"/>
        <w:ind w:firstLine="105" w:firstLineChars="50"/>
        <w:rPr>
          <w:rFonts w:ascii="黑体" w:eastAsia="黑体"/>
        </w:rPr>
      </w:pPr>
      <w:r>
        <w:rPr>
          <w:rFonts w:hint="eastAsia" w:ascii="黑体" w:eastAsia="黑体"/>
        </w:rPr>
        <w:t>（一）唱标记录</w:t>
      </w:r>
    </w:p>
    <w:tbl>
      <w:tblPr>
        <w:tblStyle w:val="44"/>
        <w:tblW w:w="7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417"/>
        <w:gridCol w:w="1080"/>
        <w:gridCol w:w="1519"/>
        <w:gridCol w:w="41"/>
        <w:gridCol w:w="1134"/>
        <w:gridCol w:w="708"/>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黑体" w:eastAsia="黑体"/>
              </w:rPr>
            </w:pPr>
            <w:r>
              <w:rPr>
                <w:rFonts w:hint="eastAsia" w:ascii="黑体" w:eastAsia="黑体"/>
              </w:rPr>
              <w:t>序号</w:t>
            </w:r>
          </w:p>
        </w:tc>
        <w:tc>
          <w:tcPr>
            <w:tcW w:w="1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黑体" w:eastAsia="黑体"/>
              </w:rPr>
            </w:pPr>
            <w:r>
              <w:rPr>
                <w:rFonts w:hint="eastAsia" w:ascii="黑体" w:eastAsia="黑体"/>
              </w:rPr>
              <w:t>投标人</w:t>
            </w:r>
          </w:p>
        </w:tc>
        <w:tc>
          <w:tcPr>
            <w:tcW w:w="108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黑体" w:eastAsia="黑体"/>
              </w:rPr>
            </w:pPr>
            <w:r>
              <w:rPr>
                <w:rFonts w:hint="eastAsia" w:ascii="黑体" w:eastAsia="黑体"/>
              </w:rPr>
              <w:t>投标保证金</w:t>
            </w:r>
          </w:p>
        </w:tc>
        <w:tc>
          <w:tcPr>
            <w:tcW w:w="1560"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黑体" w:eastAsia="黑体"/>
              </w:rPr>
            </w:pPr>
            <w:r>
              <w:rPr>
                <w:rFonts w:hint="eastAsia" w:ascii="黑体" w:eastAsia="黑体"/>
              </w:rPr>
              <w:t>投标报价（元）</w:t>
            </w: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黑体" w:eastAsia="黑体"/>
              </w:rPr>
            </w:pPr>
            <w:r>
              <w:rPr>
                <w:rFonts w:hint="eastAsia" w:ascii="黑体" w:eastAsia="黑体"/>
              </w:rPr>
              <w:t>质量目标</w:t>
            </w:r>
          </w:p>
        </w:tc>
        <w:tc>
          <w:tcPr>
            <w:tcW w:w="70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黑体" w:eastAsia="黑体"/>
              </w:rPr>
            </w:pPr>
            <w:r>
              <w:rPr>
                <w:rFonts w:hint="eastAsia" w:ascii="黑体" w:eastAsia="黑体"/>
              </w:rPr>
              <w:t>工期</w:t>
            </w:r>
          </w:p>
        </w:tc>
        <w:tc>
          <w:tcPr>
            <w:tcW w:w="70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黑体" w:eastAsia="黑体"/>
              </w:rPr>
            </w:pPr>
            <w:r>
              <w:rPr>
                <w:rFonts w:hint="eastAsia" w:ascii="黑体" w:eastAsia="黑体"/>
              </w:rPr>
              <w:t>备注</w:t>
            </w:r>
          </w:p>
        </w:tc>
        <w:tc>
          <w:tcPr>
            <w:tcW w:w="70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黑体" w:eastAsia="黑体"/>
              </w:rPr>
            </w:pPr>
            <w:r>
              <w:rPr>
                <w:rFonts w:hint="eastAsia" w:ascii="黑体" w:eastAsia="黑体"/>
              </w:rPr>
              <w:t>投标人授权代表签名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黑体" w:eastAsia="黑体"/>
              </w:rPr>
            </w:pPr>
          </w:p>
        </w:tc>
        <w:tc>
          <w:tcPr>
            <w:tcW w:w="1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黑体" w:eastAsia="黑体"/>
              </w:rPr>
            </w:pPr>
          </w:p>
        </w:tc>
        <w:tc>
          <w:tcPr>
            <w:tcW w:w="108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黑体" w:eastAsia="黑体"/>
              </w:rPr>
            </w:pPr>
          </w:p>
        </w:tc>
        <w:tc>
          <w:tcPr>
            <w:tcW w:w="1560"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黑体" w:eastAsia="黑体"/>
              </w:rP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黑体" w:eastAsia="黑体"/>
              </w:rPr>
            </w:pPr>
          </w:p>
        </w:tc>
        <w:tc>
          <w:tcPr>
            <w:tcW w:w="70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黑体" w:eastAsia="黑体"/>
              </w:rPr>
            </w:pPr>
          </w:p>
        </w:tc>
        <w:tc>
          <w:tcPr>
            <w:tcW w:w="70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黑体" w:eastAsia="黑体"/>
              </w:rPr>
            </w:pPr>
          </w:p>
        </w:tc>
        <w:tc>
          <w:tcPr>
            <w:tcW w:w="70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jc w:val="center"/>
              <w:rPr>
                <w:rFonts w:ascii="黑体" w:eastAsia="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1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108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1560"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70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70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70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1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108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1560"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70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70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70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1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108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1560"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70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70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70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1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108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1560"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70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70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70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1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108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1560"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70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70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70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1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108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1560"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70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70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70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1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108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1560"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70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70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70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1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108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1560"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113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70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70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709"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15"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pPr>
          </w:p>
        </w:tc>
        <w:tc>
          <w:tcPr>
            <w:tcW w:w="14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left"/>
            </w:pPr>
            <w:r>
              <w:rPr>
                <w:rFonts w:hint="eastAsia"/>
              </w:rPr>
              <w:t>招标人抽取招标控制价K值系数（如果有）</w:t>
            </w:r>
          </w:p>
        </w:tc>
        <w:tc>
          <w:tcPr>
            <w:tcW w:w="5900" w:type="dxa"/>
            <w:gridSpan w:val="7"/>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932"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jc w:val="left"/>
            </w:pPr>
            <w:r>
              <w:rPr>
                <w:rFonts w:hint="eastAsia"/>
              </w:rPr>
              <w:t>招标人签字：</w:t>
            </w:r>
          </w:p>
          <w:p>
            <w:pPr>
              <w:spacing w:line="400" w:lineRule="exact"/>
              <w:jc w:val="left"/>
            </w:pPr>
          </w:p>
        </w:tc>
        <w:tc>
          <w:tcPr>
            <w:tcW w:w="2599" w:type="dxa"/>
            <w:gridSpan w:val="2"/>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spacing w:line="400" w:lineRule="exact"/>
              <w:ind w:firstLine="105" w:firstLineChars="50"/>
              <w:jc w:val="left"/>
            </w:pPr>
            <w:r>
              <w:rPr>
                <w:rFonts w:hint="eastAsia"/>
              </w:rPr>
              <w:t>监督人签字：</w:t>
            </w:r>
          </w:p>
          <w:p>
            <w:pPr>
              <w:spacing w:line="400" w:lineRule="exact"/>
              <w:jc w:val="left"/>
            </w:pPr>
          </w:p>
        </w:tc>
        <w:tc>
          <w:tcPr>
            <w:tcW w:w="3301"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pPr>
            <w:r>
              <w:rPr>
                <w:rFonts w:hint="eastAsia"/>
              </w:rPr>
              <w:t>记录人：</w:t>
            </w:r>
          </w:p>
          <w:p>
            <w:pPr>
              <w:spacing w:line="400" w:lineRule="exact"/>
              <w:rPr>
                <w:sz w:val="18"/>
                <w:szCs w:val="18"/>
              </w:rPr>
            </w:pPr>
          </w:p>
        </w:tc>
      </w:tr>
    </w:tbl>
    <w:p>
      <w:pPr>
        <w:spacing w:line="400" w:lineRule="exact"/>
        <w:rPr>
          <w:rFonts w:ascii="黑体" w:eastAsia="黑体"/>
        </w:rPr>
      </w:pPr>
      <w:r>
        <w:rPr>
          <w:rFonts w:hint="eastAsia" w:ascii="黑体" w:eastAsia="黑体"/>
        </w:rPr>
        <w:t xml:space="preserve"> （二）开标过程中的其他事项记录</w:t>
      </w:r>
    </w:p>
    <w:p>
      <w:pPr>
        <w:spacing w:line="400" w:lineRule="exact"/>
        <w:rPr>
          <w:rFonts w:ascii="黑体" w:eastAsia="黑体"/>
          <w:u w:val="single"/>
        </w:rPr>
      </w:pPr>
    </w:p>
    <w:p>
      <w:pPr>
        <w:spacing w:line="400" w:lineRule="exact"/>
        <w:rPr>
          <w:rFonts w:ascii="黑体" w:eastAsia="黑体"/>
          <w:u w:val="single"/>
        </w:rPr>
      </w:pPr>
    </w:p>
    <w:p>
      <w:pPr>
        <w:spacing w:line="400" w:lineRule="exact"/>
        <w:rPr>
          <w:rFonts w:ascii="黑体" w:eastAsia="黑体"/>
          <w:u w:val="single"/>
        </w:rPr>
      </w:pPr>
    </w:p>
    <w:p>
      <w:pPr>
        <w:widowControl/>
        <w:jc w:val="left"/>
        <w:rPr>
          <w:rFonts w:ascii="黑体" w:eastAsia="黑体"/>
          <w:u w:val="single"/>
        </w:rPr>
      </w:pPr>
      <w:r>
        <w:rPr>
          <w:rFonts w:ascii="黑体" w:eastAsia="黑体"/>
          <w:u w:val="single"/>
        </w:rPr>
        <w:br w:type="page"/>
      </w:r>
    </w:p>
    <w:p>
      <w:pPr>
        <w:spacing w:line="400" w:lineRule="exact"/>
        <w:ind w:firstLine="3780" w:firstLineChars="1800"/>
      </w:pPr>
    </w:p>
    <w:p>
      <w:pPr>
        <w:spacing w:line="400" w:lineRule="exact"/>
        <w:rPr>
          <w:rFonts w:ascii="黑体" w:eastAsia="黑体"/>
          <w:sz w:val="28"/>
          <w:szCs w:val="28"/>
        </w:rPr>
      </w:pPr>
      <w:r>
        <w:rPr>
          <w:rFonts w:hint="eastAsia" w:ascii="黑体" w:eastAsia="黑体"/>
          <w:sz w:val="28"/>
          <w:szCs w:val="28"/>
        </w:rPr>
        <w:t>附表二：问题澄清通知</w:t>
      </w:r>
    </w:p>
    <w:p>
      <w:pPr>
        <w:spacing w:before="312" w:beforeLines="100" w:after="312" w:afterLines="100" w:line="400" w:lineRule="exact"/>
        <w:jc w:val="center"/>
        <w:rPr>
          <w:rFonts w:ascii="黑体" w:eastAsia="黑体"/>
          <w:sz w:val="28"/>
          <w:szCs w:val="28"/>
        </w:rPr>
      </w:pPr>
      <w:r>
        <w:rPr>
          <w:rFonts w:hint="eastAsia" w:ascii="黑体" w:eastAsia="黑体"/>
          <w:sz w:val="28"/>
          <w:szCs w:val="28"/>
        </w:rPr>
        <w:t>问题澄清通知</w:t>
      </w:r>
    </w:p>
    <w:p>
      <w:pPr>
        <w:spacing w:line="400" w:lineRule="exact"/>
        <w:ind w:firstLine="5355" w:firstLineChars="2550"/>
        <w:rPr>
          <w:u w:val="single"/>
        </w:rPr>
      </w:pPr>
      <w:r>
        <w:rPr>
          <w:rFonts w:hint="eastAsia"/>
        </w:rPr>
        <w:t>编号：</w:t>
      </w:r>
    </w:p>
    <w:p>
      <w:pPr>
        <w:spacing w:line="480" w:lineRule="exact"/>
        <w:ind w:firstLine="420" w:firstLineChars="200"/>
      </w:pPr>
      <w:r>
        <w:rPr>
          <w:rFonts w:hint="eastAsia"/>
        </w:rPr>
        <w:t>（投标人名称）：</w:t>
      </w:r>
    </w:p>
    <w:p>
      <w:pPr>
        <w:spacing w:line="480" w:lineRule="exact"/>
        <w:ind w:firstLine="420" w:firstLineChars="200"/>
      </w:pPr>
      <w:r>
        <w:rPr>
          <w:rFonts w:hint="eastAsia"/>
        </w:rPr>
        <w:t>（项目名称）</w:t>
      </w:r>
      <w:r>
        <w:rPr>
          <w:rFonts w:hint="eastAsia"/>
          <w:u w:val="single"/>
        </w:rPr>
        <w:t>标</w:t>
      </w:r>
      <w:r>
        <w:rPr>
          <w:rFonts w:hint="eastAsia"/>
        </w:rPr>
        <w:t>段施工招标的评标委员会，对你方的投标文件进行了仔细的审查，现需你方对本通知所附质疑问卷中的问题以书面或电子形式予以澄清、说明或者补正。</w:t>
      </w:r>
    </w:p>
    <w:p>
      <w:pPr>
        <w:spacing w:line="480" w:lineRule="exact"/>
        <w:ind w:firstLine="420" w:firstLineChars="200"/>
      </w:pPr>
      <w:r>
        <w:rPr>
          <w:rFonts w:hint="eastAsia"/>
        </w:rPr>
        <w:t>请将上述问题的澄清、说明或者补正于年月日时前递交至（唐河县公共资源交易中心询标室）。</w:t>
      </w:r>
    </w:p>
    <w:p>
      <w:pPr>
        <w:spacing w:line="480" w:lineRule="exact"/>
      </w:pPr>
    </w:p>
    <w:p>
      <w:pPr>
        <w:spacing w:line="480" w:lineRule="exact"/>
      </w:pPr>
      <w:r>
        <w:rPr>
          <w:rFonts w:hint="eastAsia"/>
        </w:rPr>
        <w:t>附件：质疑问卷</w:t>
      </w:r>
    </w:p>
    <w:p>
      <w:pPr>
        <w:spacing w:line="480" w:lineRule="exact"/>
        <w:ind w:firstLine="3570" w:firstLineChars="1700"/>
        <w:rPr>
          <w:u w:val="single"/>
        </w:rPr>
      </w:pPr>
    </w:p>
    <w:p>
      <w:pPr>
        <w:spacing w:line="480" w:lineRule="exact"/>
        <w:ind w:firstLine="3570" w:firstLineChars="1700"/>
      </w:pPr>
      <w:r>
        <w:rPr>
          <w:rFonts w:hint="eastAsia"/>
        </w:rPr>
        <w:t>（项目名称）</w:t>
      </w:r>
      <w:r>
        <w:rPr>
          <w:rFonts w:hint="eastAsia" w:ascii="黑体" w:eastAsia="黑体"/>
        </w:rPr>
        <w:t>标段施工招标评标委员会</w:t>
      </w:r>
    </w:p>
    <w:p>
      <w:pPr>
        <w:spacing w:line="480" w:lineRule="exact"/>
        <w:ind w:firstLine="2625" w:firstLineChars="1250"/>
      </w:pPr>
      <w:r>
        <w:rPr>
          <w:rFonts w:hint="eastAsia"/>
        </w:rPr>
        <w:t>（经评标委员会授权的招标人代表签字：）</w:t>
      </w:r>
    </w:p>
    <w:p>
      <w:pPr>
        <w:spacing w:line="480" w:lineRule="exact"/>
        <w:ind w:firstLine="4620" w:firstLineChars="2200"/>
      </w:pPr>
      <w:r>
        <w:rPr>
          <w:rFonts w:hint="eastAsia"/>
        </w:rPr>
        <w:t>年月日</w:t>
      </w:r>
    </w:p>
    <w:p>
      <w:pPr>
        <w:spacing w:line="480" w:lineRule="exact"/>
        <w:rPr>
          <w:rFonts w:ascii="黑体" w:eastAsia="黑体"/>
          <w:sz w:val="28"/>
          <w:szCs w:val="28"/>
        </w:rPr>
      </w:pPr>
      <w:r>
        <w:br w:type="page"/>
      </w:r>
      <w:r>
        <w:rPr>
          <w:rFonts w:hint="eastAsia" w:ascii="黑体" w:eastAsia="黑体"/>
          <w:sz w:val="28"/>
          <w:szCs w:val="28"/>
        </w:rPr>
        <w:t>附表三：问题的澄清</w:t>
      </w:r>
    </w:p>
    <w:p>
      <w:pPr>
        <w:spacing w:before="312" w:beforeLines="100" w:after="312" w:afterLines="100" w:line="480" w:lineRule="exact"/>
        <w:jc w:val="center"/>
        <w:rPr>
          <w:rFonts w:ascii="黑体" w:eastAsia="黑体"/>
          <w:sz w:val="28"/>
          <w:szCs w:val="28"/>
        </w:rPr>
      </w:pPr>
      <w:r>
        <w:rPr>
          <w:rFonts w:hint="eastAsia" w:ascii="黑体" w:eastAsia="黑体"/>
          <w:sz w:val="28"/>
          <w:szCs w:val="28"/>
        </w:rPr>
        <w:t>问题的澄清、说明或补正</w:t>
      </w:r>
    </w:p>
    <w:p>
      <w:pPr>
        <w:spacing w:line="400" w:lineRule="exact"/>
        <w:ind w:firstLine="5355" w:firstLineChars="2550"/>
        <w:rPr>
          <w:u w:val="single"/>
        </w:rPr>
      </w:pPr>
      <w:r>
        <w:rPr>
          <w:rFonts w:hint="eastAsia"/>
        </w:rPr>
        <w:t>编号：</w:t>
      </w:r>
    </w:p>
    <w:p>
      <w:pPr>
        <w:spacing w:line="480" w:lineRule="exact"/>
      </w:pPr>
      <w:r>
        <w:rPr>
          <w:rFonts w:hint="eastAsia"/>
        </w:rPr>
        <w:t>（项目名称）标段施工招标评标委员会：</w:t>
      </w:r>
    </w:p>
    <w:p>
      <w:pPr>
        <w:spacing w:line="480" w:lineRule="exact"/>
        <w:ind w:firstLine="420" w:firstLineChars="200"/>
      </w:pPr>
      <w:r>
        <w:rPr>
          <w:rFonts w:hint="eastAsia"/>
        </w:rPr>
        <w:t>问题澄清通知（编号：）已收悉，现澄清、说明或者补正如下：</w:t>
      </w:r>
    </w:p>
    <w:p>
      <w:pPr>
        <w:spacing w:line="480" w:lineRule="exact"/>
        <w:ind w:firstLine="420" w:firstLineChars="200"/>
      </w:pPr>
      <w:r>
        <w:t>1.</w:t>
      </w:r>
    </w:p>
    <w:p>
      <w:pPr>
        <w:spacing w:line="480" w:lineRule="exact"/>
        <w:ind w:firstLine="420" w:firstLineChars="200"/>
      </w:pPr>
      <w:r>
        <w:t>2.</w:t>
      </w:r>
    </w:p>
    <w:p>
      <w:pPr>
        <w:spacing w:line="480" w:lineRule="exact"/>
        <w:ind w:firstLine="420" w:firstLineChars="200"/>
      </w:pPr>
    </w:p>
    <w:p>
      <w:pPr>
        <w:spacing w:line="480" w:lineRule="exact"/>
        <w:ind w:firstLine="420" w:firstLineChars="200"/>
      </w:pPr>
      <w:r>
        <w:rPr>
          <w:rFonts w:hint="eastAsia"/>
        </w:rPr>
        <w:t>……</w:t>
      </w:r>
    </w:p>
    <w:p>
      <w:pPr>
        <w:spacing w:line="480" w:lineRule="exact"/>
        <w:ind w:firstLine="420" w:firstLineChars="200"/>
      </w:pPr>
    </w:p>
    <w:p>
      <w:pPr>
        <w:spacing w:line="480" w:lineRule="exact"/>
        <w:ind w:firstLine="420" w:firstLineChars="200"/>
      </w:pPr>
    </w:p>
    <w:p>
      <w:pPr>
        <w:spacing w:line="480" w:lineRule="exact"/>
        <w:ind w:firstLine="420" w:firstLineChars="200"/>
      </w:pPr>
    </w:p>
    <w:p>
      <w:pPr>
        <w:spacing w:line="480" w:lineRule="exact"/>
        <w:ind w:firstLine="420" w:firstLineChars="200"/>
      </w:pPr>
    </w:p>
    <w:p>
      <w:pPr>
        <w:spacing w:line="480" w:lineRule="exact"/>
        <w:ind w:firstLine="420" w:firstLineChars="200"/>
      </w:pPr>
    </w:p>
    <w:p>
      <w:pPr>
        <w:spacing w:line="480" w:lineRule="exact"/>
        <w:ind w:firstLine="420" w:firstLineChars="200"/>
      </w:pPr>
    </w:p>
    <w:p>
      <w:pPr>
        <w:wordWrap w:val="0"/>
        <w:spacing w:line="480" w:lineRule="exact"/>
        <w:ind w:firstLine="420" w:firstLineChars="200"/>
        <w:jc w:val="right"/>
      </w:pPr>
      <w:r>
        <w:rPr>
          <w:rFonts w:hint="eastAsia" w:ascii="黑体" w:eastAsia="黑体"/>
        </w:rPr>
        <w:t>投标人：</w:t>
      </w:r>
      <w:r>
        <w:rPr>
          <w:rFonts w:hint="eastAsia"/>
        </w:rPr>
        <w:t>（盖单位章）</w:t>
      </w:r>
    </w:p>
    <w:p>
      <w:pPr>
        <w:wordWrap w:val="0"/>
        <w:spacing w:before="156" w:beforeLines="50" w:after="156" w:afterLines="50" w:line="480" w:lineRule="exact"/>
        <w:jc w:val="right"/>
      </w:pPr>
      <w:r>
        <w:rPr>
          <w:rFonts w:hint="eastAsia" w:ascii="黑体" w:eastAsia="黑体"/>
        </w:rPr>
        <w:t xml:space="preserve">   法定代表人或其委托代理人：</w:t>
      </w:r>
      <w:r>
        <w:rPr>
          <w:rFonts w:hint="eastAsia"/>
        </w:rPr>
        <w:t>（签字）</w:t>
      </w:r>
    </w:p>
    <w:p>
      <w:pPr>
        <w:jc w:val="right"/>
      </w:pPr>
      <w:r>
        <w:rPr>
          <w:rFonts w:hint="eastAsia"/>
        </w:rPr>
        <w:t>年月日</w:t>
      </w:r>
    </w:p>
    <w:p>
      <w:pPr>
        <w:spacing w:line="480" w:lineRule="exact"/>
        <w:rPr>
          <w:rFonts w:ascii="黑体" w:eastAsia="黑体"/>
          <w:sz w:val="28"/>
          <w:szCs w:val="28"/>
        </w:rPr>
      </w:pPr>
      <w:r>
        <w:br w:type="page"/>
      </w:r>
      <w:r>
        <w:rPr>
          <w:rFonts w:hint="eastAsia" w:ascii="黑体" w:eastAsia="黑体"/>
          <w:sz w:val="28"/>
          <w:szCs w:val="28"/>
        </w:rPr>
        <w:t>附表四：中标通知书</w:t>
      </w:r>
    </w:p>
    <w:p>
      <w:pPr>
        <w:spacing w:before="312" w:beforeLines="100" w:after="312" w:afterLines="100" w:line="480" w:lineRule="exact"/>
        <w:jc w:val="center"/>
        <w:rPr>
          <w:rFonts w:ascii="黑体" w:eastAsia="黑体"/>
          <w:sz w:val="28"/>
          <w:szCs w:val="28"/>
        </w:rPr>
      </w:pPr>
      <w:r>
        <w:rPr>
          <w:rFonts w:hint="eastAsia" w:ascii="黑体" w:eastAsia="黑体"/>
          <w:sz w:val="28"/>
          <w:szCs w:val="28"/>
        </w:rPr>
        <w:t>中标通知书</w:t>
      </w:r>
    </w:p>
    <w:p>
      <w:pPr>
        <w:spacing w:line="480" w:lineRule="exact"/>
      </w:pPr>
      <w:r>
        <w:rPr>
          <w:rFonts w:hint="eastAsia"/>
        </w:rPr>
        <w:t>（中标人名称）：</w:t>
      </w:r>
    </w:p>
    <w:p>
      <w:pPr>
        <w:spacing w:line="480" w:lineRule="exact"/>
      </w:pPr>
    </w:p>
    <w:p>
      <w:pPr>
        <w:spacing w:line="480" w:lineRule="exact"/>
        <w:ind w:firstLine="420" w:firstLineChars="200"/>
      </w:pPr>
      <w:r>
        <w:rPr>
          <w:rFonts w:hint="eastAsia"/>
        </w:rPr>
        <w:t>你方于（投标日期）所递交的（项目名称）标段施工投标文件已被我方接受，被确定为中标人。</w:t>
      </w:r>
    </w:p>
    <w:p>
      <w:pPr>
        <w:spacing w:line="480" w:lineRule="exact"/>
        <w:ind w:firstLine="420" w:firstLineChars="200"/>
      </w:pPr>
      <w:r>
        <w:rPr>
          <w:rFonts w:hint="eastAsia"/>
        </w:rPr>
        <w:t>中标价：元。</w:t>
      </w:r>
    </w:p>
    <w:p>
      <w:pPr>
        <w:spacing w:line="480" w:lineRule="exact"/>
        <w:ind w:firstLine="420" w:firstLineChars="200"/>
      </w:pPr>
      <w:r>
        <w:rPr>
          <w:rFonts w:hint="eastAsia"/>
        </w:rPr>
        <w:t>工期：日历天。</w:t>
      </w:r>
    </w:p>
    <w:p>
      <w:pPr>
        <w:spacing w:line="480" w:lineRule="exact"/>
        <w:ind w:firstLine="420" w:firstLineChars="200"/>
      </w:pPr>
      <w:r>
        <w:rPr>
          <w:rFonts w:hint="eastAsia"/>
        </w:rPr>
        <w:t>工程质量：符合标准。</w:t>
      </w:r>
    </w:p>
    <w:p>
      <w:pPr>
        <w:spacing w:line="480" w:lineRule="exact"/>
        <w:ind w:firstLine="420" w:firstLineChars="200"/>
      </w:pPr>
      <w:r>
        <w:rPr>
          <w:rFonts w:hint="eastAsia"/>
        </w:rPr>
        <w:t>项目经理：（姓名）。</w:t>
      </w:r>
    </w:p>
    <w:p>
      <w:pPr>
        <w:spacing w:line="480" w:lineRule="exact"/>
        <w:ind w:firstLine="420" w:firstLineChars="200"/>
      </w:pPr>
    </w:p>
    <w:p>
      <w:pPr>
        <w:spacing w:line="480" w:lineRule="exact"/>
        <w:ind w:firstLine="420" w:firstLineChars="200"/>
      </w:pPr>
      <w:r>
        <w:rPr>
          <w:rFonts w:hint="eastAsia"/>
        </w:rPr>
        <w:t>请你方在接到本通知书后的日内到（指定地点）与我方签订施工承包合同，在此之前按招标文件第二章“投标人须知”第</w:t>
      </w:r>
      <w:r>
        <w:t>7.3</w:t>
      </w:r>
      <w:r>
        <w:rPr>
          <w:rFonts w:hint="eastAsia"/>
        </w:rPr>
        <w:t>款规定向我方提交履约担保；同时我方向中标人提供相同额度的工程款支付担保。</w:t>
      </w:r>
    </w:p>
    <w:p>
      <w:pPr>
        <w:spacing w:line="480" w:lineRule="exact"/>
        <w:ind w:firstLine="420" w:firstLineChars="200"/>
      </w:pPr>
      <w:r>
        <w:rPr>
          <w:rFonts w:hint="eastAsia"/>
        </w:rPr>
        <w:t>特此通知。</w:t>
      </w:r>
    </w:p>
    <w:p>
      <w:pPr>
        <w:spacing w:line="480" w:lineRule="exact"/>
        <w:ind w:firstLine="420" w:firstLineChars="200"/>
      </w:pPr>
    </w:p>
    <w:p>
      <w:pPr>
        <w:spacing w:line="480" w:lineRule="exact"/>
        <w:ind w:firstLine="420" w:firstLineChars="200"/>
      </w:pPr>
    </w:p>
    <w:p>
      <w:pPr>
        <w:spacing w:line="480" w:lineRule="exact"/>
        <w:ind w:firstLine="420" w:firstLineChars="200"/>
      </w:pPr>
    </w:p>
    <w:p>
      <w:pPr>
        <w:spacing w:line="480" w:lineRule="exact"/>
        <w:ind w:firstLine="420" w:firstLineChars="200"/>
      </w:pPr>
    </w:p>
    <w:p>
      <w:pPr>
        <w:wordWrap w:val="0"/>
        <w:spacing w:line="480" w:lineRule="exact"/>
        <w:ind w:firstLine="420" w:firstLineChars="200"/>
        <w:jc w:val="right"/>
      </w:pPr>
      <w:r>
        <w:rPr>
          <w:rFonts w:hint="eastAsia" w:ascii="黑体" w:eastAsia="黑体"/>
        </w:rPr>
        <w:t>招标人：</w:t>
      </w:r>
      <w:r>
        <w:rPr>
          <w:rFonts w:hint="eastAsia"/>
        </w:rPr>
        <w:t>（盖单位章）</w:t>
      </w:r>
    </w:p>
    <w:p>
      <w:pPr>
        <w:wordWrap w:val="0"/>
        <w:spacing w:line="480" w:lineRule="exact"/>
        <w:jc w:val="right"/>
      </w:pPr>
      <w:r>
        <w:rPr>
          <w:rFonts w:hint="eastAsia" w:ascii="黑体" w:eastAsia="黑体"/>
        </w:rPr>
        <w:t>法定代表人：</w:t>
      </w:r>
      <w:r>
        <w:rPr>
          <w:rFonts w:hint="eastAsia"/>
        </w:rPr>
        <w:t>（签字）</w:t>
      </w:r>
    </w:p>
    <w:p>
      <w:pPr>
        <w:jc w:val="right"/>
      </w:pPr>
    </w:p>
    <w:p>
      <w:pPr>
        <w:wordWrap w:val="0"/>
        <w:ind w:right="840" w:firstLine="2730" w:firstLineChars="1300"/>
        <w:jc w:val="right"/>
      </w:pPr>
      <w:r>
        <w:rPr>
          <w:rFonts w:hint="eastAsia"/>
        </w:rPr>
        <w:t>年月日</w:t>
      </w:r>
    </w:p>
    <w:p>
      <w:pPr>
        <w:spacing w:line="480" w:lineRule="exact"/>
        <w:rPr>
          <w:rFonts w:ascii="黑体" w:eastAsia="黑体"/>
          <w:sz w:val="28"/>
          <w:szCs w:val="28"/>
        </w:rPr>
      </w:pPr>
      <w:r>
        <w:br w:type="page"/>
      </w:r>
      <w:r>
        <w:rPr>
          <w:rFonts w:hint="eastAsia" w:ascii="黑体" w:eastAsia="黑体"/>
          <w:sz w:val="28"/>
          <w:szCs w:val="28"/>
        </w:rPr>
        <w:t>附表五：中标结果通知书</w:t>
      </w:r>
    </w:p>
    <w:p>
      <w:pPr>
        <w:spacing w:line="480" w:lineRule="exact"/>
        <w:jc w:val="center"/>
        <w:rPr>
          <w:rFonts w:ascii="黑体" w:eastAsia="黑体"/>
          <w:sz w:val="28"/>
          <w:szCs w:val="28"/>
        </w:rPr>
      </w:pPr>
      <w:r>
        <w:rPr>
          <w:rFonts w:hint="eastAsia" w:ascii="黑体" w:eastAsia="黑体"/>
          <w:sz w:val="28"/>
          <w:szCs w:val="28"/>
        </w:rPr>
        <w:t>中标结果通知书</w:t>
      </w:r>
    </w:p>
    <w:p>
      <w:pPr>
        <w:spacing w:line="480" w:lineRule="exact"/>
      </w:pPr>
      <w:r>
        <w:rPr>
          <w:rFonts w:hint="eastAsia"/>
        </w:rPr>
        <w:t>（未中标人名称）：</w:t>
      </w:r>
    </w:p>
    <w:p>
      <w:pPr>
        <w:spacing w:line="480" w:lineRule="exact"/>
      </w:pPr>
    </w:p>
    <w:p>
      <w:pPr>
        <w:spacing w:line="480" w:lineRule="exact"/>
        <w:ind w:firstLine="420" w:firstLineChars="200"/>
      </w:pPr>
      <w:r>
        <w:rPr>
          <w:rFonts w:hint="eastAsia"/>
        </w:rPr>
        <w:t>我方已接受（中标人名称）于（投标日期）所递交的（项目名称）标段施工投标文件，确定（中标人名称）为中标人。</w:t>
      </w:r>
    </w:p>
    <w:p>
      <w:pPr>
        <w:spacing w:line="480" w:lineRule="exact"/>
        <w:ind w:firstLine="420" w:firstLineChars="200"/>
      </w:pPr>
    </w:p>
    <w:p>
      <w:pPr>
        <w:spacing w:line="480" w:lineRule="exact"/>
        <w:ind w:firstLine="420" w:firstLineChars="200"/>
      </w:pPr>
      <w:r>
        <w:rPr>
          <w:rFonts w:hint="eastAsia"/>
        </w:rPr>
        <w:t>感谢你单位对我方工作的大力支持</w:t>
      </w:r>
      <w:r>
        <w:t>!</w:t>
      </w:r>
    </w:p>
    <w:p>
      <w:pPr>
        <w:spacing w:line="480" w:lineRule="exact"/>
        <w:ind w:firstLine="420" w:firstLineChars="200"/>
      </w:pPr>
    </w:p>
    <w:p>
      <w:pPr>
        <w:spacing w:line="480" w:lineRule="exact"/>
        <w:ind w:firstLine="420" w:firstLineChars="200"/>
      </w:pPr>
    </w:p>
    <w:p>
      <w:pPr>
        <w:spacing w:line="480" w:lineRule="exact"/>
        <w:ind w:firstLine="420" w:firstLineChars="200"/>
      </w:pPr>
    </w:p>
    <w:p>
      <w:pPr>
        <w:spacing w:line="480" w:lineRule="exact"/>
        <w:ind w:firstLine="420" w:firstLineChars="200"/>
      </w:pPr>
    </w:p>
    <w:p>
      <w:pPr>
        <w:wordWrap w:val="0"/>
        <w:spacing w:line="480" w:lineRule="exact"/>
        <w:ind w:firstLine="420" w:firstLineChars="200"/>
        <w:jc w:val="right"/>
      </w:pPr>
      <w:r>
        <w:rPr>
          <w:rFonts w:hint="eastAsia" w:ascii="黑体" w:eastAsia="黑体"/>
        </w:rPr>
        <w:t>招标人：</w:t>
      </w:r>
      <w:r>
        <w:rPr>
          <w:rFonts w:hint="eastAsia"/>
        </w:rPr>
        <w:t>（盖单位章）</w:t>
      </w:r>
    </w:p>
    <w:p>
      <w:pPr>
        <w:wordWrap w:val="0"/>
        <w:spacing w:line="480" w:lineRule="exact"/>
        <w:ind w:firstLine="420" w:firstLineChars="200"/>
        <w:jc w:val="right"/>
      </w:pPr>
      <w:r>
        <w:rPr>
          <w:rFonts w:hint="eastAsia" w:ascii="黑体" w:eastAsia="黑体"/>
        </w:rPr>
        <w:t>法定代表人：</w:t>
      </w:r>
      <w:r>
        <w:rPr>
          <w:rFonts w:hint="eastAsia"/>
        </w:rPr>
        <w:t>（签字）</w:t>
      </w:r>
    </w:p>
    <w:p>
      <w:pPr>
        <w:spacing w:line="480" w:lineRule="exact"/>
        <w:ind w:right="840" w:firstLine="3990" w:firstLineChars="1900"/>
        <w:jc w:val="right"/>
      </w:pPr>
      <w:r>
        <w:rPr>
          <w:rFonts w:hint="eastAsia"/>
        </w:rPr>
        <w:t>年月日</w:t>
      </w:r>
    </w:p>
    <w:p>
      <w:pPr>
        <w:spacing w:line="480" w:lineRule="exact"/>
        <w:rPr>
          <w:rFonts w:ascii="黑体" w:eastAsia="黑体"/>
          <w:sz w:val="28"/>
          <w:szCs w:val="28"/>
        </w:rPr>
      </w:pPr>
      <w:r>
        <w:br w:type="page"/>
      </w:r>
      <w:r>
        <w:rPr>
          <w:rFonts w:hint="eastAsia" w:ascii="黑体" w:eastAsia="黑体"/>
          <w:sz w:val="28"/>
          <w:szCs w:val="28"/>
        </w:rPr>
        <w:t>附表六：确认通知</w:t>
      </w:r>
    </w:p>
    <w:p>
      <w:pPr>
        <w:spacing w:line="480" w:lineRule="exact"/>
        <w:jc w:val="center"/>
        <w:rPr>
          <w:rFonts w:ascii="黑体" w:eastAsia="黑体"/>
          <w:sz w:val="28"/>
          <w:szCs w:val="28"/>
        </w:rPr>
      </w:pPr>
      <w:r>
        <w:rPr>
          <w:rFonts w:hint="eastAsia" w:ascii="黑体" w:eastAsia="黑体"/>
          <w:sz w:val="28"/>
          <w:szCs w:val="28"/>
        </w:rPr>
        <w:t>确认通知</w:t>
      </w:r>
    </w:p>
    <w:p>
      <w:pPr>
        <w:spacing w:line="480" w:lineRule="exact"/>
      </w:pPr>
      <w:r>
        <w:rPr>
          <w:rFonts w:hint="eastAsia"/>
        </w:rPr>
        <w:t>（招标人名称）：</w:t>
      </w:r>
    </w:p>
    <w:p>
      <w:pPr>
        <w:spacing w:line="480" w:lineRule="exact"/>
      </w:pPr>
    </w:p>
    <w:p>
      <w:pPr>
        <w:spacing w:line="480" w:lineRule="exact"/>
        <w:ind w:firstLine="420" w:firstLineChars="200"/>
      </w:pPr>
      <w:r>
        <w:rPr>
          <w:rFonts w:hint="eastAsia"/>
        </w:rPr>
        <w:t>你方年月日发出的（项目名称）标段施工招标关于</w:t>
      </w:r>
    </w:p>
    <w:p>
      <w:pPr>
        <w:spacing w:line="480" w:lineRule="exact"/>
      </w:pPr>
      <w:r>
        <w:rPr>
          <w:rFonts w:hint="eastAsia"/>
        </w:rPr>
        <w:t>的通知，我方已于年月日收到。</w:t>
      </w:r>
    </w:p>
    <w:p>
      <w:pPr>
        <w:spacing w:line="480" w:lineRule="exact"/>
        <w:ind w:firstLine="420" w:firstLineChars="200"/>
      </w:pPr>
    </w:p>
    <w:p>
      <w:pPr>
        <w:spacing w:line="480" w:lineRule="exact"/>
        <w:ind w:firstLine="420" w:firstLineChars="200"/>
      </w:pPr>
      <w:r>
        <w:rPr>
          <w:rFonts w:hint="eastAsia"/>
        </w:rPr>
        <w:t>特此确认。</w:t>
      </w:r>
    </w:p>
    <w:p>
      <w:pPr>
        <w:spacing w:line="480" w:lineRule="exact"/>
        <w:ind w:firstLine="420" w:firstLineChars="200"/>
      </w:pPr>
    </w:p>
    <w:p>
      <w:pPr>
        <w:spacing w:line="480" w:lineRule="exact"/>
        <w:ind w:firstLine="420" w:firstLineChars="200"/>
      </w:pPr>
    </w:p>
    <w:p>
      <w:pPr>
        <w:spacing w:line="480" w:lineRule="exact"/>
        <w:ind w:firstLine="420" w:firstLineChars="200"/>
      </w:pPr>
    </w:p>
    <w:p>
      <w:pPr>
        <w:spacing w:line="480" w:lineRule="exact"/>
        <w:ind w:firstLine="420" w:firstLineChars="200"/>
      </w:pPr>
    </w:p>
    <w:p>
      <w:pPr>
        <w:wordWrap w:val="0"/>
        <w:spacing w:line="480" w:lineRule="exact"/>
        <w:ind w:firstLine="420" w:firstLineChars="200"/>
        <w:jc w:val="right"/>
      </w:pPr>
      <w:r>
        <w:rPr>
          <w:rFonts w:hint="eastAsia" w:ascii="黑体" w:eastAsia="黑体"/>
        </w:rPr>
        <w:t>投标人：</w:t>
      </w:r>
      <w:r>
        <w:rPr>
          <w:rFonts w:hint="eastAsia"/>
        </w:rPr>
        <w:t>（盖单位章）</w:t>
      </w:r>
    </w:p>
    <w:p>
      <w:pPr>
        <w:wordWrap w:val="0"/>
        <w:spacing w:line="480" w:lineRule="exact"/>
        <w:jc w:val="right"/>
      </w:pPr>
      <w:r>
        <w:rPr>
          <w:rFonts w:hint="eastAsia"/>
        </w:rPr>
        <w:t>年月日</w:t>
      </w:r>
    </w:p>
    <w:p>
      <w:r>
        <w:br w:type="page"/>
      </w:r>
    </w:p>
    <w:p>
      <w:pPr>
        <w:pStyle w:val="2"/>
        <w:jc w:val="center"/>
      </w:pPr>
      <w:bookmarkStart w:id="375" w:name="_Toc2990"/>
      <w:r>
        <w:rPr>
          <w:rFonts w:hint="eastAsia"/>
        </w:rPr>
        <w:t>第三章 评标办法</w:t>
      </w:r>
      <w:r>
        <w:t>（综合</w:t>
      </w:r>
      <w:r>
        <w:rPr>
          <w:rFonts w:hint="eastAsia"/>
        </w:rPr>
        <w:t>评估</w:t>
      </w:r>
      <w:r>
        <w:t>法）</w:t>
      </w:r>
      <w:bookmarkEnd w:id="375"/>
    </w:p>
    <w:p>
      <w:pPr>
        <w:pStyle w:val="4"/>
      </w:pPr>
      <w:bookmarkStart w:id="376" w:name="_Toc30170"/>
      <w:r>
        <w:rPr>
          <w:rFonts w:hint="eastAsia"/>
        </w:rPr>
        <w:t>一、评标办法前附表</w:t>
      </w:r>
      <w:bookmarkEnd w:id="376"/>
    </w:p>
    <w:tbl>
      <w:tblPr>
        <w:tblStyle w:val="44"/>
        <w:tblW w:w="85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148"/>
        <w:gridCol w:w="2321"/>
        <w:gridCol w:w="4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9" w:type="dxa"/>
            <w:gridSpan w:val="2"/>
            <w:vAlign w:val="center"/>
          </w:tcPr>
          <w:p>
            <w:pPr>
              <w:jc w:val="center"/>
              <w:rPr>
                <w:rFonts w:ascii="宋体" w:hAnsi="宋体"/>
                <w:szCs w:val="21"/>
              </w:rPr>
            </w:pPr>
            <w:r>
              <w:rPr>
                <w:rFonts w:hint="eastAsia" w:ascii="宋体" w:hAnsi="宋体"/>
                <w:szCs w:val="21"/>
              </w:rPr>
              <w:t>条款号</w:t>
            </w:r>
          </w:p>
        </w:tc>
        <w:tc>
          <w:tcPr>
            <w:tcW w:w="2321" w:type="dxa"/>
            <w:vAlign w:val="center"/>
          </w:tcPr>
          <w:p>
            <w:pPr>
              <w:jc w:val="center"/>
              <w:rPr>
                <w:rFonts w:ascii="宋体" w:hAnsi="宋体"/>
                <w:szCs w:val="21"/>
              </w:rPr>
            </w:pPr>
            <w:r>
              <w:rPr>
                <w:rFonts w:hint="eastAsia" w:ascii="宋体" w:hAnsi="宋体"/>
                <w:szCs w:val="21"/>
              </w:rPr>
              <w:t>评审因素</w:t>
            </w:r>
          </w:p>
        </w:tc>
        <w:tc>
          <w:tcPr>
            <w:tcW w:w="4305" w:type="dxa"/>
            <w:vAlign w:val="center"/>
          </w:tcPr>
          <w:p>
            <w:pPr>
              <w:jc w:val="center"/>
              <w:rPr>
                <w:rFonts w:ascii="宋体" w:hAnsi="宋体"/>
                <w:szCs w:val="21"/>
              </w:rPr>
            </w:pPr>
            <w:r>
              <w:rPr>
                <w:rFonts w:hint="eastAsia" w:ascii="宋体" w:hAnsi="宋体"/>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restart"/>
            <w:vAlign w:val="center"/>
          </w:tcPr>
          <w:p>
            <w:pPr>
              <w:jc w:val="center"/>
              <w:rPr>
                <w:rFonts w:ascii="宋体" w:hAnsi="宋体"/>
                <w:szCs w:val="21"/>
              </w:rPr>
            </w:pPr>
            <w:r>
              <w:rPr>
                <w:rFonts w:hint="eastAsia" w:ascii="宋体" w:hAnsi="宋体"/>
                <w:szCs w:val="21"/>
              </w:rPr>
              <w:t>1.1.1</w:t>
            </w:r>
          </w:p>
        </w:tc>
        <w:tc>
          <w:tcPr>
            <w:tcW w:w="1148" w:type="dxa"/>
            <w:vMerge w:val="restart"/>
            <w:vAlign w:val="center"/>
          </w:tcPr>
          <w:p>
            <w:pPr>
              <w:jc w:val="center"/>
              <w:rPr>
                <w:rFonts w:ascii="宋体" w:hAnsi="宋体"/>
                <w:szCs w:val="21"/>
              </w:rPr>
            </w:pPr>
            <w:r>
              <w:rPr>
                <w:rFonts w:hint="eastAsia" w:ascii="宋体" w:hAnsi="宋体"/>
                <w:szCs w:val="21"/>
              </w:rPr>
              <w:t>形式评审</w:t>
            </w:r>
          </w:p>
          <w:p>
            <w:pPr>
              <w:jc w:val="center"/>
              <w:rPr>
                <w:rFonts w:ascii="宋体" w:hAnsi="宋体"/>
                <w:szCs w:val="21"/>
              </w:rPr>
            </w:pPr>
            <w:r>
              <w:rPr>
                <w:rFonts w:hint="eastAsia" w:ascii="宋体" w:hAnsi="宋体"/>
                <w:szCs w:val="21"/>
              </w:rPr>
              <w:t>标   准</w:t>
            </w:r>
          </w:p>
        </w:tc>
        <w:tc>
          <w:tcPr>
            <w:tcW w:w="2321" w:type="dxa"/>
            <w:vAlign w:val="center"/>
          </w:tcPr>
          <w:p>
            <w:pPr>
              <w:rPr>
                <w:rFonts w:ascii="宋体" w:hAnsi="宋体"/>
                <w:szCs w:val="21"/>
              </w:rPr>
            </w:pPr>
            <w:r>
              <w:rPr>
                <w:rFonts w:hint="eastAsia" w:ascii="宋体" w:hAnsi="宋体"/>
                <w:szCs w:val="21"/>
              </w:rPr>
              <w:t>投标人名称</w:t>
            </w:r>
          </w:p>
        </w:tc>
        <w:tc>
          <w:tcPr>
            <w:tcW w:w="4305" w:type="dxa"/>
            <w:vAlign w:val="center"/>
          </w:tcPr>
          <w:p>
            <w:pPr>
              <w:rPr>
                <w:rFonts w:ascii="宋体" w:hAnsi="宋体"/>
                <w:szCs w:val="21"/>
              </w:rPr>
            </w:pPr>
            <w:r>
              <w:rPr>
                <w:rFonts w:hint="eastAsia" w:ascii="宋体" w:hAnsi="宋体"/>
                <w:szCs w:val="21"/>
              </w:rPr>
              <w:t>与营业执照、资质证书、安全生产许可证一致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751" w:type="dxa"/>
            <w:vMerge w:val="continue"/>
            <w:vAlign w:val="center"/>
          </w:tcPr>
          <w:p>
            <w:pPr>
              <w:jc w:val="center"/>
              <w:rPr>
                <w:rFonts w:ascii="宋体" w:hAnsi="宋体"/>
                <w:szCs w:val="21"/>
              </w:rPr>
            </w:pPr>
          </w:p>
        </w:tc>
        <w:tc>
          <w:tcPr>
            <w:tcW w:w="1148" w:type="dxa"/>
            <w:vMerge w:val="continue"/>
            <w:vAlign w:val="center"/>
          </w:tcPr>
          <w:p>
            <w:pPr>
              <w:jc w:val="center"/>
              <w:rPr>
                <w:rFonts w:ascii="宋体" w:hAnsi="宋体"/>
                <w:szCs w:val="21"/>
              </w:rPr>
            </w:pPr>
          </w:p>
        </w:tc>
        <w:tc>
          <w:tcPr>
            <w:tcW w:w="2321" w:type="dxa"/>
            <w:vAlign w:val="center"/>
          </w:tcPr>
          <w:p>
            <w:pPr>
              <w:rPr>
                <w:rFonts w:ascii="宋体" w:hAnsi="宋体"/>
                <w:szCs w:val="21"/>
              </w:rPr>
            </w:pPr>
            <w:r>
              <w:rPr>
                <w:rFonts w:hint="eastAsia" w:ascii="宋体" w:hAnsi="宋体"/>
                <w:szCs w:val="21"/>
              </w:rPr>
              <w:t>投标函签字盖章</w:t>
            </w:r>
          </w:p>
        </w:tc>
        <w:tc>
          <w:tcPr>
            <w:tcW w:w="4305" w:type="dxa"/>
            <w:vAlign w:val="center"/>
          </w:tcPr>
          <w:p>
            <w:pPr>
              <w:rPr>
                <w:rFonts w:ascii="宋体" w:hAnsi="宋体"/>
                <w:szCs w:val="21"/>
              </w:rPr>
            </w:pPr>
            <w:r>
              <w:rPr>
                <w:rFonts w:hint="eastAsia" w:ascii="宋体" w:hAnsi="宋体"/>
                <w:szCs w:val="21"/>
              </w:rPr>
              <w:t>有法定代表人电子签名并加盖单位电子签章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vAlign w:val="center"/>
          </w:tcPr>
          <w:p>
            <w:pPr>
              <w:jc w:val="center"/>
              <w:rPr>
                <w:rFonts w:ascii="宋体" w:hAnsi="宋体"/>
                <w:szCs w:val="21"/>
              </w:rPr>
            </w:pPr>
          </w:p>
        </w:tc>
        <w:tc>
          <w:tcPr>
            <w:tcW w:w="1148" w:type="dxa"/>
            <w:vMerge w:val="continue"/>
            <w:vAlign w:val="center"/>
          </w:tcPr>
          <w:p>
            <w:pPr>
              <w:jc w:val="center"/>
              <w:rPr>
                <w:rFonts w:ascii="宋体" w:hAnsi="宋体"/>
                <w:szCs w:val="21"/>
              </w:rPr>
            </w:pPr>
          </w:p>
        </w:tc>
        <w:tc>
          <w:tcPr>
            <w:tcW w:w="2321" w:type="dxa"/>
            <w:vAlign w:val="center"/>
          </w:tcPr>
          <w:p>
            <w:pPr>
              <w:rPr>
                <w:rFonts w:ascii="宋体" w:hAnsi="宋体"/>
                <w:szCs w:val="21"/>
              </w:rPr>
            </w:pPr>
            <w:r>
              <w:rPr>
                <w:rFonts w:hint="eastAsia" w:ascii="宋体" w:hAnsi="宋体"/>
                <w:szCs w:val="21"/>
              </w:rPr>
              <w:t>投标文件格式</w:t>
            </w:r>
          </w:p>
        </w:tc>
        <w:tc>
          <w:tcPr>
            <w:tcW w:w="4305" w:type="dxa"/>
            <w:vAlign w:val="center"/>
          </w:tcPr>
          <w:p>
            <w:pPr>
              <w:rPr>
                <w:rFonts w:ascii="宋体" w:hAnsi="宋体"/>
                <w:szCs w:val="21"/>
              </w:rPr>
            </w:pPr>
            <w:r>
              <w:rPr>
                <w:rFonts w:hint="eastAsia" w:ascii="宋体" w:hAnsi="宋体"/>
                <w:szCs w:val="21"/>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vAlign w:val="center"/>
          </w:tcPr>
          <w:p>
            <w:pPr>
              <w:jc w:val="center"/>
              <w:rPr>
                <w:rFonts w:ascii="宋体" w:hAnsi="宋体"/>
                <w:szCs w:val="21"/>
              </w:rPr>
            </w:pPr>
          </w:p>
        </w:tc>
        <w:tc>
          <w:tcPr>
            <w:tcW w:w="1148" w:type="dxa"/>
            <w:vMerge w:val="continue"/>
            <w:vAlign w:val="center"/>
          </w:tcPr>
          <w:p>
            <w:pPr>
              <w:jc w:val="center"/>
              <w:rPr>
                <w:rFonts w:ascii="宋体" w:hAnsi="宋体"/>
                <w:szCs w:val="21"/>
              </w:rPr>
            </w:pPr>
          </w:p>
        </w:tc>
        <w:tc>
          <w:tcPr>
            <w:tcW w:w="2321" w:type="dxa"/>
            <w:vAlign w:val="center"/>
          </w:tcPr>
          <w:p>
            <w:pPr>
              <w:rPr>
                <w:rFonts w:ascii="宋体" w:hAnsi="宋体"/>
                <w:szCs w:val="21"/>
              </w:rPr>
            </w:pPr>
            <w:r>
              <w:rPr>
                <w:rFonts w:hint="eastAsia" w:ascii="宋体" w:hAnsi="宋体"/>
                <w:szCs w:val="21"/>
              </w:rPr>
              <w:t>联合体投标人（如有）</w:t>
            </w:r>
          </w:p>
        </w:tc>
        <w:tc>
          <w:tcPr>
            <w:tcW w:w="4305" w:type="dxa"/>
            <w:vAlign w:val="center"/>
          </w:tcPr>
          <w:p>
            <w:pPr>
              <w:rPr>
                <w:rFonts w:ascii="宋体" w:hAnsi="宋体"/>
                <w:szCs w:val="21"/>
              </w:rPr>
            </w:pPr>
            <w:r>
              <w:rPr>
                <w:rFonts w:hint="eastAsia" w:ascii="宋体" w:hAnsi="宋体"/>
                <w:szCs w:val="21"/>
              </w:rPr>
              <w:t>提交联合体协议书，并明确联合体牵头人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vAlign w:val="center"/>
          </w:tcPr>
          <w:p>
            <w:pPr>
              <w:jc w:val="center"/>
              <w:rPr>
                <w:rFonts w:ascii="宋体" w:hAnsi="宋体"/>
                <w:szCs w:val="21"/>
              </w:rPr>
            </w:pPr>
          </w:p>
        </w:tc>
        <w:tc>
          <w:tcPr>
            <w:tcW w:w="1148" w:type="dxa"/>
            <w:vMerge w:val="continue"/>
            <w:vAlign w:val="center"/>
          </w:tcPr>
          <w:p>
            <w:pPr>
              <w:jc w:val="center"/>
              <w:rPr>
                <w:rFonts w:ascii="宋体" w:hAnsi="宋体"/>
                <w:szCs w:val="21"/>
              </w:rPr>
            </w:pPr>
          </w:p>
        </w:tc>
        <w:tc>
          <w:tcPr>
            <w:tcW w:w="2321" w:type="dxa"/>
            <w:vAlign w:val="center"/>
          </w:tcPr>
          <w:p>
            <w:pPr>
              <w:rPr>
                <w:rFonts w:ascii="宋体" w:hAnsi="宋体"/>
                <w:szCs w:val="21"/>
              </w:rPr>
            </w:pPr>
            <w:r>
              <w:rPr>
                <w:rFonts w:hint="eastAsia" w:ascii="宋体" w:hAnsi="宋体"/>
                <w:szCs w:val="21"/>
              </w:rPr>
              <w:t>报价唯一</w:t>
            </w:r>
          </w:p>
        </w:tc>
        <w:tc>
          <w:tcPr>
            <w:tcW w:w="4305" w:type="dxa"/>
            <w:vAlign w:val="center"/>
          </w:tcPr>
          <w:p>
            <w:pPr>
              <w:rPr>
                <w:rFonts w:ascii="宋体" w:hAnsi="宋体"/>
                <w:szCs w:val="21"/>
              </w:rPr>
            </w:pPr>
            <w:r>
              <w:rPr>
                <w:rFonts w:hint="eastAsia" w:ascii="宋体" w:hAnsi="宋体"/>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restart"/>
            <w:vAlign w:val="center"/>
          </w:tcPr>
          <w:p>
            <w:pPr>
              <w:jc w:val="center"/>
              <w:rPr>
                <w:rFonts w:ascii="宋体" w:hAnsi="宋体"/>
                <w:szCs w:val="21"/>
              </w:rPr>
            </w:pPr>
            <w:r>
              <w:rPr>
                <w:rFonts w:hint="eastAsia" w:ascii="宋体" w:hAnsi="宋体"/>
                <w:szCs w:val="21"/>
              </w:rPr>
              <w:t>1.1.2</w:t>
            </w:r>
          </w:p>
        </w:tc>
        <w:tc>
          <w:tcPr>
            <w:tcW w:w="1148" w:type="dxa"/>
            <w:vMerge w:val="restart"/>
            <w:vAlign w:val="center"/>
          </w:tcPr>
          <w:p>
            <w:pPr>
              <w:jc w:val="center"/>
              <w:rPr>
                <w:rFonts w:ascii="宋体" w:hAnsi="宋体"/>
                <w:szCs w:val="21"/>
              </w:rPr>
            </w:pPr>
            <w:r>
              <w:rPr>
                <w:rFonts w:hint="eastAsia" w:ascii="宋体" w:hAnsi="宋体"/>
                <w:szCs w:val="21"/>
              </w:rPr>
              <w:t>资格评审标  准</w:t>
            </w:r>
          </w:p>
        </w:tc>
        <w:tc>
          <w:tcPr>
            <w:tcW w:w="2321" w:type="dxa"/>
          </w:tcPr>
          <w:p>
            <w:r>
              <w:rPr>
                <w:rFonts w:hint="eastAsia"/>
              </w:rPr>
              <w:t>营业执照</w:t>
            </w:r>
          </w:p>
        </w:tc>
        <w:tc>
          <w:tcPr>
            <w:tcW w:w="4305" w:type="dxa"/>
          </w:tcPr>
          <w:p>
            <w:r>
              <w:rPr>
                <w:rFonts w:hint="eastAsia"/>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vAlign w:val="center"/>
          </w:tcPr>
          <w:p>
            <w:pPr>
              <w:jc w:val="center"/>
              <w:rPr>
                <w:rFonts w:ascii="宋体" w:hAnsi="宋体"/>
                <w:szCs w:val="21"/>
              </w:rPr>
            </w:pPr>
          </w:p>
        </w:tc>
        <w:tc>
          <w:tcPr>
            <w:tcW w:w="1148" w:type="dxa"/>
            <w:vMerge w:val="continue"/>
            <w:vAlign w:val="center"/>
          </w:tcPr>
          <w:p>
            <w:pPr>
              <w:jc w:val="center"/>
              <w:rPr>
                <w:rFonts w:ascii="宋体" w:hAnsi="宋体"/>
                <w:szCs w:val="21"/>
              </w:rPr>
            </w:pPr>
          </w:p>
        </w:tc>
        <w:tc>
          <w:tcPr>
            <w:tcW w:w="2321" w:type="dxa"/>
          </w:tcPr>
          <w:p>
            <w:r>
              <w:rPr>
                <w:rFonts w:hint="eastAsia"/>
              </w:rPr>
              <w:t>安全生产许可证</w:t>
            </w:r>
          </w:p>
        </w:tc>
        <w:tc>
          <w:tcPr>
            <w:tcW w:w="4305" w:type="dxa"/>
          </w:tcPr>
          <w:p>
            <w:r>
              <w:rPr>
                <w:rFonts w:hint="eastAsia"/>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vAlign w:val="center"/>
          </w:tcPr>
          <w:p>
            <w:pPr>
              <w:jc w:val="center"/>
              <w:rPr>
                <w:rFonts w:ascii="宋体" w:hAnsi="宋体"/>
                <w:szCs w:val="21"/>
              </w:rPr>
            </w:pPr>
          </w:p>
        </w:tc>
        <w:tc>
          <w:tcPr>
            <w:tcW w:w="1148" w:type="dxa"/>
            <w:vMerge w:val="continue"/>
            <w:vAlign w:val="center"/>
          </w:tcPr>
          <w:p>
            <w:pPr>
              <w:jc w:val="center"/>
              <w:rPr>
                <w:rFonts w:ascii="宋体" w:hAnsi="宋体"/>
                <w:szCs w:val="21"/>
              </w:rPr>
            </w:pPr>
          </w:p>
        </w:tc>
        <w:tc>
          <w:tcPr>
            <w:tcW w:w="2321" w:type="dxa"/>
          </w:tcPr>
          <w:p>
            <w:r>
              <w:rPr>
                <w:rFonts w:hint="eastAsia"/>
              </w:rPr>
              <w:t>资质等级</w:t>
            </w:r>
          </w:p>
        </w:tc>
        <w:tc>
          <w:tcPr>
            <w:tcW w:w="4305" w:type="dxa"/>
          </w:tcPr>
          <w:p>
            <w:r>
              <w:rPr>
                <w:rFonts w:hint="eastAsia"/>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vAlign w:val="center"/>
          </w:tcPr>
          <w:p>
            <w:pPr>
              <w:jc w:val="center"/>
              <w:rPr>
                <w:rFonts w:ascii="宋体" w:hAnsi="宋体"/>
                <w:szCs w:val="21"/>
              </w:rPr>
            </w:pPr>
          </w:p>
        </w:tc>
        <w:tc>
          <w:tcPr>
            <w:tcW w:w="1148" w:type="dxa"/>
            <w:vMerge w:val="continue"/>
            <w:vAlign w:val="center"/>
          </w:tcPr>
          <w:p>
            <w:pPr>
              <w:jc w:val="center"/>
              <w:rPr>
                <w:rFonts w:ascii="宋体" w:hAnsi="宋体"/>
                <w:szCs w:val="21"/>
              </w:rPr>
            </w:pPr>
          </w:p>
        </w:tc>
        <w:tc>
          <w:tcPr>
            <w:tcW w:w="2321" w:type="dxa"/>
          </w:tcPr>
          <w:p>
            <w:r>
              <w:rPr>
                <w:rFonts w:hint="eastAsia"/>
              </w:rPr>
              <w:t>财务状况</w:t>
            </w:r>
          </w:p>
        </w:tc>
        <w:tc>
          <w:tcPr>
            <w:tcW w:w="4305" w:type="dxa"/>
          </w:tcPr>
          <w:p>
            <w:r>
              <w:rPr>
                <w:rFonts w:hint="eastAsia"/>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vAlign w:val="center"/>
          </w:tcPr>
          <w:p>
            <w:pPr>
              <w:jc w:val="center"/>
              <w:rPr>
                <w:rFonts w:ascii="宋体" w:hAnsi="宋体"/>
                <w:szCs w:val="21"/>
              </w:rPr>
            </w:pPr>
          </w:p>
        </w:tc>
        <w:tc>
          <w:tcPr>
            <w:tcW w:w="1148" w:type="dxa"/>
            <w:vMerge w:val="continue"/>
            <w:vAlign w:val="center"/>
          </w:tcPr>
          <w:p>
            <w:pPr>
              <w:jc w:val="center"/>
              <w:rPr>
                <w:rFonts w:ascii="宋体" w:hAnsi="宋体"/>
                <w:szCs w:val="21"/>
              </w:rPr>
            </w:pPr>
          </w:p>
        </w:tc>
        <w:tc>
          <w:tcPr>
            <w:tcW w:w="2321" w:type="dxa"/>
          </w:tcPr>
          <w:p>
            <w:r>
              <w:rPr>
                <w:rFonts w:hint="eastAsia"/>
              </w:rPr>
              <w:t>信誉</w:t>
            </w:r>
          </w:p>
        </w:tc>
        <w:tc>
          <w:tcPr>
            <w:tcW w:w="4305" w:type="dxa"/>
          </w:tcPr>
          <w:p>
            <w:r>
              <w:rPr>
                <w:rFonts w:hint="eastAsia"/>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vAlign w:val="center"/>
          </w:tcPr>
          <w:p>
            <w:pPr>
              <w:jc w:val="center"/>
              <w:rPr>
                <w:rFonts w:ascii="宋体" w:hAnsi="宋体"/>
                <w:szCs w:val="21"/>
              </w:rPr>
            </w:pPr>
          </w:p>
        </w:tc>
        <w:tc>
          <w:tcPr>
            <w:tcW w:w="1148" w:type="dxa"/>
            <w:vMerge w:val="continue"/>
            <w:vAlign w:val="center"/>
          </w:tcPr>
          <w:p>
            <w:pPr>
              <w:jc w:val="center"/>
              <w:rPr>
                <w:rFonts w:ascii="宋体" w:hAnsi="宋体"/>
                <w:szCs w:val="21"/>
              </w:rPr>
            </w:pPr>
          </w:p>
        </w:tc>
        <w:tc>
          <w:tcPr>
            <w:tcW w:w="2321" w:type="dxa"/>
          </w:tcPr>
          <w:p>
            <w:r>
              <w:rPr>
                <w:rFonts w:hint="eastAsia"/>
              </w:rPr>
              <w:t>项目经理</w:t>
            </w:r>
          </w:p>
        </w:tc>
        <w:tc>
          <w:tcPr>
            <w:tcW w:w="4305" w:type="dxa"/>
          </w:tcPr>
          <w:p>
            <w:r>
              <w:rPr>
                <w:rFonts w:hint="eastAsia"/>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vAlign w:val="center"/>
          </w:tcPr>
          <w:p>
            <w:pPr>
              <w:jc w:val="center"/>
              <w:rPr>
                <w:rFonts w:ascii="宋体" w:hAnsi="宋体"/>
                <w:szCs w:val="21"/>
              </w:rPr>
            </w:pPr>
          </w:p>
        </w:tc>
        <w:tc>
          <w:tcPr>
            <w:tcW w:w="1148" w:type="dxa"/>
            <w:vMerge w:val="continue"/>
            <w:vAlign w:val="center"/>
          </w:tcPr>
          <w:p>
            <w:pPr>
              <w:jc w:val="center"/>
              <w:rPr>
                <w:rFonts w:ascii="宋体" w:hAnsi="宋体"/>
                <w:szCs w:val="21"/>
              </w:rPr>
            </w:pPr>
          </w:p>
        </w:tc>
        <w:tc>
          <w:tcPr>
            <w:tcW w:w="2321" w:type="dxa"/>
          </w:tcPr>
          <w:p>
            <w:r>
              <w:rPr>
                <w:rFonts w:hint="eastAsia"/>
              </w:rPr>
              <w:t>其他要求</w:t>
            </w:r>
          </w:p>
        </w:tc>
        <w:tc>
          <w:tcPr>
            <w:tcW w:w="4305" w:type="dxa"/>
          </w:tcPr>
          <w:p>
            <w:r>
              <w:rPr>
                <w:rFonts w:hint="eastAsia"/>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vAlign w:val="center"/>
          </w:tcPr>
          <w:p>
            <w:pPr>
              <w:jc w:val="center"/>
              <w:rPr>
                <w:rFonts w:ascii="宋体" w:hAnsi="宋体"/>
                <w:szCs w:val="21"/>
              </w:rPr>
            </w:pPr>
          </w:p>
        </w:tc>
        <w:tc>
          <w:tcPr>
            <w:tcW w:w="1148" w:type="dxa"/>
            <w:vMerge w:val="continue"/>
            <w:vAlign w:val="center"/>
          </w:tcPr>
          <w:p>
            <w:pPr>
              <w:jc w:val="center"/>
              <w:rPr>
                <w:rFonts w:ascii="宋体" w:hAnsi="宋体"/>
                <w:szCs w:val="21"/>
              </w:rPr>
            </w:pPr>
          </w:p>
        </w:tc>
        <w:tc>
          <w:tcPr>
            <w:tcW w:w="2321" w:type="dxa"/>
          </w:tcPr>
          <w:p>
            <w:r>
              <w:rPr>
                <w:rFonts w:hint="eastAsia"/>
              </w:rPr>
              <w:t>/</w:t>
            </w:r>
          </w:p>
        </w:tc>
        <w:tc>
          <w:tcPr>
            <w:tcW w:w="4305"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restart"/>
            <w:vAlign w:val="center"/>
          </w:tcPr>
          <w:p>
            <w:pPr>
              <w:jc w:val="center"/>
              <w:rPr>
                <w:rFonts w:ascii="宋体" w:hAnsi="宋体"/>
                <w:szCs w:val="21"/>
              </w:rPr>
            </w:pPr>
            <w:r>
              <w:rPr>
                <w:rFonts w:hint="eastAsia" w:ascii="宋体" w:hAnsi="宋体"/>
                <w:szCs w:val="21"/>
              </w:rPr>
              <w:t>1.1.3</w:t>
            </w:r>
          </w:p>
        </w:tc>
        <w:tc>
          <w:tcPr>
            <w:tcW w:w="1148" w:type="dxa"/>
            <w:vMerge w:val="restart"/>
            <w:vAlign w:val="center"/>
          </w:tcPr>
          <w:p>
            <w:pPr>
              <w:jc w:val="center"/>
              <w:rPr>
                <w:rFonts w:ascii="宋体" w:hAnsi="宋体"/>
                <w:szCs w:val="21"/>
              </w:rPr>
            </w:pPr>
            <w:r>
              <w:rPr>
                <w:rFonts w:hint="eastAsia" w:ascii="宋体" w:hAnsi="宋体"/>
                <w:szCs w:val="21"/>
              </w:rPr>
              <w:t>响 应 性</w:t>
            </w:r>
          </w:p>
          <w:p>
            <w:pPr>
              <w:jc w:val="center"/>
              <w:rPr>
                <w:rFonts w:ascii="宋体" w:hAnsi="宋体"/>
                <w:szCs w:val="21"/>
              </w:rPr>
            </w:pPr>
            <w:r>
              <w:rPr>
                <w:rFonts w:hint="eastAsia" w:ascii="宋体" w:hAnsi="宋体"/>
                <w:szCs w:val="21"/>
              </w:rPr>
              <w:t>评审标准</w:t>
            </w:r>
          </w:p>
        </w:tc>
        <w:tc>
          <w:tcPr>
            <w:tcW w:w="2321" w:type="dxa"/>
            <w:vAlign w:val="center"/>
          </w:tcPr>
          <w:p>
            <w:pPr>
              <w:rPr>
                <w:rFonts w:ascii="宋体" w:hAnsi="宋体"/>
                <w:szCs w:val="21"/>
              </w:rPr>
            </w:pPr>
            <w:r>
              <w:rPr>
                <w:rFonts w:hint="eastAsia" w:ascii="宋体" w:hAnsi="宋体"/>
                <w:szCs w:val="21"/>
              </w:rPr>
              <w:t>投标内容</w:t>
            </w:r>
          </w:p>
        </w:tc>
        <w:tc>
          <w:tcPr>
            <w:tcW w:w="4305" w:type="dxa"/>
            <w:vAlign w:val="center"/>
          </w:tcPr>
          <w:p>
            <w:pPr>
              <w:rPr>
                <w:rFonts w:ascii="宋体" w:hAnsi="宋体"/>
                <w:szCs w:val="21"/>
              </w:rPr>
            </w:pPr>
            <w:r>
              <w:rPr>
                <w:rFonts w:hint="eastAsia" w:ascii="宋体" w:hAnsi="宋体"/>
                <w:szCs w:val="21"/>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vAlign w:val="center"/>
          </w:tcPr>
          <w:p>
            <w:pPr>
              <w:jc w:val="center"/>
              <w:rPr>
                <w:rFonts w:ascii="宋体" w:hAnsi="宋体"/>
                <w:szCs w:val="21"/>
              </w:rPr>
            </w:pPr>
          </w:p>
        </w:tc>
        <w:tc>
          <w:tcPr>
            <w:tcW w:w="1148" w:type="dxa"/>
            <w:vMerge w:val="continue"/>
            <w:vAlign w:val="center"/>
          </w:tcPr>
          <w:p>
            <w:pPr>
              <w:jc w:val="center"/>
              <w:rPr>
                <w:rFonts w:ascii="宋体" w:hAnsi="宋体"/>
                <w:szCs w:val="21"/>
              </w:rPr>
            </w:pPr>
          </w:p>
        </w:tc>
        <w:tc>
          <w:tcPr>
            <w:tcW w:w="2321" w:type="dxa"/>
            <w:vAlign w:val="center"/>
          </w:tcPr>
          <w:p>
            <w:pPr>
              <w:rPr>
                <w:rFonts w:ascii="宋体" w:hAnsi="宋体"/>
                <w:szCs w:val="21"/>
              </w:rPr>
            </w:pPr>
            <w:r>
              <w:rPr>
                <w:rFonts w:hint="eastAsia" w:ascii="宋体" w:hAnsi="宋体"/>
                <w:szCs w:val="21"/>
              </w:rPr>
              <w:t>工期</w:t>
            </w:r>
          </w:p>
        </w:tc>
        <w:tc>
          <w:tcPr>
            <w:tcW w:w="4305" w:type="dxa"/>
            <w:vAlign w:val="center"/>
          </w:tcPr>
          <w:p>
            <w:pPr>
              <w:rPr>
                <w:rFonts w:ascii="宋体" w:hAnsi="宋体"/>
                <w:szCs w:val="21"/>
              </w:rPr>
            </w:pPr>
            <w:r>
              <w:rPr>
                <w:rFonts w:hint="eastAsia" w:ascii="宋体" w:hAnsi="宋体"/>
                <w:szCs w:val="21"/>
              </w:rPr>
              <w:t>符合</w:t>
            </w:r>
            <w:r>
              <w:rPr>
                <w:rFonts w:hAnsi="宋体"/>
                <w:szCs w:val="21"/>
              </w:rPr>
              <w:t>或优于</w:t>
            </w:r>
            <w:r>
              <w:rPr>
                <w:rFonts w:hint="eastAsia" w:ascii="宋体" w:hAnsi="宋体"/>
                <w:szCs w:val="21"/>
              </w:rPr>
              <w:t>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vAlign w:val="center"/>
          </w:tcPr>
          <w:p>
            <w:pPr>
              <w:jc w:val="center"/>
              <w:rPr>
                <w:rFonts w:ascii="宋体" w:hAnsi="宋体"/>
                <w:szCs w:val="21"/>
              </w:rPr>
            </w:pPr>
          </w:p>
        </w:tc>
        <w:tc>
          <w:tcPr>
            <w:tcW w:w="1148" w:type="dxa"/>
            <w:vMerge w:val="continue"/>
            <w:vAlign w:val="center"/>
          </w:tcPr>
          <w:p>
            <w:pPr>
              <w:jc w:val="center"/>
              <w:rPr>
                <w:rFonts w:ascii="宋体" w:hAnsi="宋体"/>
                <w:szCs w:val="21"/>
              </w:rPr>
            </w:pPr>
          </w:p>
        </w:tc>
        <w:tc>
          <w:tcPr>
            <w:tcW w:w="2321" w:type="dxa"/>
            <w:vAlign w:val="center"/>
          </w:tcPr>
          <w:p>
            <w:pPr>
              <w:rPr>
                <w:rFonts w:ascii="宋体" w:hAnsi="宋体"/>
                <w:szCs w:val="21"/>
              </w:rPr>
            </w:pPr>
            <w:r>
              <w:rPr>
                <w:rFonts w:hint="eastAsia" w:ascii="宋体" w:hAnsi="宋体"/>
                <w:szCs w:val="21"/>
              </w:rPr>
              <w:t>工程质量</w:t>
            </w:r>
          </w:p>
        </w:tc>
        <w:tc>
          <w:tcPr>
            <w:tcW w:w="4305" w:type="dxa"/>
            <w:vAlign w:val="center"/>
          </w:tcPr>
          <w:p>
            <w:pPr>
              <w:rPr>
                <w:rFonts w:ascii="宋体" w:hAnsi="宋体"/>
                <w:szCs w:val="21"/>
              </w:rPr>
            </w:pPr>
            <w:r>
              <w:rPr>
                <w:rFonts w:hint="eastAsia" w:ascii="宋体" w:hAnsi="宋体"/>
                <w:szCs w:val="21"/>
              </w:rPr>
              <w:t>符合</w:t>
            </w:r>
            <w:r>
              <w:rPr>
                <w:rFonts w:hAnsi="宋体"/>
                <w:szCs w:val="21"/>
              </w:rPr>
              <w:t>或优于</w:t>
            </w:r>
            <w:r>
              <w:rPr>
                <w:rFonts w:hint="eastAsia" w:ascii="宋体" w:hAnsi="宋体"/>
                <w:szCs w:val="21"/>
              </w:rPr>
              <w:t>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vAlign w:val="center"/>
          </w:tcPr>
          <w:p>
            <w:pPr>
              <w:jc w:val="center"/>
              <w:rPr>
                <w:rFonts w:ascii="宋体" w:hAnsi="宋体"/>
                <w:szCs w:val="21"/>
              </w:rPr>
            </w:pPr>
          </w:p>
        </w:tc>
        <w:tc>
          <w:tcPr>
            <w:tcW w:w="1148" w:type="dxa"/>
            <w:vMerge w:val="continue"/>
            <w:vAlign w:val="center"/>
          </w:tcPr>
          <w:p>
            <w:pPr>
              <w:jc w:val="center"/>
              <w:rPr>
                <w:rFonts w:ascii="宋体" w:hAnsi="宋体"/>
                <w:szCs w:val="21"/>
              </w:rPr>
            </w:pPr>
          </w:p>
        </w:tc>
        <w:tc>
          <w:tcPr>
            <w:tcW w:w="2321" w:type="dxa"/>
            <w:vAlign w:val="center"/>
          </w:tcPr>
          <w:p>
            <w:pPr>
              <w:rPr>
                <w:rFonts w:ascii="宋体" w:hAnsi="宋体"/>
                <w:szCs w:val="21"/>
              </w:rPr>
            </w:pPr>
            <w:r>
              <w:rPr>
                <w:rFonts w:hint="eastAsia" w:ascii="宋体" w:hAnsi="宋体"/>
                <w:szCs w:val="21"/>
              </w:rPr>
              <w:t>投标有效期</w:t>
            </w:r>
          </w:p>
        </w:tc>
        <w:tc>
          <w:tcPr>
            <w:tcW w:w="4305" w:type="dxa"/>
            <w:vAlign w:val="center"/>
          </w:tcPr>
          <w:p>
            <w:pPr>
              <w:rPr>
                <w:rFonts w:ascii="宋体" w:hAnsi="宋体"/>
                <w:szCs w:val="21"/>
              </w:rPr>
            </w:pPr>
            <w:r>
              <w:rPr>
                <w:rFonts w:hint="eastAsia" w:ascii="宋体" w:hAnsi="宋体"/>
                <w:szCs w:val="21"/>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1" w:type="dxa"/>
            <w:vMerge w:val="continue"/>
            <w:vAlign w:val="center"/>
          </w:tcPr>
          <w:p>
            <w:pPr>
              <w:jc w:val="center"/>
              <w:rPr>
                <w:rFonts w:ascii="宋体" w:hAnsi="宋体"/>
                <w:szCs w:val="21"/>
              </w:rPr>
            </w:pPr>
          </w:p>
        </w:tc>
        <w:tc>
          <w:tcPr>
            <w:tcW w:w="1148" w:type="dxa"/>
            <w:vMerge w:val="continue"/>
            <w:vAlign w:val="center"/>
          </w:tcPr>
          <w:p>
            <w:pPr>
              <w:jc w:val="center"/>
              <w:rPr>
                <w:rFonts w:ascii="宋体" w:hAnsi="宋体"/>
                <w:szCs w:val="21"/>
              </w:rPr>
            </w:pPr>
          </w:p>
        </w:tc>
        <w:tc>
          <w:tcPr>
            <w:tcW w:w="2321" w:type="dxa"/>
            <w:vAlign w:val="center"/>
          </w:tcPr>
          <w:p>
            <w:pPr>
              <w:rPr>
                <w:rFonts w:ascii="宋体" w:hAnsi="宋体"/>
                <w:szCs w:val="21"/>
              </w:rPr>
            </w:pPr>
            <w:r>
              <w:rPr>
                <w:rFonts w:hint="eastAsia" w:ascii="宋体" w:hAnsi="宋体"/>
                <w:szCs w:val="21"/>
              </w:rPr>
              <w:t>投标保证金</w:t>
            </w:r>
          </w:p>
        </w:tc>
        <w:tc>
          <w:tcPr>
            <w:tcW w:w="4305" w:type="dxa"/>
            <w:vAlign w:val="center"/>
          </w:tcPr>
          <w:p>
            <w:pPr>
              <w:rPr>
                <w:rFonts w:ascii="宋体" w:hAnsi="宋体"/>
                <w:szCs w:val="21"/>
              </w:rPr>
            </w:pPr>
            <w:r>
              <w:rPr>
                <w:rFonts w:hint="eastAsia" w:ascii="宋体" w:hAnsi="宋体"/>
                <w:szCs w:val="21"/>
              </w:rPr>
              <w:t>符合第二章“投标人须知”规定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751" w:type="dxa"/>
            <w:vMerge w:val="continue"/>
            <w:vAlign w:val="center"/>
          </w:tcPr>
          <w:p>
            <w:pPr>
              <w:jc w:val="center"/>
              <w:rPr>
                <w:rFonts w:ascii="宋体" w:hAnsi="宋体"/>
                <w:szCs w:val="21"/>
              </w:rPr>
            </w:pPr>
          </w:p>
        </w:tc>
        <w:tc>
          <w:tcPr>
            <w:tcW w:w="1148" w:type="dxa"/>
            <w:vMerge w:val="continue"/>
            <w:vAlign w:val="center"/>
          </w:tcPr>
          <w:p>
            <w:pPr>
              <w:jc w:val="center"/>
              <w:rPr>
                <w:rFonts w:ascii="宋体" w:hAnsi="宋体"/>
                <w:szCs w:val="21"/>
              </w:rPr>
            </w:pPr>
          </w:p>
        </w:tc>
        <w:tc>
          <w:tcPr>
            <w:tcW w:w="2321" w:type="dxa"/>
            <w:vAlign w:val="center"/>
          </w:tcPr>
          <w:p>
            <w:pPr>
              <w:rPr>
                <w:rFonts w:ascii="宋体" w:hAnsi="宋体"/>
                <w:szCs w:val="21"/>
              </w:rPr>
            </w:pPr>
            <w:r>
              <w:rPr>
                <w:rFonts w:hint="eastAsia" w:ascii="宋体" w:hAnsi="宋体"/>
                <w:szCs w:val="21"/>
              </w:rPr>
              <w:t>投标报价</w:t>
            </w:r>
          </w:p>
        </w:tc>
        <w:tc>
          <w:tcPr>
            <w:tcW w:w="4305" w:type="dxa"/>
            <w:vAlign w:val="center"/>
          </w:tcPr>
          <w:p>
            <w:pPr>
              <w:rPr>
                <w:rFonts w:ascii="宋体" w:hAnsi="宋体"/>
                <w:szCs w:val="21"/>
              </w:rPr>
            </w:pPr>
            <w:r>
              <w:rPr>
                <w:rFonts w:hint="eastAsia" w:ascii="宋体" w:hAnsi="宋体"/>
                <w:szCs w:val="21"/>
              </w:rPr>
              <w:t>符合投标报价</w:t>
            </w:r>
            <w:r>
              <w:rPr>
                <w:rFonts w:ascii="宋体" w:hAnsi="宋体"/>
                <w:szCs w:val="21"/>
              </w:rPr>
              <w:t>不得超过招标</w:t>
            </w:r>
            <w:r>
              <w:rPr>
                <w:rFonts w:hint="eastAsia" w:ascii="宋体" w:hAnsi="宋体"/>
                <w:szCs w:val="21"/>
              </w:rPr>
              <w:t>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751" w:type="dxa"/>
            <w:vMerge w:val="continue"/>
            <w:vAlign w:val="center"/>
          </w:tcPr>
          <w:p>
            <w:pPr>
              <w:jc w:val="center"/>
              <w:rPr>
                <w:rFonts w:ascii="宋体" w:hAnsi="宋体"/>
                <w:szCs w:val="21"/>
              </w:rPr>
            </w:pPr>
          </w:p>
        </w:tc>
        <w:tc>
          <w:tcPr>
            <w:tcW w:w="1148" w:type="dxa"/>
            <w:vMerge w:val="continue"/>
            <w:vAlign w:val="center"/>
          </w:tcPr>
          <w:p>
            <w:pPr>
              <w:jc w:val="center"/>
              <w:rPr>
                <w:rFonts w:ascii="宋体" w:hAnsi="宋体"/>
                <w:szCs w:val="21"/>
              </w:rPr>
            </w:pPr>
          </w:p>
        </w:tc>
        <w:tc>
          <w:tcPr>
            <w:tcW w:w="2321" w:type="dxa"/>
            <w:vAlign w:val="center"/>
          </w:tcPr>
          <w:p>
            <w:pPr>
              <w:rPr>
                <w:rFonts w:ascii="宋体" w:hAnsi="宋体"/>
                <w:szCs w:val="21"/>
              </w:rPr>
            </w:pPr>
            <w:r>
              <w:rPr>
                <w:rFonts w:hint="eastAsia" w:ascii="宋体" w:hAnsi="宋体" w:cs="宋体"/>
                <w:sz w:val="22"/>
                <w:szCs w:val="22"/>
              </w:rPr>
              <w:t>已标价工程量清单</w:t>
            </w:r>
          </w:p>
        </w:tc>
        <w:tc>
          <w:tcPr>
            <w:tcW w:w="4305" w:type="dxa"/>
            <w:vAlign w:val="center"/>
          </w:tcPr>
          <w:p>
            <w:pPr>
              <w:rPr>
                <w:rFonts w:ascii="宋体" w:hAnsi="宋体"/>
                <w:szCs w:val="21"/>
              </w:rPr>
            </w:pPr>
            <w:r>
              <w:rPr>
                <w:rFonts w:hint="eastAsia" w:ascii="宋体" w:hAnsi="宋体"/>
                <w:szCs w:val="21"/>
              </w:rPr>
              <w:t>符合第五章“工程量清单”给出的子目编码、子目名称、子目特征、计量单位和工程量。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899" w:type="dxa"/>
            <w:gridSpan w:val="2"/>
            <w:vAlign w:val="center"/>
          </w:tcPr>
          <w:p>
            <w:pPr>
              <w:jc w:val="center"/>
              <w:rPr>
                <w:rFonts w:ascii="宋体" w:hAnsi="宋体"/>
                <w:szCs w:val="21"/>
              </w:rPr>
            </w:pPr>
            <w:r>
              <w:rPr>
                <w:rFonts w:hint="eastAsia" w:ascii="宋体" w:hAnsi="宋体"/>
                <w:szCs w:val="21"/>
              </w:rPr>
              <w:t>条款号</w:t>
            </w:r>
          </w:p>
        </w:tc>
        <w:tc>
          <w:tcPr>
            <w:tcW w:w="2321" w:type="dxa"/>
            <w:vAlign w:val="center"/>
          </w:tcPr>
          <w:p>
            <w:pPr>
              <w:jc w:val="center"/>
              <w:rPr>
                <w:rFonts w:ascii="宋体" w:hAnsi="宋体"/>
                <w:szCs w:val="21"/>
              </w:rPr>
            </w:pPr>
            <w:r>
              <w:rPr>
                <w:rFonts w:hint="eastAsia" w:ascii="宋体" w:hAnsi="宋体"/>
                <w:szCs w:val="21"/>
              </w:rPr>
              <w:t>条款内容</w:t>
            </w:r>
          </w:p>
        </w:tc>
        <w:tc>
          <w:tcPr>
            <w:tcW w:w="4305" w:type="dxa"/>
            <w:vAlign w:val="center"/>
          </w:tcPr>
          <w:p>
            <w:pPr>
              <w:jc w:val="center"/>
              <w:rPr>
                <w:rFonts w:ascii="宋体" w:hAnsi="宋体"/>
                <w:szCs w:val="21"/>
              </w:rPr>
            </w:pPr>
            <w:r>
              <w:rPr>
                <w:rFonts w:hint="eastAsia" w:ascii="宋体" w:hAnsi="宋体"/>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2" w:hRule="atLeast"/>
        </w:trPr>
        <w:tc>
          <w:tcPr>
            <w:tcW w:w="1899" w:type="dxa"/>
            <w:gridSpan w:val="2"/>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r>
              <w:rPr>
                <w:rFonts w:hint="eastAsia" w:ascii="宋体" w:hAnsi="宋体"/>
                <w:szCs w:val="21"/>
              </w:rPr>
              <w:t>1.2.1</w:t>
            </w:r>
          </w:p>
        </w:tc>
        <w:tc>
          <w:tcPr>
            <w:tcW w:w="2321" w:type="dxa"/>
            <w:vAlign w:val="center"/>
          </w:tcPr>
          <w:p>
            <w:pPr>
              <w:pageBreakBefore w:val="0"/>
              <w:kinsoku/>
              <w:wordWrap/>
              <w:overflowPunct/>
              <w:topLinePunct w:val="0"/>
              <w:autoSpaceDE/>
              <w:autoSpaceDN/>
              <w:bidi w:val="0"/>
              <w:adjustRightInd/>
              <w:snapToGrid/>
              <w:spacing w:line="360" w:lineRule="auto"/>
              <w:rPr>
                <w:rFonts w:ascii="宋体" w:hAnsi="宋体"/>
                <w:szCs w:val="21"/>
              </w:rPr>
            </w:pPr>
            <w:r>
              <w:rPr>
                <w:rFonts w:hint="eastAsia" w:ascii="宋体" w:hAnsi="宋体"/>
                <w:szCs w:val="21"/>
              </w:rPr>
              <w:t>分值构成</w:t>
            </w:r>
          </w:p>
          <w:p>
            <w:pPr>
              <w:pageBreakBefore w:val="0"/>
              <w:kinsoku/>
              <w:wordWrap/>
              <w:overflowPunct/>
              <w:topLinePunct w:val="0"/>
              <w:autoSpaceDE/>
              <w:autoSpaceDN/>
              <w:bidi w:val="0"/>
              <w:adjustRightInd/>
              <w:snapToGrid/>
              <w:spacing w:line="360" w:lineRule="auto"/>
              <w:rPr>
                <w:rFonts w:ascii="宋体" w:hAnsi="宋体"/>
                <w:szCs w:val="21"/>
              </w:rPr>
            </w:pPr>
            <w:r>
              <w:rPr>
                <w:rFonts w:hint="eastAsia" w:ascii="宋体" w:hAnsi="宋体"/>
                <w:szCs w:val="21"/>
              </w:rPr>
              <w:t>（总分100分）</w:t>
            </w:r>
          </w:p>
        </w:tc>
        <w:tc>
          <w:tcPr>
            <w:tcW w:w="4305" w:type="dxa"/>
            <w:vAlign w:val="center"/>
          </w:tcPr>
          <w:p>
            <w:pPr>
              <w:pageBreakBefore w:val="0"/>
              <w:kinsoku/>
              <w:wordWrap/>
              <w:overflowPunct/>
              <w:topLinePunct w:val="0"/>
              <w:autoSpaceDE/>
              <w:autoSpaceDN/>
              <w:bidi w:val="0"/>
              <w:adjustRightInd/>
              <w:snapToGrid/>
              <w:spacing w:line="360" w:lineRule="auto"/>
              <w:rPr>
                <w:rFonts w:ascii="宋体" w:hAnsi="宋体"/>
                <w:szCs w:val="21"/>
              </w:rPr>
            </w:pPr>
            <w:r>
              <w:rPr>
                <w:rFonts w:hint="eastAsia" w:ascii="宋体" w:hAnsi="宋体"/>
                <w:szCs w:val="21"/>
              </w:rPr>
              <w:t>技术标：</w:t>
            </w:r>
            <w:r>
              <w:rPr>
                <w:rFonts w:hint="eastAsia" w:ascii="宋体" w:hAnsi="宋体"/>
                <w:szCs w:val="21"/>
                <w:lang w:val="en-US" w:eastAsia="zh-CN"/>
              </w:rPr>
              <w:t>3</w:t>
            </w:r>
            <w:r>
              <w:rPr>
                <w:rFonts w:ascii="宋体" w:hAnsi="宋体"/>
                <w:szCs w:val="21"/>
                <w:u w:val="single"/>
              </w:rPr>
              <w:t>5</w:t>
            </w:r>
            <w:r>
              <w:rPr>
                <w:rFonts w:hint="eastAsia" w:ascii="宋体" w:hAnsi="宋体"/>
                <w:szCs w:val="21"/>
              </w:rPr>
              <w:t>分</w:t>
            </w:r>
          </w:p>
          <w:p>
            <w:pPr>
              <w:pageBreakBefore w:val="0"/>
              <w:kinsoku/>
              <w:wordWrap/>
              <w:overflowPunct/>
              <w:topLinePunct w:val="0"/>
              <w:autoSpaceDE/>
              <w:autoSpaceDN/>
              <w:bidi w:val="0"/>
              <w:adjustRightInd/>
              <w:snapToGrid/>
              <w:spacing w:line="360" w:lineRule="auto"/>
              <w:rPr>
                <w:rFonts w:ascii="宋体" w:hAnsi="宋体"/>
                <w:szCs w:val="21"/>
              </w:rPr>
            </w:pPr>
            <w:r>
              <w:rPr>
                <w:rFonts w:hint="eastAsia" w:ascii="宋体" w:hAnsi="宋体"/>
                <w:szCs w:val="21"/>
              </w:rPr>
              <w:t>商务标：</w:t>
            </w:r>
            <w:r>
              <w:rPr>
                <w:rFonts w:hint="eastAsia" w:ascii="宋体" w:hAnsi="宋体"/>
                <w:szCs w:val="21"/>
                <w:lang w:val="en-US" w:eastAsia="zh-CN"/>
              </w:rPr>
              <w:t>4</w:t>
            </w:r>
            <w:r>
              <w:rPr>
                <w:rFonts w:hint="eastAsia" w:ascii="宋体" w:hAnsi="宋体"/>
                <w:szCs w:val="21"/>
                <w:u w:val="single"/>
              </w:rPr>
              <w:t>0</w:t>
            </w:r>
            <w:r>
              <w:rPr>
                <w:rFonts w:hint="eastAsia" w:ascii="宋体" w:hAnsi="宋体"/>
                <w:szCs w:val="21"/>
              </w:rPr>
              <w:t>分</w:t>
            </w:r>
          </w:p>
          <w:p>
            <w:pPr>
              <w:pageBreakBefore w:val="0"/>
              <w:kinsoku/>
              <w:wordWrap/>
              <w:overflowPunct/>
              <w:topLinePunct w:val="0"/>
              <w:autoSpaceDE/>
              <w:autoSpaceDN/>
              <w:bidi w:val="0"/>
              <w:adjustRightInd/>
              <w:snapToGrid/>
              <w:spacing w:line="360" w:lineRule="auto"/>
              <w:rPr>
                <w:rFonts w:ascii="宋体" w:hAnsi="宋体"/>
                <w:szCs w:val="21"/>
              </w:rPr>
            </w:pPr>
            <w:r>
              <w:rPr>
                <w:rFonts w:hint="eastAsia" w:ascii="宋体" w:hAnsi="宋体"/>
                <w:szCs w:val="21"/>
              </w:rPr>
              <w:t>综合（信用）标：</w:t>
            </w:r>
            <w:r>
              <w:rPr>
                <w:rFonts w:ascii="宋体" w:hAnsi="宋体"/>
                <w:szCs w:val="21"/>
                <w:u w:val="single"/>
              </w:rPr>
              <w:t>25</w:t>
            </w:r>
            <w:r>
              <w:rPr>
                <w:rFonts w:hint="eastAsia" w:ascii="宋体"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99" w:type="dxa"/>
            <w:gridSpan w:val="2"/>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r>
              <w:rPr>
                <w:rFonts w:hint="eastAsia" w:ascii="宋体" w:hAnsi="宋体"/>
                <w:szCs w:val="21"/>
              </w:rPr>
              <w:t>1.2.2</w:t>
            </w:r>
          </w:p>
        </w:tc>
        <w:tc>
          <w:tcPr>
            <w:tcW w:w="2321" w:type="dxa"/>
            <w:vAlign w:val="center"/>
          </w:tcPr>
          <w:p>
            <w:pPr>
              <w:pageBreakBefore w:val="0"/>
              <w:kinsoku/>
              <w:wordWrap/>
              <w:overflowPunct/>
              <w:topLinePunct w:val="0"/>
              <w:autoSpaceDE/>
              <w:autoSpaceDN/>
              <w:bidi w:val="0"/>
              <w:adjustRightInd/>
              <w:snapToGrid/>
              <w:spacing w:line="360" w:lineRule="auto"/>
              <w:rPr>
                <w:rFonts w:ascii="宋体" w:hAnsi="宋体"/>
                <w:szCs w:val="21"/>
              </w:rPr>
            </w:pPr>
            <w:r>
              <w:rPr>
                <w:rFonts w:hint="eastAsia" w:ascii="宋体" w:hAnsi="宋体"/>
                <w:szCs w:val="21"/>
              </w:rPr>
              <w:t>评标基准价计算方法</w:t>
            </w:r>
          </w:p>
        </w:tc>
        <w:tc>
          <w:tcPr>
            <w:tcW w:w="4305" w:type="dxa"/>
            <w:vAlign w:val="center"/>
          </w:tcPr>
          <w:p>
            <w:pPr>
              <w:pageBreakBefore w:val="0"/>
              <w:kinsoku/>
              <w:wordWrap/>
              <w:overflowPunct/>
              <w:topLinePunct w:val="0"/>
              <w:autoSpaceDE/>
              <w:autoSpaceDN/>
              <w:bidi w:val="0"/>
              <w:adjustRightInd/>
              <w:snapToGrid/>
              <w:spacing w:line="360" w:lineRule="auto"/>
              <w:rPr>
                <w:rFonts w:ascii="宋体" w:hAnsi="宋体"/>
                <w:szCs w:val="21"/>
              </w:rPr>
            </w:pPr>
            <w:r>
              <w:rPr>
                <w:rFonts w:ascii="宋体" w:hAnsi="宋体"/>
              </w:rPr>
              <w:t>详见综合评估法评标办法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899" w:type="dxa"/>
            <w:gridSpan w:val="2"/>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r>
              <w:rPr>
                <w:rFonts w:hint="eastAsia" w:ascii="宋体" w:hAnsi="宋体"/>
                <w:szCs w:val="21"/>
              </w:rPr>
              <w:t>1.2.3</w:t>
            </w:r>
          </w:p>
        </w:tc>
        <w:tc>
          <w:tcPr>
            <w:tcW w:w="2321" w:type="dxa"/>
            <w:vAlign w:val="center"/>
          </w:tcPr>
          <w:p>
            <w:pPr>
              <w:pageBreakBefore w:val="0"/>
              <w:kinsoku/>
              <w:wordWrap/>
              <w:overflowPunct/>
              <w:topLinePunct w:val="0"/>
              <w:autoSpaceDE/>
              <w:autoSpaceDN/>
              <w:bidi w:val="0"/>
              <w:adjustRightInd/>
              <w:snapToGrid/>
              <w:spacing w:line="360" w:lineRule="auto"/>
              <w:rPr>
                <w:rFonts w:ascii="宋体" w:hAnsi="宋体"/>
                <w:szCs w:val="21"/>
              </w:rPr>
            </w:pPr>
            <w:r>
              <w:rPr>
                <w:rFonts w:hint="eastAsia" w:ascii="宋体" w:hAnsi="宋体"/>
                <w:szCs w:val="21"/>
              </w:rPr>
              <w:t>投标报价的偏差率</w:t>
            </w:r>
          </w:p>
          <w:p>
            <w:pPr>
              <w:pageBreakBefore w:val="0"/>
              <w:kinsoku/>
              <w:wordWrap/>
              <w:overflowPunct/>
              <w:topLinePunct w:val="0"/>
              <w:autoSpaceDE/>
              <w:autoSpaceDN/>
              <w:bidi w:val="0"/>
              <w:adjustRightInd/>
              <w:snapToGrid/>
              <w:spacing w:line="360" w:lineRule="auto"/>
              <w:rPr>
                <w:rFonts w:ascii="宋体" w:hAnsi="宋体"/>
                <w:szCs w:val="21"/>
              </w:rPr>
            </w:pPr>
            <w:r>
              <w:rPr>
                <w:rFonts w:hint="eastAsia" w:ascii="宋体" w:hAnsi="宋体"/>
                <w:szCs w:val="21"/>
              </w:rPr>
              <w:t>计算公式</w:t>
            </w:r>
          </w:p>
        </w:tc>
        <w:tc>
          <w:tcPr>
            <w:tcW w:w="4305" w:type="dxa"/>
            <w:vAlign w:val="center"/>
          </w:tcPr>
          <w:p>
            <w:pPr>
              <w:pageBreakBefore w:val="0"/>
              <w:kinsoku/>
              <w:wordWrap/>
              <w:overflowPunct/>
              <w:topLinePunct w:val="0"/>
              <w:autoSpaceDE/>
              <w:autoSpaceDN/>
              <w:bidi w:val="0"/>
              <w:adjustRightInd/>
              <w:snapToGrid/>
              <w:spacing w:line="360" w:lineRule="auto"/>
              <w:rPr>
                <w:rFonts w:ascii="宋体" w:hAnsi="宋体"/>
                <w:szCs w:val="21"/>
              </w:rPr>
            </w:pPr>
            <w:r>
              <w:rPr>
                <w:rFonts w:hint="eastAsia" w:ascii="宋体" w:hAnsi="宋体"/>
                <w:szCs w:val="21"/>
              </w:rPr>
              <w:t>偏差率=100%×（投标人报价－评标基准价）</w:t>
            </w:r>
          </w:p>
          <w:p>
            <w:pPr>
              <w:pageBreakBefore w:val="0"/>
              <w:kinsoku/>
              <w:wordWrap/>
              <w:overflowPunct/>
              <w:topLinePunct w:val="0"/>
              <w:autoSpaceDE/>
              <w:autoSpaceDN/>
              <w:bidi w:val="0"/>
              <w:adjustRightInd/>
              <w:snapToGrid/>
              <w:spacing w:line="360" w:lineRule="auto"/>
              <w:rPr>
                <w:rFonts w:ascii="宋体" w:hAnsi="宋体"/>
                <w:szCs w:val="21"/>
              </w:rPr>
            </w:pPr>
            <w:r>
              <w:rPr>
                <w:rFonts w:hint="eastAsia" w:ascii="宋体" w:hAnsi="宋体"/>
                <w:szCs w:val="21"/>
              </w:rPr>
              <w:t>/评标基准价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899" w:type="dxa"/>
            <w:gridSpan w:val="2"/>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r>
              <w:rPr>
                <w:rFonts w:hint="eastAsia" w:ascii="宋体" w:hAnsi="宋体"/>
                <w:szCs w:val="21"/>
              </w:rPr>
              <w:t>条款号</w:t>
            </w:r>
          </w:p>
        </w:tc>
        <w:tc>
          <w:tcPr>
            <w:tcW w:w="2321" w:type="dxa"/>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r>
              <w:rPr>
                <w:rFonts w:hint="eastAsia" w:ascii="宋体" w:hAnsi="宋体"/>
                <w:szCs w:val="21"/>
              </w:rPr>
              <w:t>评分因素</w:t>
            </w:r>
          </w:p>
        </w:tc>
        <w:tc>
          <w:tcPr>
            <w:tcW w:w="4305" w:type="dxa"/>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r>
              <w:rPr>
                <w:rFonts w:hint="eastAsia" w:ascii="宋体" w:hAnsi="宋体"/>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51" w:type="dxa"/>
            <w:vMerge w:val="restart"/>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r>
              <w:rPr>
                <w:rFonts w:hint="eastAsia" w:ascii="宋体" w:hAnsi="宋体"/>
                <w:szCs w:val="21"/>
              </w:rPr>
              <w:t>1.2.4</w:t>
            </w:r>
          </w:p>
          <w:p>
            <w:pPr>
              <w:pageBreakBefore w:val="0"/>
              <w:kinsoku/>
              <w:wordWrap/>
              <w:overflowPunct/>
              <w:topLinePunct w:val="0"/>
              <w:autoSpaceDE/>
              <w:autoSpaceDN/>
              <w:bidi w:val="0"/>
              <w:adjustRightInd/>
              <w:snapToGrid/>
              <w:spacing w:line="360" w:lineRule="auto"/>
              <w:jc w:val="center"/>
              <w:rPr>
                <w:rFonts w:ascii="宋体" w:hAnsi="宋体"/>
                <w:szCs w:val="21"/>
              </w:rPr>
            </w:pPr>
            <w:r>
              <w:rPr>
                <w:rFonts w:hint="eastAsia" w:ascii="宋体" w:hAnsi="宋体"/>
                <w:szCs w:val="21"/>
              </w:rPr>
              <w:t>(1)</w:t>
            </w:r>
          </w:p>
        </w:tc>
        <w:tc>
          <w:tcPr>
            <w:tcW w:w="1148" w:type="dxa"/>
            <w:vMerge w:val="restart"/>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r>
              <w:rPr>
                <w:rFonts w:hint="eastAsia" w:ascii="宋体" w:hAnsi="宋体"/>
                <w:szCs w:val="21"/>
              </w:rPr>
              <w:t>施工组织</w:t>
            </w:r>
          </w:p>
          <w:p>
            <w:pPr>
              <w:pageBreakBefore w:val="0"/>
              <w:kinsoku/>
              <w:wordWrap/>
              <w:overflowPunct/>
              <w:topLinePunct w:val="0"/>
              <w:autoSpaceDE/>
              <w:autoSpaceDN/>
              <w:bidi w:val="0"/>
              <w:adjustRightInd/>
              <w:snapToGrid/>
              <w:spacing w:line="360" w:lineRule="auto"/>
              <w:jc w:val="center"/>
              <w:rPr>
                <w:rFonts w:ascii="宋体" w:hAnsi="宋体"/>
                <w:szCs w:val="21"/>
              </w:rPr>
            </w:pPr>
            <w:r>
              <w:rPr>
                <w:rFonts w:hint="eastAsia" w:ascii="宋体" w:hAnsi="宋体"/>
                <w:szCs w:val="21"/>
              </w:rPr>
              <w:t>设计评分</w:t>
            </w:r>
          </w:p>
          <w:p>
            <w:pPr>
              <w:pageBreakBefore w:val="0"/>
              <w:kinsoku/>
              <w:wordWrap/>
              <w:overflowPunct/>
              <w:topLinePunct w:val="0"/>
              <w:autoSpaceDE/>
              <w:autoSpaceDN/>
              <w:bidi w:val="0"/>
              <w:adjustRightInd/>
              <w:snapToGrid/>
              <w:spacing w:line="360" w:lineRule="auto"/>
              <w:jc w:val="center"/>
              <w:rPr>
                <w:rFonts w:ascii="宋体" w:hAnsi="宋体"/>
                <w:szCs w:val="21"/>
              </w:rPr>
            </w:pPr>
            <w:r>
              <w:rPr>
                <w:rFonts w:hint="eastAsia" w:ascii="宋体" w:hAnsi="宋体"/>
                <w:szCs w:val="21"/>
              </w:rPr>
              <w:t>标   准（暗标，总</w:t>
            </w:r>
            <w:r>
              <w:rPr>
                <w:rFonts w:hint="eastAsia" w:ascii="宋体" w:hAnsi="宋体"/>
                <w:szCs w:val="21"/>
                <w:lang w:val="en-US" w:eastAsia="zh-CN"/>
              </w:rPr>
              <w:t>3</w:t>
            </w:r>
            <w:r>
              <w:rPr>
                <w:rFonts w:ascii="宋体" w:hAnsi="宋体"/>
                <w:szCs w:val="21"/>
              </w:rPr>
              <w:t>5</w:t>
            </w:r>
            <w:r>
              <w:rPr>
                <w:rFonts w:hint="eastAsia" w:ascii="宋体" w:hAnsi="宋体"/>
                <w:szCs w:val="21"/>
              </w:rPr>
              <w:t>分）</w:t>
            </w:r>
          </w:p>
        </w:tc>
        <w:tc>
          <w:tcPr>
            <w:tcW w:w="2321" w:type="dxa"/>
            <w:vMerge w:val="restart"/>
            <w:vAlign w:val="center"/>
          </w:tcPr>
          <w:p>
            <w:pPr>
              <w:pageBreakBefore w:val="0"/>
              <w:kinsoku/>
              <w:wordWrap/>
              <w:overflowPunct/>
              <w:topLinePunct w:val="0"/>
              <w:autoSpaceDE/>
              <w:autoSpaceDN/>
              <w:bidi w:val="0"/>
              <w:adjustRightInd/>
              <w:snapToGrid/>
              <w:spacing w:line="360" w:lineRule="auto"/>
              <w:rPr>
                <w:rFonts w:ascii="宋体" w:hAnsi="宋体"/>
                <w:szCs w:val="21"/>
              </w:rPr>
            </w:pPr>
            <w:r>
              <w:rPr>
                <w:rFonts w:hint="eastAsia"/>
                <w:szCs w:val="21"/>
              </w:rPr>
              <w:t>内容完整性(</w:t>
            </w:r>
            <w:r>
              <w:rPr>
                <w:szCs w:val="21"/>
              </w:rPr>
              <w:t>0~</w:t>
            </w:r>
            <w:r>
              <w:rPr>
                <w:rFonts w:hint="eastAsia"/>
                <w:szCs w:val="21"/>
                <w:lang w:val="en-US" w:eastAsia="zh-CN"/>
              </w:rPr>
              <w:t>1</w:t>
            </w:r>
            <w:r>
              <w:rPr>
                <w:rFonts w:hint="eastAsia"/>
                <w:szCs w:val="21"/>
              </w:rPr>
              <w:t>分</w:t>
            </w:r>
            <w:r>
              <w:rPr>
                <w:szCs w:val="21"/>
              </w:rPr>
              <w:t>)</w:t>
            </w:r>
          </w:p>
        </w:tc>
        <w:tc>
          <w:tcPr>
            <w:tcW w:w="4305" w:type="dxa"/>
            <w:vAlign w:val="center"/>
          </w:tcPr>
          <w:p>
            <w:pPr>
              <w:pageBreakBefore w:val="0"/>
              <w:kinsoku/>
              <w:wordWrap/>
              <w:overflowPunct/>
              <w:topLinePunct w:val="0"/>
              <w:autoSpaceDE/>
              <w:autoSpaceDN/>
              <w:bidi w:val="0"/>
              <w:adjustRightInd/>
              <w:snapToGrid/>
              <w:spacing w:line="360" w:lineRule="auto"/>
              <w:jc w:val="left"/>
              <w:rPr>
                <w:rFonts w:ascii="宋体" w:hAnsi="宋体"/>
                <w:szCs w:val="21"/>
              </w:rPr>
            </w:pPr>
            <w:r>
              <w:rPr>
                <w:rFonts w:hint="eastAsia"/>
                <w:szCs w:val="21"/>
              </w:rPr>
              <w:t>技术标的主要内容具有完整性，符合招标文件的要求。</w:t>
            </w:r>
            <w:r>
              <w:rPr>
                <w:rFonts w:hint="eastAsia"/>
                <w:szCs w:val="21"/>
                <w:lang w:val="en-US" w:eastAsia="zh-CN"/>
              </w:rPr>
              <w:t>1</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51"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1148"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2321" w:type="dxa"/>
            <w:vMerge w:val="continue"/>
            <w:vAlign w:val="center"/>
          </w:tcPr>
          <w:p>
            <w:pPr>
              <w:pageBreakBefore w:val="0"/>
              <w:kinsoku/>
              <w:wordWrap/>
              <w:overflowPunct/>
              <w:topLinePunct w:val="0"/>
              <w:autoSpaceDE/>
              <w:autoSpaceDN/>
              <w:bidi w:val="0"/>
              <w:adjustRightInd/>
              <w:snapToGrid/>
              <w:spacing w:line="360" w:lineRule="auto"/>
              <w:rPr>
                <w:rFonts w:ascii="宋体" w:hAnsi="宋体"/>
                <w:szCs w:val="21"/>
              </w:rPr>
            </w:pPr>
          </w:p>
        </w:tc>
        <w:tc>
          <w:tcPr>
            <w:tcW w:w="4305" w:type="dxa"/>
            <w:vAlign w:val="center"/>
          </w:tcPr>
          <w:p>
            <w:pPr>
              <w:pageBreakBefore w:val="0"/>
              <w:kinsoku/>
              <w:wordWrap/>
              <w:overflowPunct/>
              <w:topLinePunct w:val="0"/>
              <w:autoSpaceDE/>
              <w:autoSpaceDN/>
              <w:bidi w:val="0"/>
              <w:adjustRightInd/>
              <w:snapToGrid/>
              <w:spacing w:line="360" w:lineRule="auto"/>
              <w:jc w:val="left"/>
              <w:rPr>
                <w:rFonts w:ascii="宋体" w:hAnsi="宋体"/>
                <w:szCs w:val="21"/>
              </w:rPr>
            </w:pPr>
            <w:r>
              <w:rPr>
                <w:rFonts w:hint="eastAsia"/>
                <w:szCs w:val="21"/>
              </w:rPr>
              <w:t>技术标不符合招标文件要求。0分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1"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1148"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2321" w:type="dxa"/>
            <w:vMerge w:val="restart"/>
            <w:vAlign w:val="center"/>
          </w:tcPr>
          <w:p>
            <w:pPr>
              <w:pageBreakBefore w:val="0"/>
              <w:kinsoku/>
              <w:wordWrap/>
              <w:overflowPunct/>
              <w:topLinePunct w:val="0"/>
              <w:autoSpaceDE/>
              <w:autoSpaceDN/>
              <w:bidi w:val="0"/>
              <w:adjustRightInd/>
              <w:snapToGrid/>
              <w:spacing w:line="360" w:lineRule="auto"/>
              <w:rPr>
                <w:rFonts w:ascii="宋体" w:hAnsi="宋体"/>
                <w:szCs w:val="21"/>
              </w:rPr>
            </w:pPr>
            <w:r>
              <w:rPr>
                <w:rFonts w:hint="eastAsia"/>
                <w:szCs w:val="21"/>
              </w:rPr>
              <w:t>主要施工方案与技术措施(0~</w:t>
            </w:r>
            <w:r>
              <w:rPr>
                <w:rFonts w:hint="eastAsia"/>
                <w:szCs w:val="21"/>
                <w:lang w:val="en-US" w:eastAsia="zh-CN"/>
              </w:rPr>
              <w:t>4</w:t>
            </w:r>
            <w:r>
              <w:rPr>
                <w:rFonts w:hint="eastAsia"/>
                <w:szCs w:val="21"/>
              </w:rPr>
              <w:t>分)</w:t>
            </w:r>
          </w:p>
        </w:tc>
        <w:tc>
          <w:tcPr>
            <w:tcW w:w="4305" w:type="dxa"/>
            <w:vAlign w:val="center"/>
          </w:tcPr>
          <w:p>
            <w:pPr>
              <w:pageBreakBefore w:val="0"/>
              <w:kinsoku/>
              <w:wordWrap/>
              <w:overflowPunct/>
              <w:topLinePunct w:val="0"/>
              <w:autoSpaceDE/>
              <w:autoSpaceDN/>
              <w:bidi w:val="0"/>
              <w:adjustRightInd/>
              <w:snapToGrid/>
              <w:spacing w:line="360" w:lineRule="auto"/>
              <w:jc w:val="left"/>
              <w:rPr>
                <w:rFonts w:ascii="宋体" w:hAnsi="宋体"/>
                <w:szCs w:val="21"/>
              </w:rPr>
            </w:pPr>
            <w:r>
              <w:rPr>
                <w:rFonts w:hint="eastAsia"/>
                <w:szCs w:val="21"/>
              </w:rPr>
              <w:t>施工方案（含工程特点、施工重点与难点及绿色施工）总体安排合理，运用先进、合理的施工工艺、施工机械；对施工难点有先进和合理的建议。得</w:t>
            </w:r>
            <w:r>
              <w:rPr>
                <w:szCs w:val="21"/>
              </w:rPr>
              <w:t>2</w:t>
            </w:r>
            <w:r>
              <w:rPr>
                <w:rFonts w:hint="eastAsia"/>
                <w:szCs w:val="21"/>
              </w:rPr>
              <w:t>~</w:t>
            </w:r>
            <w:r>
              <w:rPr>
                <w:rFonts w:hint="eastAsia"/>
                <w:szCs w:val="21"/>
                <w:lang w:val="en-US" w:eastAsia="zh-CN"/>
              </w:rPr>
              <w:t>4</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751"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1148"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2321" w:type="dxa"/>
            <w:vMerge w:val="continue"/>
            <w:vAlign w:val="center"/>
          </w:tcPr>
          <w:p>
            <w:pPr>
              <w:pageBreakBefore w:val="0"/>
              <w:kinsoku/>
              <w:wordWrap/>
              <w:overflowPunct/>
              <w:topLinePunct w:val="0"/>
              <w:autoSpaceDE/>
              <w:autoSpaceDN/>
              <w:bidi w:val="0"/>
              <w:adjustRightInd/>
              <w:snapToGrid/>
              <w:spacing w:line="360" w:lineRule="auto"/>
              <w:rPr>
                <w:rFonts w:ascii="宋体" w:hAnsi="宋体"/>
                <w:szCs w:val="21"/>
              </w:rPr>
            </w:pPr>
          </w:p>
        </w:tc>
        <w:tc>
          <w:tcPr>
            <w:tcW w:w="4305" w:type="dxa"/>
            <w:vAlign w:val="center"/>
          </w:tcPr>
          <w:p>
            <w:pPr>
              <w:pageBreakBefore w:val="0"/>
              <w:kinsoku/>
              <w:wordWrap/>
              <w:overflowPunct/>
              <w:topLinePunct w:val="0"/>
              <w:autoSpaceDE/>
              <w:autoSpaceDN/>
              <w:bidi w:val="0"/>
              <w:adjustRightInd/>
              <w:snapToGrid/>
              <w:spacing w:line="360" w:lineRule="auto"/>
              <w:jc w:val="left"/>
              <w:rPr>
                <w:rFonts w:ascii="宋体" w:hAnsi="宋体"/>
                <w:szCs w:val="21"/>
              </w:rPr>
            </w:pPr>
            <w:r>
              <w:rPr>
                <w:rFonts w:hint="eastAsia"/>
                <w:szCs w:val="21"/>
              </w:rPr>
              <w:t>施工方案（含工程特点、施工重点与难点及绿色施工）总体安排合理，施工工艺、施工机械合理、可行；对施工难点有合理的建议。得</w:t>
            </w:r>
            <w:r>
              <w:rPr>
                <w:szCs w:val="21"/>
              </w:rPr>
              <w:t>1</w:t>
            </w:r>
            <w:r>
              <w:rPr>
                <w:rFonts w:hint="eastAsia"/>
                <w:szCs w:val="21"/>
              </w:rPr>
              <w:t>~</w:t>
            </w:r>
            <w:r>
              <w:rPr>
                <w:szCs w:val="21"/>
              </w:rPr>
              <w:t>2</w:t>
            </w:r>
            <w:r>
              <w:rPr>
                <w:rFonts w:hint="eastAsia"/>
                <w:szCs w:val="21"/>
              </w:rPr>
              <w:t>分</w:t>
            </w:r>
            <w:r>
              <w:rPr>
                <w:rFonts w:hint="eastAsia"/>
                <w:color w:val="FF0000"/>
                <w:szCs w:val="21"/>
              </w:rPr>
              <w:t>，缺项为0分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1"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1148"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2321" w:type="dxa"/>
            <w:vMerge w:val="restart"/>
            <w:vAlign w:val="center"/>
          </w:tcPr>
          <w:p>
            <w:pPr>
              <w:pageBreakBefore w:val="0"/>
              <w:kinsoku/>
              <w:wordWrap/>
              <w:overflowPunct/>
              <w:topLinePunct w:val="0"/>
              <w:autoSpaceDE/>
              <w:autoSpaceDN/>
              <w:bidi w:val="0"/>
              <w:adjustRightInd/>
              <w:snapToGrid/>
              <w:spacing w:line="360" w:lineRule="auto"/>
              <w:rPr>
                <w:rFonts w:ascii="宋体" w:hAnsi="宋体" w:cs="宋体"/>
                <w:kern w:val="0"/>
                <w:szCs w:val="21"/>
              </w:rPr>
            </w:pPr>
            <w:r>
              <w:rPr>
                <w:rFonts w:hint="eastAsia"/>
                <w:szCs w:val="21"/>
              </w:rPr>
              <w:t>质量管理体系与措施（0</w:t>
            </w:r>
            <w:r>
              <w:rPr>
                <w:szCs w:val="21"/>
              </w:rPr>
              <w:t>~</w:t>
            </w:r>
            <w:r>
              <w:rPr>
                <w:rFonts w:hint="eastAsia"/>
                <w:szCs w:val="21"/>
                <w:lang w:val="en-US" w:eastAsia="zh-CN"/>
              </w:rPr>
              <w:t>3</w:t>
            </w:r>
            <w:r>
              <w:rPr>
                <w:rFonts w:hint="eastAsia"/>
                <w:szCs w:val="21"/>
              </w:rPr>
              <w:t>分</w:t>
            </w:r>
            <w:r>
              <w:rPr>
                <w:szCs w:val="21"/>
              </w:rPr>
              <w:t>）</w:t>
            </w:r>
          </w:p>
        </w:tc>
        <w:tc>
          <w:tcPr>
            <w:tcW w:w="4305" w:type="dxa"/>
            <w:vAlign w:val="center"/>
          </w:tcPr>
          <w:p>
            <w:pPr>
              <w:pageBreakBefore w:val="0"/>
              <w:kinsoku/>
              <w:wordWrap/>
              <w:overflowPunct/>
              <w:topLinePunct w:val="0"/>
              <w:autoSpaceDE/>
              <w:autoSpaceDN/>
              <w:bidi w:val="0"/>
              <w:adjustRightInd/>
              <w:snapToGrid/>
              <w:spacing w:line="360" w:lineRule="auto"/>
              <w:jc w:val="left"/>
              <w:rPr>
                <w:rFonts w:ascii="宋体" w:hAnsi="宋体"/>
                <w:szCs w:val="21"/>
              </w:rPr>
            </w:pPr>
            <w:r>
              <w:rPr>
                <w:rFonts w:hint="eastAsia"/>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得</w:t>
            </w:r>
            <w:r>
              <w:rPr>
                <w:rFonts w:hint="eastAsia"/>
                <w:szCs w:val="21"/>
                <w:lang w:val="en-US" w:eastAsia="zh-CN"/>
              </w:rPr>
              <w:t>2</w:t>
            </w:r>
            <w:r>
              <w:rPr>
                <w:rFonts w:hint="eastAsia"/>
                <w:szCs w:val="21"/>
              </w:rPr>
              <w:t>~</w:t>
            </w:r>
            <w:r>
              <w:rPr>
                <w:rFonts w:hint="eastAsia"/>
                <w:szCs w:val="21"/>
                <w:lang w:val="en-US" w:eastAsia="zh-CN"/>
              </w:rPr>
              <w:t>3</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751"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1148"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2321" w:type="dxa"/>
            <w:vMerge w:val="continue"/>
            <w:vAlign w:val="center"/>
          </w:tcPr>
          <w:p>
            <w:pPr>
              <w:pageBreakBefore w:val="0"/>
              <w:kinsoku/>
              <w:wordWrap/>
              <w:overflowPunct/>
              <w:topLinePunct w:val="0"/>
              <w:autoSpaceDE/>
              <w:autoSpaceDN/>
              <w:bidi w:val="0"/>
              <w:adjustRightInd/>
              <w:snapToGrid/>
              <w:spacing w:line="360" w:lineRule="auto"/>
              <w:rPr>
                <w:rFonts w:ascii="宋体" w:hAnsi="宋体" w:cs="宋体"/>
                <w:kern w:val="0"/>
                <w:szCs w:val="21"/>
              </w:rPr>
            </w:pPr>
          </w:p>
        </w:tc>
        <w:tc>
          <w:tcPr>
            <w:tcW w:w="4305" w:type="dxa"/>
            <w:vAlign w:val="center"/>
          </w:tcPr>
          <w:p>
            <w:pPr>
              <w:pageBreakBefore w:val="0"/>
              <w:kinsoku/>
              <w:wordWrap/>
              <w:overflowPunct/>
              <w:topLinePunct w:val="0"/>
              <w:autoSpaceDE/>
              <w:autoSpaceDN/>
              <w:bidi w:val="0"/>
              <w:adjustRightInd/>
              <w:snapToGrid/>
              <w:spacing w:line="360" w:lineRule="auto"/>
              <w:jc w:val="left"/>
              <w:rPr>
                <w:rFonts w:ascii="宋体" w:hAnsi="宋体"/>
                <w:szCs w:val="21"/>
              </w:rPr>
            </w:pPr>
            <w:r>
              <w:rPr>
                <w:rFonts w:hint="eastAsia"/>
                <w:szCs w:val="21"/>
              </w:rPr>
              <w:t>组织机构形式基本合理，指挥系统、质量监控系统、联络协调系统，具体措施可行。主体结构质量保证措施经济、安全、基本可行。主体结构、装饰装修符合工程建设强制性标准，不得偷工减料。得</w:t>
            </w:r>
            <w:r>
              <w:rPr>
                <w:szCs w:val="21"/>
              </w:rPr>
              <w:t>1</w:t>
            </w:r>
            <w:r>
              <w:rPr>
                <w:rFonts w:hint="eastAsia"/>
                <w:szCs w:val="21"/>
              </w:rPr>
              <w:t>~</w:t>
            </w:r>
            <w:r>
              <w:rPr>
                <w:rFonts w:hint="eastAsia"/>
                <w:szCs w:val="21"/>
                <w:lang w:val="en-US" w:eastAsia="zh-CN"/>
              </w:rPr>
              <w:t>2</w:t>
            </w:r>
            <w:r>
              <w:rPr>
                <w:rFonts w:hint="eastAsia"/>
                <w:szCs w:val="21"/>
              </w:rPr>
              <w:t>分</w:t>
            </w:r>
            <w:r>
              <w:rPr>
                <w:rFonts w:hint="eastAsia"/>
                <w:color w:val="FF0000"/>
                <w:szCs w:val="21"/>
              </w:rPr>
              <w:t>，缺项为0分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1"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1148"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2321" w:type="dxa"/>
            <w:vMerge w:val="restart"/>
            <w:vAlign w:val="center"/>
          </w:tcPr>
          <w:p>
            <w:pPr>
              <w:pageBreakBefore w:val="0"/>
              <w:kinsoku/>
              <w:wordWrap/>
              <w:overflowPunct/>
              <w:topLinePunct w:val="0"/>
              <w:autoSpaceDE/>
              <w:autoSpaceDN/>
              <w:bidi w:val="0"/>
              <w:adjustRightInd/>
              <w:snapToGrid/>
              <w:spacing w:line="360" w:lineRule="auto"/>
              <w:rPr>
                <w:rFonts w:ascii="宋体" w:hAnsi="宋体" w:cs="宋体"/>
                <w:kern w:val="0"/>
                <w:szCs w:val="21"/>
              </w:rPr>
            </w:pPr>
            <w:r>
              <w:rPr>
                <w:rFonts w:hint="eastAsia"/>
                <w:szCs w:val="21"/>
              </w:rPr>
              <w:t>安全管理体系与措施（0</w:t>
            </w:r>
            <w:r>
              <w:rPr>
                <w:szCs w:val="21"/>
              </w:rPr>
              <w:t>~</w:t>
            </w:r>
            <w:r>
              <w:rPr>
                <w:rFonts w:hint="eastAsia"/>
                <w:szCs w:val="21"/>
                <w:lang w:val="en-US" w:eastAsia="zh-CN"/>
              </w:rPr>
              <w:t>3</w:t>
            </w:r>
            <w:r>
              <w:rPr>
                <w:rFonts w:hint="eastAsia"/>
                <w:szCs w:val="21"/>
              </w:rPr>
              <w:t>分</w:t>
            </w:r>
            <w:r>
              <w:rPr>
                <w:szCs w:val="21"/>
              </w:rPr>
              <w:t>）</w:t>
            </w:r>
          </w:p>
        </w:tc>
        <w:tc>
          <w:tcPr>
            <w:tcW w:w="4305" w:type="dxa"/>
            <w:vAlign w:val="center"/>
          </w:tcPr>
          <w:p>
            <w:pPr>
              <w:pageBreakBefore w:val="0"/>
              <w:kinsoku/>
              <w:wordWrap/>
              <w:overflowPunct/>
              <w:topLinePunct w:val="0"/>
              <w:autoSpaceDE/>
              <w:autoSpaceDN/>
              <w:bidi w:val="0"/>
              <w:adjustRightInd/>
              <w:snapToGrid/>
              <w:spacing w:line="360" w:lineRule="auto"/>
              <w:jc w:val="left"/>
              <w:rPr>
                <w:rFonts w:ascii="宋体" w:hAnsi="宋体"/>
                <w:szCs w:val="21"/>
              </w:rPr>
            </w:pPr>
            <w:r>
              <w:rPr>
                <w:rFonts w:hint="eastAsia"/>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得</w:t>
            </w:r>
            <w:r>
              <w:rPr>
                <w:rFonts w:hint="eastAsia"/>
                <w:szCs w:val="21"/>
                <w:lang w:val="en-US" w:eastAsia="zh-CN"/>
              </w:rPr>
              <w:t>2</w:t>
            </w:r>
            <w:r>
              <w:rPr>
                <w:rFonts w:hint="eastAsia"/>
                <w:szCs w:val="21"/>
              </w:rPr>
              <w:t>~</w:t>
            </w:r>
            <w:r>
              <w:rPr>
                <w:rFonts w:hint="eastAsia"/>
                <w:szCs w:val="21"/>
                <w:lang w:val="en-US" w:eastAsia="zh-CN"/>
              </w:rPr>
              <w:t>3</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51"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1148"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2321" w:type="dxa"/>
            <w:vMerge w:val="continue"/>
            <w:vAlign w:val="center"/>
          </w:tcPr>
          <w:p>
            <w:pPr>
              <w:pageBreakBefore w:val="0"/>
              <w:kinsoku/>
              <w:wordWrap/>
              <w:overflowPunct/>
              <w:topLinePunct w:val="0"/>
              <w:autoSpaceDE/>
              <w:autoSpaceDN/>
              <w:bidi w:val="0"/>
              <w:adjustRightInd/>
              <w:snapToGrid/>
              <w:spacing w:line="360" w:lineRule="auto"/>
              <w:rPr>
                <w:rFonts w:ascii="宋体" w:hAnsi="宋体" w:cs="宋体"/>
                <w:kern w:val="0"/>
                <w:szCs w:val="21"/>
              </w:rPr>
            </w:pPr>
          </w:p>
        </w:tc>
        <w:tc>
          <w:tcPr>
            <w:tcW w:w="4305" w:type="dxa"/>
            <w:vAlign w:val="center"/>
          </w:tcPr>
          <w:p>
            <w:pPr>
              <w:pageBreakBefore w:val="0"/>
              <w:kinsoku/>
              <w:wordWrap/>
              <w:overflowPunct/>
              <w:topLinePunct w:val="0"/>
              <w:autoSpaceDE/>
              <w:autoSpaceDN/>
              <w:bidi w:val="0"/>
              <w:adjustRightInd/>
              <w:snapToGrid/>
              <w:spacing w:line="360" w:lineRule="auto"/>
              <w:jc w:val="left"/>
              <w:rPr>
                <w:rFonts w:ascii="宋体" w:hAnsi="宋体"/>
                <w:szCs w:val="21"/>
              </w:rPr>
            </w:pPr>
            <w:r>
              <w:rPr>
                <w:rFonts w:hint="eastAsia"/>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得</w:t>
            </w:r>
            <w:r>
              <w:rPr>
                <w:szCs w:val="21"/>
              </w:rPr>
              <w:t>1~</w:t>
            </w:r>
            <w:r>
              <w:rPr>
                <w:rFonts w:hint="eastAsia"/>
                <w:szCs w:val="21"/>
                <w:lang w:val="en-US" w:eastAsia="zh-CN"/>
              </w:rPr>
              <w:t>2</w:t>
            </w:r>
            <w:r>
              <w:rPr>
                <w:rFonts w:hint="eastAsia"/>
                <w:szCs w:val="21"/>
              </w:rPr>
              <w:t>分</w:t>
            </w:r>
            <w:r>
              <w:rPr>
                <w:rFonts w:hint="eastAsia"/>
                <w:color w:val="FF0000"/>
                <w:szCs w:val="21"/>
              </w:rPr>
              <w:t>，缺项为0分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51"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1148"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2321" w:type="dxa"/>
            <w:vMerge w:val="restart"/>
            <w:vAlign w:val="center"/>
          </w:tcPr>
          <w:p>
            <w:pPr>
              <w:pageBreakBefore w:val="0"/>
              <w:widowControl/>
              <w:shd w:val="clear" w:color="auto" w:fill="FFFFFF"/>
              <w:kinsoku/>
              <w:wordWrap/>
              <w:overflowPunct/>
              <w:topLinePunct w:val="0"/>
              <w:autoSpaceDE/>
              <w:autoSpaceDN/>
              <w:bidi w:val="0"/>
              <w:adjustRightInd/>
              <w:snapToGrid/>
              <w:spacing w:line="360" w:lineRule="auto"/>
              <w:jc w:val="left"/>
              <w:rPr>
                <w:rFonts w:ascii="宋体" w:hAnsi="宋体"/>
                <w:szCs w:val="21"/>
              </w:rPr>
            </w:pPr>
            <w:r>
              <w:rPr>
                <w:rFonts w:hint="eastAsia"/>
                <w:szCs w:val="21"/>
              </w:rPr>
              <w:t>文明施工、环境保护管理体系及施工现场扬尘治理措施（0</w:t>
            </w:r>
            <w:r>
              <w:rPr>
                <w:szCs w:val="21"/>
              </w:rPr>
              <w:t>~</w:t>
            </w:r>
            <w:r>
              <w:rPr>
                <w:rFonts w:hint="eastAsia"/>
                <w:szCs w:val="21"/>
                <w:lang w:val="en-US" w:eastAsia="zh-CN"/>
              </w:rPr>
              <w:t>4</w:t>
            </w:r>
            <w:r>
              <w:rPr>
                <w:rFonts w:hint="eastAsia"/>
                <w:szCs w:val="21"/>
              </w:rPr>
              <w:t>分</w:t>
            </w:r>
            <w:r>
              <w:rPr>
                <w:szCs w:val="21"/>
              </w:rPr>
              <w:t>）</w:t>
            </w:r>
          </w:p>
        </w:tc>
        <w:tc>
          <w:tcPr>
            <w:tcW w:w="4305" w:type="dxa"/>
            <w:vAlign w:val="center"/>
          </w:tcPr>
          <w:p>
            <w:pPr>
              <w:pageBreakBefore w:val="0"/>
              <w:kinsoku/>
              <w:wordWrap/>
              <w:overflowPunct/>
              <w:topLinePunct w:val="0"/>
              <w:autoSpaceDE/>
              <w:autoSpaceDN/>
              <w:bidi w:val="0"/>
              <w:adjustRightInd/>
              <w:snapToGrid/>
              <w:spacing w:line="360" w:lineRule="auto"/>
              <w:jc w:val="left"/>
              <w:rPr>
                <w:rFonts w:ascii="宋体" w:hAnsi="宋体"/>
                <w:szCs w:val="21"/>
              </w:rPr>
            </w:pPr>
            <w:r>
              <w:rPr>
                <w:rFonts w:hint="eastAsia"/>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w:t>
            </w:r>
            <w:r>
              <w:rPr>
                <w:szCs w:val="21"/>
              </w:rPr>
              <w:t>DBJ41/174</w:t>
            </w:r>
            <w:r>
              <w:rPr>
                <w:rFonts w:hint="eastAsia"/>
                <w:szCs w:val="21"/>
              </w:rPr>
              <w:t>）的规定，防治方案科学、先进。得</w:t>
            </w:r>
            <w:r>
              <w:rPr>
                <w:szCs w:val="21"/>
              </w:rPr>
              <w:t>2</w:t>
            </w:r>
            <w:r>
              <w:rPr>
                <w:rFonts w:hint="eastAsia"/>
                <w:szCs w:val="21"/>
              </w:rPr>
              <w:t>~</w:t>
            </w:r>
            <w:r>
              <w:rPr>
                <w:rFonts w:hint="eastAsia"/>
                <w:szCs w:val="21"/>
                <w:lang w:val="en-US" w:eastAsia="zh-CN"/>
              </w:rPr>
              <w:t>4</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51"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1148"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2321" w:type="dxa"/>
            <w:vMerge w:val="continue"/>
            <w:vAlign w:val="center"/>
          </w:tcPr>
          <w:p>
            <w:pPr>
              <w:pageBreakBefore w:val="0"/>
              <w:widowControl/>
              <w:shd w:val="clear" w:color="auto" w:fill="FFFFFF"/>
              <w:kinsoku/>
              <w:wordWrap/>
              <w:overflowPunct/>
              <w:topLinePunct w:val="0"/>
              <w:autoSpaceDE/>
              <w:autoSpaceDN/>
              <w:bidi w:val="0"/>
              <w:adjustRightInd/>
              <w:snapToGrid/>
              <w:spacing w:line="360" w:lineRule="auto"/>
              <w:jc w:val="left"/>
              <w:rPr>
                <w:rFonts w:ascii="宋体" w:hAnsi="宋体"/>
                <w:szCs w:val="21"/>
              </w:rPr>
            </w:pPr>
          </w:p>
        </w:tc>
        <w:tc>
          <w:tcPr>
            <w:tcW w:w="4305" w:type="dxa"/>
            <w:vAlign w:val="center"/>
          </w:tcPr>
          <w:p>
            <w:pPr>
              <w:pageBreakBefore w:val="0"/>
              <w:kinsoku/>
              <w:wordWrap/>
              <w:overflowPunct/>
              <w:topLinePunct w:val="0"/>
              <w:autoSpaceDE/>
              <w:autoSpaceDN/>
              <w:bidi w:val="0"/>
              <w:adjustRightInd/>
              <w:snapToGrid/>
              <w:spacing w:line="360" w:lineRule="auto"/>
              <w:jc w:val="left"/>
              <w:rPr>
                <w:rFonts w:ascii="宋体" w:hAnsi="宋体"/>
                <w:szCs w:val="21"/>
              </w:rPr>
            </w:pPr>
            <w:r>
              <w:rPr>
                <w:rFonts w:hint="eastAsia"/>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w:t>
            </w:r>
            <w:r>
              <w:rPr>
                <w:szCs w:val="21"/>
              </w:rPr>
              <w:t>DBJ41/174</w:t>
            </w:r>
            <w:r>
              <w:rPr>
                <w:rFonts w:hint="eastAsia"/>
                <w:szCs w:val="21"/>
              </w:rPr>
              <w:t>）的规定，有防治方案。得</w:t>
            </w:r>
            <w:r>
              <w:rPr>
                <w:szCs w:val="21"/>
              </w:rPr>
              <w:t>1~2</w:t>
            </w:r>
            <w:r>
              <w:rPr>
                <w:rFonts w:hint="eastAsia"/>
                <w:szCs w:val="21"/>
              </w:rPr>
              <w:t>分</w:t>
            </w:r>
            <w:r>
              <w:rPr>
                <w:rFonts w:hint="eastAsia"/>
                <w:color w:val="FF0000"/>
                <w:szCs w:val="21"/>
              </w:rPr>
              <w:t>，缺项为0分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751"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1148"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2321" w:type="dxa"/>
            <w:vMerge w:val="restart"/>
            <w:vAlign w:val="center"/>
          </w:tcPr>
          <w:p>
            <w:pPr>
              <w:pageBreakBefore w:val="0"/>
              <w:kinsoku/>
              <w:wordWrap/>
              <w:overflowPunct/>
              <w:topLinePunct w:val="0"/>
              <w:autoSpaceDE/>
              <w:autoSpaceDN/>
              <w:bidi w:val="0"/>
              <w:adjustRightInd/>
              <w:snapToGrid/>
              <w:spacing w:line="360" w:lineRule="auto"/>
              <w:rPr>
                <w:rFonts w:ascii="宋体" w:hAnsi="宋体"/>
                <w:szCs w:val="21"/>
              </w:rPr>
            </w:pPr>
            <w:r>
              <w:rPr>
                <w:rFonts w:hint="eastAsia"/>
                <w:szCs w:val="21"/>
              </w:rPr>
              <w:t>工期保证措施（0</w:t>
            </w:r>
            <w:r>
              <w:rPr>
                <w:szCs w:val="21"/>
              </w:rPr>
              <w:t>~</w:t>
            </w:r>
            <w:r>
              <w:rPr>
                <w:rFonts w:hint="eastAsia"/>
                <w:szCs w:val="21"/>
                <w:lang w:val="en-US" w:eastAsia="zh-CN"/>
              </w:rPr>
              <w:t>3</w:t>
            </w:r>
            <w:r>
              <w:rPr>
                <w:rFonts w:hint="eastAsia"/>
                <w:szCs w:val="21"/>
              </w:rPr>
              <w:t>分</w:t>
            </w:r>
            <w:r>
              <w:rPr>
                <w:szCs w:val="21"/>
              </w:rPr>
              <w:t>）</w:t>
            </w:r>
          </w:p>
        </w:tc>
        <w:tc>
          <w:tcPr>
            <w:tcW w:w="4305" w:type="dxa"/>
            <w:vAlign w:val="center"/>
          </w:tcPr>
          <w:p>
            <w:pPr>
              <w:pageBreakBefore w:val="0"/>
              <w:kinsoku/>
              <w:wordWrap/>
              <w:overflowPunct/>
              <w:topLinePunct w:val="0"/>
              <w:autoSpaceDE/>
              <w:autoSpaceDN/>
              <w:bidi w:val="0"/>
              <w:adjustRightInd/>
              <w:snapToGrid/>
              <w:spacing w:line="360" w:lineRule="auto"/>
              <w:jc w:val="left"/>
              <w:rPr>
                <w:rFonts w:ascii="宋体" w:hAnsi="宋体"/>
                <w:szCs w:val="21"/>
              </w:rPr>
            </w:pPr>
            <w:r>
              <w:rPr>
                <w:rFonts w:hint="eastAsia"/>
                <w:szCs w:val="21"/>
              </w:rPr>
              <w:t>工期承诺满足招标文件要求，工期保证措施合理且有针对性，有具体的违约责任承诺。得</w:t>
            </w:r>
            <w:r>
              <w:rPr>
                <w:rFonts w:hint="eastAsia"/>
                <w:szCs w:val="21"/>
                <w:lang w:val="en-US" w:eastAsia="zh-CN"/>
              </w:rPr>
              <w:t>2</w:t>
            </w:r>
            <w:r>
              <w:rPr>
                <w:rFonts w:hint="eastAsia"/>
                <w:szCs w:val="21"/>
              </w:rPr>
              <w:t>~</w:t>
            </w:r>
            <w:r>
              <w:rPr>
                <w:rFonts w:hint="eastAsia"/>
                <w:szCs w:val="21"/>
                <w:lang w:val="en-US" w:eastAsia="zh-CN"/>
              </w:rPr>
              <w:t>3</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51"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1148"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2321" w:type="dxa"/>
            <w:vMerge w:val="continue"/>
            <w:vAlign w:val="center"/>
          </w:tcPr>
          <w:p>
            <w:pPr>
              <w:pageBreakBefore w:val="0"/>
              <w:kinsoku/>
              <w:wordWrap/>
              <w:overflowPunct/>
              <w:topLinePunct w:val="0"/>
              <w:autoSpaceDE/>
              <w:autoSpaceDN/>
              <w:bidi w:val="0"/>
              <w:adjustRightInd/>
              <w:snapToGrid/>
              <w:spacing w:line="360" w:lineRule="auto"/>
              <w:rPr>
                <w:rFonts w:ascii="宋体" w:hAnsi="宋体"/>
                <w:szCs w:val="21"/>
              </w:rPr>
            </w:pPr>
          </w:p>
        </w:tc>
        <w:tc>
          <w:tcPr>
            <w:tcW w:w="4305" w:type="dxa"/>
            <w:vAlign w:val="center"/>
          </w:tcPr>
          <w:p>
            <w:pPr>
              <w:pageBreakBefore w:val="0"/>
              <w:kinsoku/>
              <w:wordWrap/>
              <w:overflowPunct/>
              <w:topLinePunct w:val="0"/>
              <w:autoSpaceDE/>
              <w:autoSpaceDN/>
              <w:bidi w:val="0"/>
              <w:adjustRightInd/>
              <w:snapToGrid/>
              <w:spacing w:line="360" w:lineRule="auto"/>
              <w:jc w:val="left"/>
              <w:rPr>
                <w:rFonts w:ascii="宋体" w:hAnsi="宋体"/>
                <w:szCs w:val="21"/>
              </w:rPr>
            </w:pPr>
            <w:r>
              <w:rPr>
                <w:rFonts w:hint="eastAsia"/>
                <w:szCs w:val="21"/>
              </w:rPr>
              <w:t>工期承诺满足招标文件要求，工期保证措施基本合理，有具体的违约责任承诺。得</w:t>
            </w:r>
            <w:r>
              <w:rPr>
                <w:szCs w:val="21"/>
              </w:rPr>
              <w:t>1~</w:t>
            </w:r>
            <w:r>
              <w:rPr>
                <w:rFonts w:hint="eastAsia"/>
                <w:szCs w:val="21"/>
                <w:lang w:val="en-US" w:eastAsia="zh-CN"/>
              </w:rPr>
              <w:t>2</w:t>
            </w:r>
            <w:r>
              <w:rPr>
                <w:rFonts w:hint="eastAsia"/>
                <w:szCs w:val="21"/>
              </w:rPr>
              <w:t>分</w:t>
            </w:r>
            <w:r>
              <w:rPr>
                <w:color w:val="FF0000"/>
                <w:szCs w:val="21"/>
              </w:rPr>
              <w:t>，</w:t>
            </w:r>
            <w:r>
              <w:rPr>
                <w:rFonts w:hint="eastAsia"/>
                <w:color w:val="FF0000"/>
                <w:szCs w:val="21"/>
              </w:rPr>
              <w:t>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751"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1148"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2321" w:type="dxa"/>
            <w:vMerge w:val="restart"/>
            <w:vAlign w:val="center"/>
          </w:tcPr>
          <w:p>
            <w:pPr>
              <w:pageBreakBefore w:val="0"/>
              <w:kinsoku/>
              <w:wordWrap/>
              <w:overflowPunct/>
              <w:topLinePunct w:val="0"/>
              <w:autoSpaceDE/>
              <w:autoSpaceDN/>
              <w:bidi w:val="0"/>
              <w:adjustRightInd/>
              <w:snapToGrid/>
              <w:spacing w:line="360" w:lineRule="auto"/>
              <w:rPr>
                <w:rFonts w:ascii="宋体" w:hAnsi="宋体"/>
                <w:szCs w:val="21"/>
              </w:rPr>
            </w:pPr>
            <w:r>
              <w:rPr>
                <w:rFonts w:hint="eastAsia"/>
                <w:szCs w:val="21"/>
              </w:rPr>
              <w:t>拟投入资源配备计划（0</w:t>
            </w:r>
            <w:r>
              <w:rPr>
                <w:szCs w:val="21"/>
              </w:rPr>
              <w:t>~</w:t>
            </w:r>
            <w:r>
              <w:rPr>
                <w:rFonts w:hint="eastAsia"/>
                <w:szCs w:val="21"/>
                <w:lang w:val="en-US" w:eastAsia="zh-CN"/>
              </w:rPr>
              <w:t>3</w:t>
            </w:r>
            <w:r>
              <w:rPr>
                <w:rFonts w:hint="eastAsia"/>
                <w:szCs w:val="21"/>
              </w:rPr>
              <w:t>分</w:t>
            </w:r>
            <w:r>
              <w:rPr>
                <w:szCs w:val="21"/>
              </w:rPr>
              <w:t>）</w:t>
            </w:r>
          </w:p>
        </w:tc>
        <w:tc>
          <w:tcPr>
            <w:tcW w:w="4305" w:type="dxa"/>
            <w:vAlign w:val="center"/>
          </w:tcPr>
          <w:p>
            <w:pPr>
              <w:pageBreakBefore w:val="0"/>
              <w:kinsoku/>
              <w:wordWrap/>
              <w:overflowPunct/>
              <w:topLinePunct w:val="0"/>
              <w:autoSpaceDE/>
              <w:autoSpaceDN/>
              <w:bidi w:val="0"/>
              <w:adjustRightInd/>
              <w:snapToGrid/>
              <w:spacing w:line="360" w:lineRule="auto"/>
              <w:rPr>
                <w:szCs w:val="21"/>
              </w:rPr>
            </w:pPr>
            <w:r>
              <w:rPr>
                <w:szCs w:val="21"/>
              </w:rPr>
              <w:t>1.</w:t>
            </w:r>
            <w:r>
              <w:rPr>
                <w:rFonts w:hint="eastAsia"/>
                <w:szCs w:val="21"/>
              </w:rPr>
              <w:t>机械：投入计划与进度计划呼应，采用先进机械设备且配置合理、先进，满足安全技术规范和施工进度需要；</w:t>
            </w:r>
            <w:r>
              <w:rPr>
                <w:szCs w:val="21"/>
              </w:rPr>
              <w:t>PC</w:t>
            </w:r>
            <w:r>
              <w:rPr>
                <w:rFonts w:hint="eastAsia"/>
                <w:szCs w:val="21"/>
              </w:rPr>
              <w:t>构件运输、安装设备满足施工要求；</w:t>
            </w:r>
          </w:p>
          <w:p>
            <w:pPr>
              <w:pageBreakBefore w:val="0"/>
              <w:kinsoku/>
              <w:wordWrap/>
              <w:overflowPunct/>
              <w:topLinePunct w:val="0"/>
              <w:autoSpaceDE/>
              <w:autoSpaceDN/>
              <w:bidi w:val="0"/>
              <w:adjustRightInd/>
              <w:snapToGrid/>
              <w:spacing w:line="360" w:lineRule="auto"/>
              <w:rPr>
                <w:szCs w:val="21"/>
              </w:rPr>
            </w:pPr>
            <w:r>
              <w:rPr>
                <w:szCs w:val="21"/>
              </w:rPr>
              <w:t>2.</w:t>
            </w:r>
            <w:r>
              <w:rPr>
                <w:rFonts w:hint="eastAsia"/>
                <w:szCs w:val="21"/>
              </w:rPr>
              <w:t>劳动力：投入计划与进度计划呼应，较好满足施工需要，调配投入计划合理、准确；</w:t>
            </w:r>
          </w:p>
          <w:p>
            <w:pPr>
              <w:pageBreakBefore w:val="0"/>
              <w:kinsoku/>
              <w:wordWrap/>
              <w:overflowPunct/>
              <w:topLinePunct w:val="0"/>
              <w:autoSpaceDE/>
              <w:autoSpaceDN/>
              <w:bidi w:val="0"/>
              <w:adjustRightInd/>
              <w:snapToGrid/>
              <w:spacing w:line="360" w:lineRule="auto"/>
              <w:jc w:val="left"/>
              <w:rPr>
                <w:rFonts w:ascii="宋体" w:hAnsi="宋体"/>
                <w:szCs w:val="21"/>
              </w:rPr>
            </w:pPr>
            <w:r>
              <w:rPr>
                <w:szCs w:val="21"/>
              </w:rPr>
              <w:t>3.</w:t>
            </w:r>
            <w:r>
              <w:rPr>
                <w:rFonts w:hint="eastAsia"/>
                <w:szCs w:val="21"/>
              </w:rPr>
              <w:t>主要物资计划：主要物资（含</w:t>
            </w:r>
            <w:r>
              <w:rPr>
                <w:szCs w:val="21"/>
              </w:rPr>
              <w:t>PC</w:t>
            </w:r>
            <w:r>
              <w:rPr>
                <w:rFonts w:hint="eastAsia"/>
                <w:szCs w:val="21"/>
              </w:rPr>
              <w:t>构件的供应需求）投入计划与进度计划呼应，较好满足施工需要，调配投入计划合理、准确。得</w:t>
            </w:r>
            <w:r>
              <w:rPr>
                <w:rFonts w:hint="eastAsia"/>
                <w:szCs w:val="21"/>
                <w:lang w:val="en-US" w:eastAsia="zh-CN"/>
              </w:rPr>
              <w:t>2</w:t>
            </w:r>
            <w:r>
              <w:rPr>
                <w:rFonts w:hint="eastAsia"/>
                <w:szCs w:val="21"/>
              </w:rPr>
              <w:t>~</w:t>
            </w:r>
            <w:r>
              <w:rPr>
                <w:rFonts w:hint="eastAsia"/>
                <w:szCs w:val="21"/>
                <w:lang w:val="en-US" w:eastAsia="zh-CN"/>
              </w:rPr>
              <w:t>3</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751"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1148"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2321" w:type="dxa"/>
            <w:vMerge w:val="continue"/>
            <w:vAlign w:val="center"/>
          </w:tcPr>
          <w:p>
            <w:pPr>
              <w:pageBreakBefore w:val="0"/>
              <w:kinsoku/>
              <w:wordWrap/>
              <w:overflowPunct/>
              <w:topLinePunct w:val="0"/>
              <w:autoSpaceDE/>
              <w:autoSpaceDN/>
              <w:bidi w:val="0"/>
              <w:adjustRightInd/>
              <w:snapToGrid/>
              <w:spacing w:line="360" w:lineRule="auto"/>
              <w:rPr>
                <w:rFonts w:ascii="宋体" w:hAnsi="宋体"/>
                <w:szCs w:val="21"/>
              </w:rPr>
            </w:pPr>
          </w:p>
        </w:tc>
        <w:tc>
          <w:tcPr>
            <w:tcW w:w="4305" w:type="dxa"/>
            <w:vAlign w:val="center"/>
          </w:tcPr>
          <w:p>
            <w:pPr>
              <w:pageBreakBefore w:val="0"/>
              <w:kinsoku/>
              <w:wordWrap/>
              <w:overflowPunct/>
              <w:topLinePunct w:val="0"/>
              <w:autoSpaceDE/>
              <w:autoSpaceDN/>
              <w:bidi w:val="0"/>
              <w:adjustRightInd/>
              <w:snapToGrid/>
              <w:spacing w:line="360" w:lineRule="auto"/>
              <w:rPr>
                <w:szCs w:val="21"/>
              </w:rPr>
            </w:pPr>
            <w:r>
              <w:rPr>
                <w:szCs w:val="21"/>
              </w:rPr>
              <w:t>1.</w:t>
            </w:r>
            <w:r>
              <w:rPr>
                <w:rFonts w:hint="eastAsia"/>
                <w:szCs w:val="21"/>
              </w:rPr>
              <w:t>机械：投入计划与进度计划呼应，机械设备配置基本合理，满足安全技术规范和施工进度需要；</w:t>
            </w:r>
          </w:p>
          <w:p>
            <w:pPr>
              <w:pageBreakBefore w:val="0"/>
              <w:kinsoku/>
              <w:wordWrap/>
              <w:overflowPunct/>
              <w:topLinePunct w:val="0"/>
              <w:autoSpaceDE/>
              <w:autoSpaceDN/>
              <w:bidi w:val="0"/>
              <w:adjustRightInd/>
              <w:snapToGrid/>
              <w:spacing w:line="360" w:lineRule="auto"/>
              <w:rPr>
                <w:szCs w:val="21"/>
              </w:rPr>
            </w:pPr>
            <w:r>
              <w:rPr>
                <w:szCs w:val="21"/>
              </w:rPr>
              <w:t>2.</w:t>
            </w:r>
            <w:r>
              <w:rPr>
                <w:rFonts w:hint="eastAsia"/>
                <w:szCs w:val="21"/>
              </w:rPr>
              <w:t>劳动力：投入计划与进度计划呼应，基本满足施工需要，调配投入计划基本合理；</w:t>
            </w:r>
          </w:p>
          <w:p>
            <w:pPr>
              <w:pageBreakBefore w:val="0"/>
              <w:kinsoku/>
              <w:wordWrap/>
              <w:overflowPunct/>
              <w:topLinePunct w:val="0"/>
              <w:autoSpaceDE/>
              <w:autoSpaceDN/>
              <w:bidi w:val="0"/>
              <w:adjustRightInd/>
              <w:snapToGrid/>
              <w:spacing w:line="360" w:lineRule="auto"/>
              <w:jc w:val="left"/>
              <w:rPr>
                <w:rFonts w:ascii="宋体" w:hAnsi="宋体"/>
                <w:szCs w:val="21"/>
              </w:rPr>
            </w:pPr>
            <w:r>
              <w:rPr>
                <w:spacing w:val="-4"/>
                <w:szCs w:val="21"/>
              </w:rPr>
              <w:t>3.</w:t>
            </w:r>
            <w:r>
              <w:rPr>
                <w:rFonts w:hint="eastAsia"/>
                <w:spacing w:val="-4"/>
                <w:szCs w:val="21"/>
              </w:rPr>
              <w:t>主要物资计划：主要物资（含</w:t>
            </w:r>
            <w:r>
              <w:rPr>
                <w:spacing w:val="-4"/>
                <w:szCs w:val="21"/>
              </w:rPr>
              <w:t>PC</w:t>
            </w:r>
            <w:r>
              <w:rPr>
                <w:rFonts w:hint="eastAsia"/>
                <w:spacing w:val="-4"/>
                <w:szCs w:val="21"/>
              </w:rPr>
              <w:t>构件的供应需求）投入计划与进度计划呼应，基本满足施工需要，调配投入计划基本合理。得</w:t>
            </w:r>
            <w:r>
              <w:rPr>
                <w:rFonts w:hint="eastAsia"/>
                <w:szCs w:val="21"/>
                <w:lang w:val="en-US" w:eastAsia="zh-CN"/>
              </w:rPr>
              <w:t>1</w:t>
            </w:r>
            <w:r>
              <w:rPr>
                <w:szCs w:val="21"/>
              </w:rPr>
              <w:t>~</w:t>
            </w:r>
            <w:r>
              <w:rPr>
                <w:rFonts w:hint="eastAsia"/>
                <w:szCs w:val="21"/>
                <w:lang w:val="en-US" w:eastAsia="zh-CN"/>
              </w:rPr>
              <w:t>2</w:t>
            </w:r>
            <w:r>
              <w:rPr>
                <w:rFonts w:hint="eastAsia"/>
                <w:szCs w:val="21"/>
              </w:rPr>
              <w:t>分</w:t>
            </w:r>
            <w:r>
              <w:rPr>
                <w:rFonts w:hint="eastAsia"/>
                <w:color w:val="FF0000"/>
                <w:szCs w:val="21"/>
              </w:rPr>
              <w:t>，缺项为0分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1"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1148"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2321" w:type="dxa"/>
            <w:vMerge w:val="restart"/>
            <w:vAlign w:val="center"/>
          </w:tcPr>
          <w:p>
            <w:pPr>
              <w:pageBreakBefore w:val="0"/>
              <w:kinsoku/>
              <w:wordWrap/>
              <w:overflowPunct/>
              <w:topLinePunct w:val="0"/>
              <w:autoSpaceDE/>
              <w:autoSpaceDN/>
              <w:bidi w:val="0"/>
              <w:adjustRightInd/>
              <w:snapToGrid/>
              <w:spacing w:line="360" w:lineRule="auto"/>
              <w:rPr>
                <w:rFonts w:ascii="宋体" w:hAnsi="宋体"/>
                <w:szCs w:val="21"/>
              </w:rPr>
            </w:pPr>
            <w:r>
              <w:rPr>
                <w:rFonts w:hint="eastAsia"/>
                <w:szCs w:val="21"/>
              </w:rPr>
              <w:t>施工进度表与网络计划图</w:t>
            </w:r>
            <w:r>
              <w:rPr>
                <w:rFonts w:hint="eastAsia" w:ascii="宋体" w:hAnsi="宋体"/>
                <w:szCs w:val="21"/>
              </w:rPr>
              <w:t>（0</w:t>
            </w:r>
            <w:r>
              <w:rPr>
                <w:rFonts w:ascii="宋体" w:hAnsi="宋体"/>
                <w:szCs w:val="21"/>
              </w:rPr>
              <w:t>-</w:t>
            </w:r>
            <w:r>
              <w:rPr>
                <w:rFonts w:hint="eastAsia" w:ascii="宋体" w:hAnsi="宋体"/>
                <w:szCs w:val="21"/>
                <w:lang w:val="en-US" w:eastAsia="zh-CN"/>
              </w:rPr>
              <w:t>3</w:t>
            </w:r>
            <w:r>
              <w:rPr>
                <w:rFonts w:hint="eastAsia" w:ascii="宋体" w:hAnsi="宋体"/>
                <w:szCs w:val="21"/>
              </w:rPr>
              <w:t>分）</w:t>
            </w:r>
          </w:p>
        </w:tc>
        <w:tc>
          <w:tcPr>
            <w:tcW w:w="4305" w:type="dxa"/>
            <w:vAlign w:val="center"/>
          </w:tcPr>
          <w:p>
            <w:pPr>
              <w:pageBreakBefore w:val="0"/>
              <w:kinsoku/>
              <w:wordWrap/>
              <w:overflowPunct/>
              <w:topLinePunct w:val="0"/>
              <w:autoSpaceDE/>
              <w:autoSpaceDN/>
              <w:bidi w:val="0"/>
              <w:adjustRightInd/>
              <w:snapToGrid/>
              <w:spacing w:line="360" w:lineRule="auto"/>
              <w:jc w:val="left"/>
              <w:rPr>
                <w:rFonts w:ascii="宋体" w:hAnsi="宋体"/>
                <w:szCs w:val="21"/>
              </w:rPr>
            </w:pPr>
            <w:r>
              <w:rPr>
                <w:rFonts w:hint="eastAsia"/>
                <w:szCs w:val="21"/>
              </w:rPr>
              <w:t>关键线路清晰、准确、完整、计划编制合理、可行、满足招标文件对工期的要求。得</w:t>
            </w:r>
            <w:r>
              <w:rPr>
                <w:rFonts w:hint="eastAsia"/>
                <w:szCs w:val="21"/>
                <w:lang w:val="en-US" w:eastAsia="zh-CN"/>
              </w:rPr>
              <w:t>2</w:t>
            </w:r>
            <w:r>
              <w:rPr>
                <w:rFonts w:hint="eastAsia"/>
                <w:szCs w:val="21"/>
              </w:rPr>
              <w:t>~</w:t>
            </w:r>
            <w:r>
              <w:rPr>
                <w:rFonts w:hint="eastAsia"/>
                <w:szCs w:val="21"/>
                <w:lang w:val="en-US" w:eastAsia="zh-CN"/>
              </w:rPr>
              <w:t>3</w:t>
            </w:r>
            <w:r>
              <w:rPr>
                <w:rFonts w:hint="eastAsia"/>
                <w:szCs w:val="21"/>
              </w:rPr>
              <w:t>分</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751"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1148"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2321" w:type="dxa"/>
            <w:vMerge w:val="continue"/>
            <w:vAlign w:val="center"/>
          </w:tcPr>
          <w:p>
            <w:pPr>
              <w:pageBreakBefore w:val="0"/>
              <w:kinsoku/>
              <w:wordWrap/>
              <w:overflowPunct/>
              <w:topLinePunct w:val="0"/>
              <w:autoSpaceDE/>
              <w:autoSpaceDN/>
              <w:bidi w:val="0"/>
              <w:adjustRightInd/>
              <w:snapToGrid/>
              <w:spacing w:line="360" w:lineRule="auto"/>
              <w:rPr>
                <w:rFonts w:ascii="宋体" w:hAnsi="宋体"/>
                <w:szCs w:val="21"/>
              </w:rPr>
            </w:pPr>
          </w:p>
        </w:tc>
        <w:tc>
          <w:tcPr>
            <w:tcW w:w="4305" w:type="dxa"/>
            <w:vAlign w:val="center"/>
          </w:tcPr>
          <w:p>
            <w:pPr>
              <w:pageBreakBefore w:val="0"/>
              <w:kinsoku/>
              <w:wordWrap/>
              <w:overflowPunct/>
              <w:topLinePunct w:val="0"/>
              <w:autoSpaceDE/>
              <w:autoSpaceDN/>
              <w:bidi w:val="0"/>
              <w:adjustRightInd/>
              <w:snapToGrid/>
              <w:spacing w:line="360" w:lineRule="auto"/>
              <w:jc w:val="left"/>
              <w:rPr>
                <w:rFonts w:ascii="宋体" w:hAnsi="宋体"/>
                <w:szCs w:val="21"/>
              </w:rPr>
            </w:pPr>
            <w:r>
              <w:rPr>
                <w:rFonts w:hint="eastAsia"/>
                <w:szCs w:val="21"/>
              </w:rPr>
              <w:t>关键线路基本准确，计划编制基本可行。得</w:t>
            </w:r>
            <w:r>
              <w:rPr>
                <w:rFonts w:hint="eastAsia"/>
                <w:szCs w:val="21"/>
                <w:lang w:val="en-US" w:eastAsia="zh-CN"/>
              </w:rPr>
              <w:t>1</w:t>
            </w:r>
            <w:r>
              <w:rPr>
                <w:rFonts w:hint="eastAsia"/>
                <w:szCs w:val="21"/>
              </w:rPr>
              <w:t>~</w:t>
            </w:r>
            <w:r>
              <w:rPr>
                <w:rFonts w:hint="eastAsia"/>
                <w:szCs w:val="21"/>
                <w:lang w:val="en-US" w:eastAsia="zh-CN"/>
              </w:rPr>
              <w:t>2</w:t>
            </w:r>
            <w:r>
              <w:rPr>
                <w:rFonts w:hint="eastAsia"/>
                <w:szCs w:val="21"/>
              </w:rPr>
              <w:t>分</w:t>
            </w:r>
            <w:r>
              <w:rPr>
                <w:rFonts w:hint="eastAsia"/>
                <w:color w:val="FF0000"/>
                <w:szCs w:val="21"/>
              </w:rPr>
              <w:t>，缺项为0分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751"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1148"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2321" w:type="dxa"/>
            <w:vMerge w:val="restart"/>
            <w:vAlign w:val="center"/>
          </w:tcPr>
          <w:p>
            <w:pPr>
              <w:pageBreakBefore w:val="0"/>
              <w:kinsoku/>
              <w:wordWrap/>
              <w:overflowPunct/>
              <w:topLinePunct w:val="0"/>
              <w:autoSpaceDE/>
              <w:autoSpaceDN/>
              <w:bidi w:val="0"/>
              <w:adjustRightInd/>
              <w:snapToGrid/>
              <w:spacing w:line="360" w:lineRule="auto"/>
              <w:rPr>
                <w:rFonts w:ascii="宋体" w:hAnsi="宋体"/>
                <w:b/>
                <w:bCs/>
                <w:szCs w:val="21"/>
              </w:rPr>
            </w:pPr>
            <w:r>
              <w:rPr>
                <w:rFonts w:hint="eastAsia"/>
                <w:szCs w:val="21"/>
              </w:rPr>
              <w:t>施工总平面图布置</w:t>
            </w:r>
            <w:r>
              <w:rPr>
                <w:rFonts w:hint="eastAsia" w:ascii="宋体" w:hAnsi="宋体"/>
                <w:szCs w:val="21"/>
              </w:rPr>
              <w:t>（0</w:t>
            </w:r>
            <w:r>
              <w:rPr>
                <w:rFonts w:ascii="宋体" w:hAnsi="宋体"/>
                <w:szCs w:val="21"/>
              </w:rPr>
              <w:t>-</w:t>
            </w:r>
            <w:r>
              <w:rPr>
                <w:rFonts w:hint="eastAsia" w:ascii="宋体" w:hAnsi="宋体"/>
                <w:szCs w:val="21"/>
                <w:lang w:val="en-US" w:eastAsia="zh-CN"/>
              </w:rPr>
              <w:t>2</w:t>
            </w:r>
            <w:r>
              <w:rPr>
                <w:rFonts w:hint="eastAsia" w:ascii="宋体" w:hAnsi="宋体"/>
                <w:szCs w:val="21"/>
              </w:rPr>
              <w:t>分）</w:t>
            </w:r>
          </w:p>
        </w:tc>
        <w:tc>
          <w:tcPr>
            <w:tcW w:w="4305" w:type="dxa"/>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r>
              <w:rPr>
                <w:rFonts w:hint="eastAsia"/>
                <w:szCs w:val="21"/>
              </w:rPr>
              <w:t>总体布置有针对性、合理、能较好满足施工需要，符合安全、文明施工要求；材料堆放有序。得</w:t>
            </w:r>
            <w:r>
              <w:rPr>
                <w:rFonts w:hint="eastAsia"/>
                <w:szCs w:val="21"/>
                <w:lang w:val="en-US" w:eastAsia="zh-CN"/>
              </w:rPr>
              <w:t>2</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751"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1148"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2321" w:type="dxa"/>
            <w:vMerge w:val="continue"/>
            <w:vAlign w:val="center"/>
          </w:tcPr>
          <w:p>
            <w:pPr>
              <w:pageBreakBefore w:val="0"/>
              <w:kinsoku/>
              <w:wordWrap/>
              <w:overflowPunct/>
              <w:topLinePunct w:val="0"/>
              <w:autoSpaceDE/>
              <w:autoSpaceDN/>
              <w:bidi w:val="0"/>
              <w:adjustRightInd/>
              <w:snapToGrid/>
              <w:spacing w:line="360" w:lineRule="auto"/>
              <w:rPr>
                <w:rFonts w:ascii="宋体" w:hAnsi="宋体"/>
                <w:b/>
                <w:bCs/>
                <w:szCs w:val="21"/>
              </w:rPr>
            </w:pPr>
          </w:p>
        </w:tc>
        <w:tc>
          <w:tcPr>
            <w:tcW w:w="4305" w:type="dxa"/>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r>
              <w:rPr>
                <w:rFonts w:hint="eastAsia"/>
                <w:szCs w:val="21"/>
              </w:rPr>
              <w:t>总体布置基本合理、基本满足施工需要。得</w:t>
            </w:r>
            <w:r>
              <w:rPr>
                <w:rFonts w:hint="eastAsia"/>
                <w:szCs w:val="21"/>
                <w:lang w:val="en-US" w:eastAsia="zh-CN"/>
              </w:rPr>
              <w:t>1</w:t>
            </w:r>
            <w:r>
              <w:rPr>
                <w:rFonts w:hint="eastAsia"/>
                <w:szCs w:val="21"/>
              </w:rPr>
              <w:t>分</w:t>
            </w:r>
            <w:r>
              <w:rPr>
                <w:rFonts w:hint="eastAsia"/>
                <w:color w:val="FF0000"/>
                <w:szCs w:val="21"/>
              </w:rPr>
              <w:t>，缺项为0分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51"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1148"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2321" w:type="dxa"/>
            <w:vMerge w:val="restart"/>
            <w:vAlign w:val="center"/>
          </w:tcPr>
          <w:p>
            <w:pPr>
              <w:pageBreakBefore w:val="0"/>
              <w:kinsoku/>
              <w:wordWrap/>
              <w:overflowPunct/>
              <w:topLinePunct w:val="0"/>
              <w:autoSpaceDE/>
              <w:autoSpaceDN/>
              <w:bidi w:val="0"/>
              <w:adjustRightInd/>
              <w:snapToGrid/>
              <w:spacing w:line="360" w:lineRule="auto"/>
              <w:rPr>
                <w:rFonts w:ascii="宋体" w:hAnsi="宋体"/>
                <w:b/>
                <w:bCs/>
                <w:szCs w:val="21"/>
              </w:rPr>
            </w:pPr>
            <w:r>
              <w:rPr>
                <w:rFonts w:hint="eastAsia"/>
                <w:szCs w:val="21"/>
              </w:rPr>
              <w:t>技术创新的应用实施措施</w:t>
            </w:r>
            <w:r>
              <w:rPr>
                <w:rFonts w:hint="eastAsia" w:ascii="宋体" w:hAnsi="宋体"/>
                <w:szCs w:val="21"/>
              </w:rPr>
              <w:t>（0</w:t>
            </w:r>
            <w:r>
              <w:rPr>
                <w:rFonts w:ascii="宋体" w:hAnsi="宋体"/>
                <w:szCs w:val="21"/>
              </w:rPr>
              <w:t>-</w:t>
            </w:r>
            <w:r>
              <w:rPr>
                <w:rFonts w:hint="eastAsia" w:ascii="宋体" w:hAnsi="宋体"/>
                <w:szCs w:val="21"/>
                <w:lang w:val="en-US" w:eastAsia="zh-CN"/>
              </w:rPr>
              <w:t>3</w:t>
            </w:r>
            <w:r>
              <w:rPr>
                <w:rFonts w:hint="eastAsia" w:ascii="宋体" w:hAnsi="宋体"/>
                <w:szCs w:val="21"/>
              </w:rPr>
              <w:t>分）</w:t>
            </w:r>
          </w:p>
        </w:tc>
        <w:tc>
          <w:tcPr>
            <w:tcW w:w="4305" w:type="dxa"/>
            <w:vAlign w:val="center"/>
          </w:tcPr>
          <w:p>
            <w:pPr>
              <w:pageBreakBefore w:val="0"/>
              <w:kinsoku/>
              <w:wordWrap/>
              <w:overflowPunct/>
              <w:topLinePunct w:val="0"/>
              <w:autoSpaceDE/>
              <w:autoSpaceDN/>
              <w:bidi w:val="0"/>
              <w:adjustRightInd/>
              <w:snapToGrid/>
              <w:spacing w:line="360" w:lineRule="auto"/>
              <w:rPr>
                <w:rFonts w:ascii="宋体" w:hAnsi="宋体"/>
                <w:szCs w:val="21"/>
              </w:rPr>
            </w:pPr>
            <w:r>
              <w:rPr>
                <w:rFonts w:hint="eastAsia"/>
                <w:szCs w:val="21"/>
              </w:rPr>
              <w:t>（</w:t>
            </w:r>
            <w:r>
              <w:rPr>
                <w:szCs w:val="21"/>
              </w:rPr>
              <w:t>1</w:t>
            </w:r>
            <w:r>
              <w:rPr>
                <w:rFonts w:hint="eastAsia"/>
                <w:szCs w:val="21"/>
              </w:rPr>
              <w:t>）节能减排、（</w:t>
            </w:r>
            <w:r>
              <w:rPr>
                <w:szCs w:val="21"/>
              </w:rPr>
              <w:t>2</w:t>
            </w:r>
            <w:r>
              <w:rPr>
                <w:rFonts w:hint="eastAsia"/>
                <w:szCs w:val="21"/>
              </w:rPr>
              <w:t>）绿色施工、（</w:t>
            </w:r>
            <w:r>
              <w:rPr>
                <w:szCs w:val="21"/>
              </w:rPr>
              <w:t>3</w:t>
            </w:r>
            <w:r>
              <w:rPr>
                <w:rFonts w:hint="eastAsia"/>
                <w:szCs w:val="21"/>
              </w:rPr>
              <w:t>）工艺创新、（</w:t>
            </w:r>
            <w:r>
              <w:rPr>
                <w:szCs w:val="21"/>
              </w:rPr>
              <w:t>4</w:t>
            </w:r>
            <w:r>
              <w:rPr>
                <w:rFonts w:hint="eastAsia"/>
                <w:szCs w:val="21"/>
              </w:rPr>
              <w:t>）装配式建筑等技术创新的应用实施措施符合工程情况，具有针对性、可行性、经济适用性。得</w:t>
            </w:r>
            <w:r>
              <w:rPr>
                <w:rFonts w:hint="eastAsia"/>
                <w:szCs w:val="21"/>
                <w:lang w:val="en-US" w:eastAsia="zh-CN"/>
              </w:rPr>
              <w:t>2</w:t>
            </w:r>
            <w:r>
              <w:rPr>
                <w:rFonts w:hint="eastAsia"/>
                <w:szCs w:val="21"/>
              </w:rPr>
              <w:t>~</w:t>
            </w:r>
            <w:r>
              <w:rPr>
                <w:rFonts w:hint="eastAsia"/>
                <w:szCs w:val="21"/>
                <w:lang w:val="en-US" w:eastAsia="zh-CN"/>
              </w:rPr>
              <w:t>3</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51"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1148"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2321" w:type="dxa"/>
            <w:vMerge w:val="continue"/>
            <w:vAlign w:val="center"/>
          </w:tcPr>
          <w:p>
            <w:pPr>
              <w:pageBreakBefore w:val="0"/>
              <w:kinsoku/>
              <w:wordWrap/>
              <w:overflowPunct/>
              <w:topLinePunct w:val="0"/>
              <w:autoSpaceDE/>
              <w:autoSpaceDN/>
              <w:bidi w:val="0"/>
              <w:adjustRightInd/>
              <w:snapToGrid/>
              <w:spacing w:line="360" w:lineRule="auto"/>
              <w:rPr>
                <w:rFonts w:ascii="宋体" w:hAnsi="宋体"/>
                <w:b/>
                <w:bCs/>
                <w:szCs w:val="21"/>
              </w:rPr>
            </w:pPr>
          </w:p>
        </w:tc>
        <w:tc>
          <w:tcPr>
            <w:tcW w:w="4305" w:type="dxa"/>
            <w:vAlign w:val="center"/>
          </w:tcPr>
          <w:p>
            <w:pPr>
              <w:pageBreakBefore w:val="0"/>
              <w:kinsoku/>
              <w:wordWrap/>
              <w:overflowPunct/>
              <w:topLinePunct w:val="0"/>
              <w:autoSpaceDE/>
              <w:autoSpaceDN/>
              <w:bidi w:val="0"/>
              <w:adjustRightInd/>
              <w:snapToGrid/>
              <w:spacing w:line="360" w:lineRule="auto"/>
              <w:rPr>
                <w:rFonts w:ascii="宋体" w:hAnsi="宋体"/>
                <w:szCs w:val="21"/>
              </w:rPr>
            </w:pPr>
            <w:r>
              <w:rPr>
                <w:rFonts w:hint="eastAsia"/>
                <w:spacing w:val="-8"/>
                <w:szCs w:val="21"/>
              </w:rPr>
              <w:t>（</w:t>
            </w:r>
            <w:r>
              <w:rPr>
                <w:spacing w:val="-8"/>
                <w:szCs w:val="21"/>
              </w:rPr>
              <w:t>1</w:t>
            </w:r>
            <w:r>
              <w:rPr>
                <w:rFonts w:hint="eastAsia"/>
                <w:spacing w:val="-8"/>
                <w:szCs w:val="21"/>
              </w:rPr>
              <w:t>）节能减排、（</w:t>
            </w:r>
            <w:r>
              <w:rPr>
                <w:spacing w:val="-8"/>
                <w:szCs w:val="21"/>
              </w:rPr>
              <w:t>2</w:t>
            </w:r>
            <w:r>
              <w:rPr>
                <w:rFonts w:hint="eastAsia"/>
                <w:spacing w:val="-8"/>
                <w:szCs w:val="21"/>
              </w:rPr>
              <w:t>）绿色施工、（</w:t>
            </w:r>
            <w:r>
              <w:rPr>
                <w:spacing w:val="-8"/>
                <w:szCs w:val="21"/>
              </w:rPr>
              <w:t>3</w:t>
            </w:r>
            <w:r>
              <w:rPr>
                <w:rFonts w:hint="eastAsia"/>
                <w:spacing w:val="-8"/>
                <w:szCs w:val="21"/>
              </w:rPr>
              <w:t>）工艺创新、（</w:t>
            </w:r>
            <w:r>
              <w:rPr>
                <w:spacing w:val="-8"/>
                <w:szCs w:val="21"/>
              </w:rPr>
              <w:t>4</w:t>
            </w:r>
            <w:r>
              <w:rPr>
                <w:rFonts w:hint="eastAsia"/>
                <w:spacing w:val="-8"/>
                <w:szCs w:val="21"/>
              </w:rPr>
              <w:t>）装配式建筑等技术创新的应用实施措施基本符合工程情况，具有针</w:t>
            </w:r>
            <w:r>
              <w:rPr>
                <w:rFonts w:hint="eastAsia"/>
                <w:szCs w:val="21"/>
              </w:rPr>
              <w:t>对性。得</w:t>
            </w:r>
            <w:r>
              <w:rPr>
                <w:szCs w:val="21"/>
              </w:rPr>
              <w:t>1~</w:t>
            </w:r>
            <w:r>
              <w:rPr>
                <w:rFonts w:hint="eastAsia"/>
                <w:szCs w:val="21"/>
                <w:lang w:val="en-US" w:eastAsia="zh-CN"/>
              </w:rPr>
              <w:t>2</w:t>
            </w:r>
            <w:r>
              <w:rPr>
                <w:rFonts w:hint="eastAsia"/>
                <w:szCs w:val="21"/>
              </w:rPr>
              <w:t>分</w:t>
            </w:r>
            <w:r>
              <w:rPr>
                <w:rFonts w:hint="eastAsia"/>
                <w:color w:val="FF0000"/>
                <w:szCs w:val="21"/>
              </w:rPr>
              <w:t>，缺项为0分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751"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1148"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2321" w:type="dxa"/>
            <w:vMerge w:val="restart"/>
            <w:vAlign w:val="center"/>
          </w:tcPr>
          <w:p>
            <w:pPr>
              <w:pageBreakBefore w:val="0"/>
              <w:kinsoku/>
              <w:wordWrap/>
              <w:overflowPunct/>
              <w:topLinePunct w:val="0"/>
              <w:autoSpaceDE/>
              <w:autoSpaceDN/>
              <w:bidi w:val="0"/>
              <w:adjustRightInd/>
              <w:snapToGrid/>
              <w:spacing w:line="360" w:lineRule="auto"/>
              <w:rPr>
                <w:rFonts w:ascii="宋体" w:hAnsi="宋体"/>
                <w:b/>
                <w:bCs/>
                <w:szCs w:val="21"/>
              </w:rPr>
            </w:pPr>
            <w:r>
              <w:rPr>
                <w:rFonts w:hint="eastAsia"/>
                <w:szCs w:val="21"/>
              </w:rPr>
              <w:t>采用新工艺、新技术、新设备、新材料、</w:t>
            </w:r>
            <w:r>
              <w:rPr>
                <w:szCs w:val="21"/>
              </w:rPr>
              <w:t>BIM</w:t>
            </w:r>
            <w:r>
              <w:rPr>
                <w:rFonts w:hint="eastAsia"/>
                <w:szCs w:val="21"/>
              </w:rPr>
              <w:t>等的程度</w:t>
            </w:r>
            <w:r>
              <w:rPr>
                <w:rFonts w:hint="eastAsia" w:ascii="宋体" w:hAnsi="宋体"/>
                <w:szCs w:val="21"/>
              </w:rPr>
              <w:t>（0</w:t>
            </w:r>
            <w:r>
              <w:rPr>
                <w:rFonts w:ascii="宋体" w:hAnsi="宋体"/>
                <w:szCs w:val="21"/>
              </w:rPr>
              <w:t>-2</w:t>
            </w:r>
            <w:r>
              <w:rPr>
                <w:rFonts w:hint="eastAsia" w:ascii="宋体" w:hAnsi="宋体"/>
                <w:szCs w:val="21"/>
              </w:rPr>
              <w:t>分）</w:t>
            </w:r>
          </w:p>
        </w:tc>
        <w:tc>
          <w:tcPr>
            <w:tcW w:w="4305" w:type="dxa"/>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r>
              <w:rPr>
                <w:rFonts w:hint="eastAsia"/>
                <w:szCs w:val="21"/>
              </w:rPr>
              <w:t>采用新工艺、新技术、新设备、新材料、</w:t>
            </w:r>
            <w:r>
              <w:rPr>
                <w:szCs w:val="21"/>
              </w:rPr>
              <w:t>BIM</w:t>
            </w:r>
            <w:r>
              <w:rPr>
                <w:rFonts w:hint="eastAsia"/>
                <w:szCs w:val="21"/>
              </w:rPr>
              <w:t>等的程度满足设计要求，符合施工需要和相应技术标准等规定，经济适用。得</w:t>
            </w:r>
            <w:r>
              <w:rPr>
                <w:szCs w:val="21"/>
              </w:rPr>
              <w:t>1.5</w:t>
            </w:r>
            <w:r>
              <w:rPr>
                <w:rFonts w:hint="eastAsia"/>
                <w:szCs w:val="21"/>
              </w:rPr>
              <w:t>~</w:t>
            </w:r>
            <w:r>
              <w:rPr>
                <w:szCs w:val="21"/>
              </w:rPr>
              <w:t>2</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751"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1148"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2321" w:type="dxa"/>
            <w:vMerge w:val="continue"/>
            <w:vAlign w:val="center"/>
          </w:tcPr>
          <w:p>
            <w:pPr>
              <w:pageBreakBefore w:val="0"/>
              <w:kinsoku/>
              <w:wordWrap/>
              <w:overflowPunct/>
              <w:topLinePunct w:val="0"/>
              <w:autoSpaceDE/>
              <w:autoSpaceDN/>
              <w:bidi w:val="0"/>
              <w:adjustRightInd/>
              <w:snapToGrid/>
              <w:spacing w:line="360" w:lineRule="auto"/>
              <w:rPr>
                <w:rFonts w:ascii="宋体" w:hAnsi="宋体"/>
                <w:b/>
                <w:bCs/>
                <w:szCs w:val="21"/>
              </w:rPr>
            </w:pPr>
          </w:p>
        </w:tc>
        <w:tc>
          <w:tcPr>
            <w:tcW w:w="4305" w:type="dxa"/>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r>
              <w:rPr>
                <w:rFonts w:hint="eastAsia"/>
                <w:szCs w:val="21"/>
              </w:rPr>
              <w:t>采用新工艺、新技术、新设备、新材料、</w:t>
            </w:r>
            <w:r>
              <w:rPr>
                <w:szCs w:val="21"/>
              </w:rPr>
              <w:t>BIM</w:t>
            </w:r>
            <w:r>
              <w:rPr>
                <w:rFonts w:hint="eastAsia"/>
                <w:szCs w:val="21"/>
              </w:rPr>
              <w:t>等的程度满足设计要求，基本符合施工要求和相应技术标准等规定。得</w:t>
            </w:r>
            <w:r>
              <w:rPr>
                <w:szCs w:val="21"/>
              </w:rPr>
              <w:t>1~1.5</w:t>
            </w:r>
            <w:r>
              <w:rPr>
                <w:rFonts w:hint="eastAsia"/>
                <w:szCs w:val="21"/>
              </w:rPr>
              <w:t>分</w:t>
            </w:r>
            <w:r>
              <w:rPr>
                <w:rFonts w:hint="eastAsia"/>
                <w:color w:val="FF0000"/>
                <w:szCs w:val="21"/>
              </w:rPr>
              <w:t>，缺项为0分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751"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1148"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2321" w:type="dxa"/>
            <w:vMerge w:val="restart"/>
            <w:vAlign w:val="center"/>
          </w:tcPr>
          <w:p>
            <w:pPr>
              <w:pageBreakBefore w:val="0"/>
              <w:kinsoku/>
              <w:wordWrap/>
              <w:overflowPunct/>
              <w:topLinePunct w:val="0"/>
              <w:autoSpaceDE/>
              <w:autoSpaceDN/>
              <w:bidi w:val="0"/>
              <w:adjustRightInd/>
              <w:snapToGrid/>
              <w:spacing w:line="360" w:lineRule="auto"/>
              <w:rPr>
                <w:rFonts w:ascii="宋体" w:hAnsi="宋体" w:cs="宋体"/>
                <w:kern w:val="0"/>
                <w:szCs w:val="21"/>
              </w:rPr>
            </w:pPr>
            <w:r>
              <w:rPr>
                <w:rFonts w:hint="eastAsia"/>
                <w:szCs w:val="21"/>
              </w:rPr>
              <w:t>施工现场实施信息化监控和数据处理</w:t>
            </w:r>
            <w:r>
              <w:rPr>
                <w:rFonts w:hint="eastAsia" w:ascii="宋体" w:hAnsi="宋体"/>
                <w:szCs w:val="21"/>
              </w:rPr>
              <w:t>（0</w:t>
            </w:r>
            <w:r>
              <w:rPr>
                <w:rFonts w:ascii="宋体" w:hAnsi="宋体"/>
                <w:szCs w:val="21"/>
              </w:rPr>
              <w:t>-</w:t>
            </w:r>
            <w:r>
              <w:rPr>
                <w:rFonts w:hint="eastAsia" w:ascii="宋体" w:hAnsi="宋体"/>
                <w:szCs w:val="21"/>
                <w:lang w:val="en-US" w:eastAsia="zh-CN"/>
              </w:rPr>
              <w:t>2</w:t>
            </w:r>
            <w:r>
              <w:rPr>
                <w:rFonts w:hint="eastAsia" w:ascii="宋体" w:hAnsi="宋体"/>
                <w:szCs w:val="21"/>
              </w:rPr>
              <w:t>分）</w:t>
            </w:r>
          </w:p>
        </w:tc>
        <w:tc>
          <w:tcPr>
            <w:tcW w:w="4305" w:type="dxa"/>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r>
              <w:rPr>
                <w:rFonts w:hint="eastAsia"/>
                <w:szCs w:val="21"/>
              </w:rPr>
              <w:t>施工现场实施信息化监控和数据处理系统布置合理，满足需要。得</w:t>
            </w:r>
            <w:r>
              <w:rPr>
                <w:szCs w:val="21"/>
              </w:rPr>
              <w:t>1~</w:t>
            </w:r>
            <w:r>
              <w:rPr>
                <w:rFonts w:hint="eastAsia"/>
                <w:szCs w:val="21"/>
                <w:lang w:val="en-US" w:eastAsia="zh-CN"/>
              </w:rPr>
              <w:t>2</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751"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1148"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2321" w:type="dxa"/>
            <w:vMerge w:val="continue"/>
            <w:vAlign w:val="center"/>
          </w:tcPr>
          <w:p>
            <w:pPr>
              <w:pageBreakBefore w:val="0"/>
              <w:kinsoku/>
              <w:wordWrap/>
              <w:overflowPunct/>
              <w:topLinePunct w:val="0"/>
              <w:autoSpaceDE/>
              <w:autoSpaceDN/>
              <w:bidi w:val="0"/>
              <w:adjustRightInd/>
              <w:snapToGrid/>
              <w:spacing w:line="360" w:lineRule="auto"/>
              <w:rPr>
                <w:rFonts w:ascii="宋体" w:hAnsi="宋体" w:cs="宋体"/>
                <w:kern w:val="0"/>
                <w:szCs w:val="21"/>
              </w:rPr>
            </w:pPr>
          </w:p>
        </w:tc>
        <w:tc>
          <w:tcPr>
            <w:tcW w:w="4305" w:type="dxa"/>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r>
              <w:rPr>
                <w:rFonts w:hint="eastAsia"/>
                <w:szCs w:val="21"/>
              </w:rPr>
              <w:t>施工现场实施信息化监控和数据处理系统布置基本符合需要。</w:t>
            </w:r>
            <w:r>
              <w:rPr>
                <w:rFonts w:hint="eastAsia"/>
                <w:spacing w:val="-4"/>
                <w:szCs w:val="21"/>
              </w:rPr>
              <w:t>得</w:t>
            </w:r>
            <w:r>
              <w:rPr>
                <w:szCs w:val="21"/>
              </w:rPr>
              <w:t>0.5~1</w:t>
            </w:r>
            <w:r>
              <w:rPr>
                <w:rFonts w:hint="eastAsia"/>
                <w:szCs w:val="21"/>
              </w:rPr>
              <w:t>分</w:t>
            </w:r>
            <w:r>
              <w:rPr>
                <w:rFonts w:hint="eastAsia"/>
                <w:color w:val="FF0000"/>
                <w:szCs w:val="21"/>
              </w:rPr>
              <w:t>，缺项为0分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751"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1148"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2321" w:type="dxa"/>
            <w:vMerge w:val="restart"/>
            <w:vAlign w:val="center"/>
          </w:tcPr>
          <w:p>
            <w:pPr>
              <w:pageBreakBefore w:val="0"/>
              <w:kinsoku/>
              <w:wordWrap/>
              <w:overflowPunct/>
              <w:topLinePunct w:val="0"/>
              <w:autoSpaceDE/>
              <w:autoSpaceDN/>
              <w:bidi w:val="0"/>
              <w:adjustRightInd/>
              <w:snapToGrid/>
              <w:spacing w:line="360" w:lineRule="auto"/>
              <w:rPr>
                <w:rFonts w:ascii="宋体" w:hAnsi="宋体" w:cs="宋体"/>
                <w:kern w:val="0"/>
                <w:szCs w:val="21"/>
              </w:rPr>
            </w:pPr>
            <w:r>
              <w:rPr>
                <w:rFonts w:hint="eastAsia"/>
                <w:szCs w:val="21"/>
              </w:rPr>
              <w:t>风险管理措施</w:t>
            </w:r>
            <w:r>
              <w:rPr>
                <w:rFonts w:hint="eastAsia" w:ascii="宋体" w:hAnsi="宋体"/>
                <w:szCs w:val="21"/>
              </w:rPr>
              <w:t>（0</w:t>
            </w:r>
            <w:r>
              <w:rPr>
                <w:rFonts w:ascii="宋体" w:hAnsi="宋体"/>
                <w:szCs w:val="21"/>
              </w:rPr>
              <w:t>-2</w:t>
            </w:r>
            <w:r>
              <w:rPr>
                <w:rFonts w:hint="eastAsia" w:ascii="宋体" w:hAnsi="宋体"/>
                <w:szCs w:val="21"/>
              </w:rPr>
              <w:t>分）</w:t>
            </w:r>
          </w:p>
        </w:tc>
        <w:tc>
          <w:tcPr>
            <w:tcW w:w="4305" w:type="dxa"/>
            <w:vAlign w:val="center"/>
          </w:tcPr>
          <w:p>
            <w:pPr>
              <w:pageBreakBefore w:val="0"/>
              <w:kinsoku/>
              <w:wordWrap/>
              <w:overflowPunct/>
              <w:topLinePunct w:val="0"/>
              <w:autoSpaceDE/>
              <w:autoSpaceDN/>
              <w:bidi w:val="0"/>
              <w:adjustRightInd/>
              <w:snapToGrid/>
              <w:spacing w:line="360" w:lineRule="auto"/>
              <w:rPr>
                <w:rFonts w:ascii="宋体" w:hAnsi="宋体" w:cs="宋体"/>
                <w:kern w:val="0"/>
                <w:szCs w:val="21"/>
              </w:rPr>
            </w:pPr>
            <w:r>
              <w:rPr>
                <w:rFonts w:hint="eastAsia"/>
                <w:szCs w:val="21"/>
              </w:rPr>
              <w:t>风险防控管理措施齐全，风险预控符合规范要求，风险控制要点定位准确，各阶段风险控制及应急措施得力。得</w:t>
            </w:r>
            <w:r>
              <w:rPr>
                <w:szCs w:val="21"/>
              </w:rPr>
              <w:t>1.5</w:t>
            </w:r>
            <w:r>
              <w:rPr>
                <w:rFonts w:hint="eastAsia"/>
                <w:szCs w:val="21"/>
              </w:rPr>
              <w:t>~</w:t>
            </w:r>
            <w:r>
              <w:rPr>
                <w:szCs w:val="21"/>
              </w:rPr>
              <w:t>2</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751"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1148"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2321" w:type="dxa"/>
            <w:vMerge w:val="continue"/>
            <w:vAlign w:val="center"/>
          </w:tcPr>
          <w:p>
            <w:pPr>
              <w:pageBreakBefore w:val="0"/>
              <w:kinsoku/>
              <w:wordWrap/>
              <w:overflowPunct/>
              <w:topLinePunct w:val="0"/>
              <w:autoSpaceDE/>
              <w:autoSpaceDN/>
              <w:bidi w:val="0"/>
              <w:adjustRightInd/>
              <w:snapToGrid/>
              <w:spacing w:line="360" w:lineRule="auto"/>
              <w:rPr>
                <w:rFonts w:ascii="宋体" w:hAnsi="宋体" w:cs="宋体"/>
                <w:kern w:val="0"/>
                <w:szCs w:val="21"/>
              </w:rPr>
            </w:pPr>
          </w:p>
        </w:tc>
        <w:tc>
          <w:tcPr>
            <w:tcW w:w="4305" w:type="dxa"/>
            <w:vAlign w:val="center"/>
          </w:tcPr>
          <w:p>
            <w:pPr>
              <w:pageBreakBefore w:val="0"/>
              <w:kinsoku/>
              <w:wordWrap/>
              <w:overflowPunct/>
              <w:topLinePunct w:val="0"/>
              <w:autoSpaceDE/>
              <w:autoSpaceDN/>
              <w:bidi w:val="0"/>
              <w:adjustRightInd/>
              <w:snapToGrid/>
              <w:spacing w:line="360" w:lineRule="auto"/>
              <w:rPr>
                <w:rFonts w:ascii="宋体" w:hAnsi="宋体" w:cs="宋体"/>
                <w:kern w:val="0"/>
                <w:szCs w:val="21"/>
              </w:rPr>
            </w:pPr>
            <w:r>
              <w:rPr>
                <w:rFonts w:hint="eastAsia"/>
                <w:szCs w:val="21"/>
              </w:rPr>
              <w:t>风险防控管理措施基本齐全，风险预控符合规范要求，风险控制要点定位基本准确，有各阶段风险控制及应急措施。得</w:t>
            </w:r>
            <w:r>
              <w:rPr>
                <w:szCs w:val="21"/>
              </w:rPr>
              <w:t>1~1.5</w:t>
            </w:r>
            <w:r>
              <w:rPr>
                <w:rFonts w:hint="eastAsia"/>
                <w:szCs w:val="21"/>
              </w:rPr>
              <w:t>分</w:t>
            </w:r>
            <w:r>
              <w:rPr>
                <w:rFonts w:hint="eastAsia"/>
                <w:color w:val="FF0000"/>
                <w:szCs w:val="21"/>
              </w:rPr>
              <w:t>，缺项为0分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0" w:hRule="atLeast"/>
        </w:trPr>
        <w:tc>
          <w:tcPr>
            <w:tcW w:w="751"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1148"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6626" w:type="dxa"/>
            <w:gridSpan w:val="2"/>
            <w:vAlign w:val="center"/>
          </w:tcPr>
          <w:p>
            <w:pPr>
              <w:pageBreakBefore w:val="0"/>
              <w:kinsoku/>
              <w:wordWrap/>
              <w:overflowPunct/>
              <w:topLinePunct w:val="0"/>
              <w:autoSpaceDE/>
              <w:autoSpaceDN/>
              <w:bidi w:val="0"/>
              <w:adjustRightInd/>
              <w:snapToGrid/>
              <w:spacing w:line="360" w:lineRule="auto"/>
              <w:rPr>
                <w:rFonts w:cs="宋体" w:asciiTheme="minorEastAsia" w:hAnsiTheme="minorEastAsia" w:eastAsiaTheme="minorEastAsia"/>
                <w:kern w:val="0"/>
                <w:szCs w:val="21"/>
              </w:rPr>
            </w:pPr>
            <w:r>
              <w:rPr>
                <w:rStyle w:val="164"/>
                <w:rFonts w:asciiTheme="minorEastAsia" w:hAnsiTheme="minorEastAsia" w:eastAsiaTheme="minorEastAsia"/>
                <w:szCs w:val="21"/>
                <w:shd w:val="clear" w:color="auto" w:fill="FFFFFF"/>
              </w:rPr>
              <w:t>注：“暗标”应当以能够隐去投标人的身份为原则，施工组织设计采用“暗标”形式，未按要求编写施工组织设计（以下简称技术标）的，施工组织设计为 0 分。具体要求如下：</w:t>
            </w:r>
            <w:r>
              <w:rPr>
                <w:rFonts w:asciiTheme="minorEastAsia" w:hAnsiTheme="minorEastAsia" w:eastAsiaTheme="minorEastAsia"/>
                <w:szCs w:val="21"/>
                <w:shd w:val="clear" w:color="auto" w:fill="FFFFFF"/>
              </w:rPr>
              <w:br w:type="textWrapping"/>
            </w:r>
            <w:r>
              <w:rPr>
                <w:rStyle w:val="164"/>
                <w:rFonts w:asciiTheme="minorEastAsia" w:hAnsiTheme="minorEastAsia" w:eastAsiaTheme="minorEastAsia"/>
                <w:szCs w:val="21"/>
                <w:shd w:val="clear" w:color="auto" w:fill="FFFFFF"/>
              </w:rPr>
              <w:t>1、编写软件及版本要求：Microsoft Word 2007 或以上；</w:t>
            </w:r>
            <w:r>
              <w:rPr>
                <w:rFonts w:asciiTheme="minorEastAsia" w:hAnsiTheme="minorEastAsia" w:eastAsiaTheme="minorEastAsia"/>
                <w:szCs w:val="21"/>
                <w:shd w:val="clear" w:color="auto" w:fill="FFFFFF"/>
              </w:rPr>
              <w:br w:type="textWrapping"/>
            </w:r>
            <w:r>
              <w:rPr>
                <w:rStyle w:val="164"/>
                <w:rFonts w:asciiTheme="minorEastAsia" w:hAnsiTheme="minorEastAsia" w:eastAsiaTheme="minorEastAsia"/>
                <w:szCs w:val="21"/>
                <w:shd w:val="clear" w:color="auto" w:fill="FFFFFF"/>
              </w:rPr>
              <w:t>2、任何情况下，技术暗标中不得出现任何行间插字或删除痕迹；</w:t>
            </w:r>
            <w:r>
              <w:rPr>
                <w:rFonts w:asciiTheme="minorEastAsia" w:hAnsiTheme="minorEastAsia" w:eastAsiaTheme="minorEastAsia"/>
                <w:szCs w:val="21"/>
                <w:shd w:val="clear" w:color="auto" w:fill="FFFFFF"/>
              </w:rPr>
              <w:br w:type="textWrapping"/>
            </w:r>
            <w:r>
              <w:rPr>
                <w:rStyle w:val="164"/>
                <w:rFonts w:asciiTheme="minorEastAsia" w:hAnsiTheme="minorEastAsia" w:eastAsiaTheme="minorEastAsia"/>
                <w:szCs w:val="21"/>
                <w:shd w:val="clear" w:color="auto" w:fill="FFFFFF"/>
              </w:rPr>
              <w:t>3、除满足上述各项要求外，构成投标文件的“技术暗标”的正文中均不得出现投标人的名称和其它可识别投标人身份的字符、徽标、人员名称以及其他特殊标记等。</w:t>
            </w:r>
            <w:r>
              <w:rPr>
                <w:rFonts w:asciiTheme="minorEastAsia" w:hAnsiTheme="minorEastAsia" w:eastAsiaTheme="minorEastAsia"/>
                <w:szCs w:val="21"/>
                <w:shd w:val="clear" w:color="auto" w:fill="FFFFFF"/>
              </w:rPr>
              <w:br w:type="textWrapping"/>
            </w:r>
            <w:r>
              <w:rPr>
                <w:rStyle w:val="164"/>
                <w:rFonts w:asciiTheme="minorEastAsia" w:hAnsiTheme="minorEastAsia" w:eastAsiaTheme="minorEastAsia"/>
                <w:szCs w:val="21"/>
                <w:shd w:val="clear" w:color="auto" w:fill="FFFFFF"/>
              </w:rPr>
              <w:t>4、技术标设封面，格式见附件。技术标正文应采用：“白底 A4 纸张，纵向排版”，“宋体”四号字(黑色)；不允许涂改或删除痕迹；不允许字体涂色、不允许字体加粗；不允许出现目录；不允许出现页码、页眉、页脚；对齐方式：左对齐；大纲级别：正文文本，行距为固定值 25 磅；页边距（上 3 厘米，下 3厘米，左 2 厘米，右 2 厘米），段前 0 行 0 磅，段后 0 行 0 磅；左侧缩进 0 字符 0 厘米，右侧缩进 0 字符 0 厘米。大、小标题所用文字采用 “宋体” 四号字(黑色)；图表中字体为宋体、字号自拟。</w:t>
            </w:r>
            <w:r>
              <w:rPr>
                <w:rFonts w:asciiTheme="minorEastAsia" w:hAnsiTheme="minorEastAsia" w:eastAsiaTheme="minorEastAsia"/>
                <w:szCs w:val="21"/>
                <w:shd w:val="clear" w:color="auto" w:fill="FFFFFF"/>
              </w:rPr>
              <w:br w:type="textWrapping"/>
            </w:r>
            <w:r>
              <w:rPr>
                <w:rStyle w:val="164"/>
                <w:rFonts w:asciiTheme="minorEastAsia" w:hAnsiTheme="minorEastAsia" w:eastAsiaTheme="minorEastAsia"/>
                <w:szCs w:val="21"/>
                <w:shd w:val="clear" w:color="auto" w:fill="FFFFFF"/>
              </w:rPr>
              <w:t>5、技术标文件、内容、文字、标设图形均不得出现彩色文字；不得出现投标单位名称、相关人员姓名等能体现有关投标单位信息的提示性标记、文字、语句等。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51" w:type="dxa"/>
            <w:vMerge w:val="restart"/>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r>
              <w:rPr>
                <w:rFonts w:hint="eastAsia" w:ascii="宋体" w:hAnsi="宋体"/>
                <w:szCs w:val="21"/>
              </w:rPr>
              <w:t>1.2.4</w:t>
            </w:r>
          </w:p>
          <w:p>
            <w:pPr>
              <w:pageBreakBefore w:val="0"/>
              <w:kinsoku/>
              <w:wordWrap/>
              <w:overflowPunct/>
              <w:topLinePunct w:val="0"/>
              <w:autoSpaceDE/>
              <w:autoSpaceDN/>
              <w:bidi w:val="0"/>
              <w:adjustRightInd/>
              <w:snapToGrid/>
              <w:spacing w:line="360" w:lineRule="auto"/>
              <w:jc w:val="center"/>
              <w:rPr>
                <w:rFonts w:ascii="宋体" w:hAnsi="宋体"/>
                <w:szCs w:val="21"/>
              </w:rPr>
            </w:pPr>
            <w:r>
              <w:rPr>
                <w:rFonts w:hint="eastAsia" w:ascii="宋体" w:hAnsi="宋体"/>
                <w:szCs w:val="21"/>
              </w:rPr>
              <w:t>(2)</w:t>
            </w:r>
          </w:p>
        </w:tc>
        <w:tc>
          <w:tcPr>
            <w:tcW w:w="1148" w:type="dxa"/>
            <w:vMerge w:val="restart"/>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r>
              <w:rPr>
                <w:rFonts w:hint="eastAsia" w:ascii="宋体" w:hAnsi="宋体"/>
                <w:szCs w:val="21"/>
              </w:rPr>
              <w:t>商务标</w:t>
            </w:r>
          </w:p>
          <w:p>
            <w:pPr>
              <w:pageBreakBefore w:val="0"/>
              <w:kinsoku/>
              <w:wordWrap/>
              <w:overflowPunct/>
              <w:topLinePunct w:val="0"/>
              <w:autoSpaceDE/>
              <w:autoSpaceDN/>
              <w:bidi w:val="0"/>
              <w:adjustRightInd/>
              <w:snapToGrid/>
              <w:spacing w:line="360" w:lineRule="auto"/>
              <w:jc w:val="center"/>
              <w:rPr>
                <w:rFonts w:ascii="宋体" w:hAnsi="宋体"/>
                <w:szCs w:val="21"/>
              </w:rPr>
            </w:pPr>
            <w:r>
              <w:rPr>
                <w:rFonts w:hint="eastAsia" w:ascii="宋体" w:hAnsi="宋体"/>
                <w:szCs w:val="21"/>
              </w:rPr>
              <w:t>（总</w:t>
            </w:r>
            <w:r>
              <w:rPr>
                <w:rFonts w:hint="eastAsia" w:ascii="宋体" w:hAnsi="宋体"/>
                <w:szCs w:val="21"/>
                <w:lang w:val="en-US" w:eastAsia="zh-CN"/>
              </w:rPr>
              <w:t>4</w:t>
            </w:r>
            <w:r>
              <w:rPr>
                <w:rFonts w:hint="eastAsia" w:ascii="宋体" w:hAnsi="宋体"/>
                <w:szCs w:val="21"/>
              </w:rPr>
              <w:t>0分）</w:t>
            </w:r>
          </w:p>
        </w:tc>
        <w:tc>
          <w:tcPr>
            <w:tcW w:w="2321" w:type="dxa"/>
            <w:vAlign w:val="center"/>
          </w:tcPr>
          <w:p>
            <w:pPr>
              <w:pageBreakBefore w:val="0"/>
              <w:kinsoku/>
              <w:wordWrap/>
              <w:overflowPunct/>
              <w:topLinePunct w:val="0"/>
              <w:autoSpaceDE/>
              <w:autoSpaceDN/>
              <w:bidi w:val="0"/>
              <w:adjustRightInd/>
              <w:snapToGrid/>
              <w:spacing w:line="360" w:lineRule="auto"/>
              <w:rPr>
                <w:rFonts w:ascii="宋体" w:hAnsi="宋体"/>
                <w:szCs w:val="21"/>
              </w:rPr>
            </w:pPr>
            <w:r>
              <w:rPr>
                <w:rFonts w:hint="eastAsia" w:ascii="宋体" w:hAnsi="宋体"/>
                <w:szCs w:val="21"/>
              </w:rPr>
              <w:t>总报价</w:t>
            </w:r>
          </w:p>
        </w:tc>
        <w:tc>
          <w:tcPr>
            <w:tcW w:w="4305" w:type="dxa"/>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r>
              <w:rPr>
                <w:rFonts w:hint="eastAsia" w:ascii="宋体" w:hAnsi="宋体"/>
                <w:szCs w:val="21"/>
              </w:rPr>
              <w:t>详见综合评估法评标办法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51"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1148"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2321" w:type="dxa"/>
            <w:vAlign w:val="center"/>
          </w:tcPr>
          <w:p>
            <w:pPr>
              <w:pageBreakBefore w:val="0"/>
              <w:kinsoku/>
              <w:wordWrap/>
              <w:overflowPunct/>
              <w:topLinePunct w:val="0"/>
              <w:autoSpaceDE/>
              <w:autoSpaceDN/>
              <w:bidi w:val="0"/>
              <w:adjustRightInd/>
              <w:snapToGrid/>
              <w:spacing w:line="360" w:lineRule="auto"/>
              <w:rPr>
                <w:rFonts w:ascii="宋体" w:hAnsi="宋体"/>
                <w:szCs w:val="21"/>
              </w:rPr>
            </w:pPr>
            <w:r>
              <w:rPr>
                <w:rFonts w:hint="eastAsia" w:ascii="宋体" w:hAnsi="宋体"/>
                <w:szCs w:val="21"/>
              </w:rPr>
              <w:t>分类分项</w:t>
            </w:r>
          </w:p>
        </w:tc>
        <w:tc>
          <w:tcPr>
            <w:tcW w:w="4305" w:type="dxa"/>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r>
              <w:rPr>
                <w:rFonts w:hint="eastAsia" w:ascii="宋体" w:hAnsi="宋体"/>
                <w:szCs w:val="21"/>
              </w:rPr>
              <w:t>详见综合评估法评标办法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51" w:type="dxa"/>
            <w:vMerge w:val="restart"/>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r>
              <w:rPr>
                <w:rFonts w:hint="eastAsia" w:ascii="宋体" w:hAnsi="宋体"/>
                <w:szCs w:val="21"/>
              </w:rPr>
              <w:t>1.2.4</w:t>
            </w:r>
          </w:p>
          <w:p>
            <w:pPr>
              <w:pageBreakBefore w:val="0"/>
              <w:kinsoku/>
              <w:wordWrap/>
              <w:overflowPunct/>
              <w:topLinePunct w:val="0"/>
              <w:autoSpaceDE/>
              <w:autoSpaceDN/>
              <w:bidi w:val="0"/>
              <w:adjustRightInd/>
              <w:snapToGrid/>
              <w:spacing w:line="360" w:lineRule="auto"/>
              <w:jc w:val="center"/>
              <w:rPr>
                <w:rFonts w:ascii="宋体" w:hAnsi="宋体"/>
                <w:szCs w:val="21"/>
              </w:rPr>
            </w:pPr>
            <w:r>
              <w:rPr>
                <w:rFonts w:hint="eastAsia" w:ascii="宋体" w:hAnsi="宋体"/>
                <w:szCs w:val="21"/>
              </w:rPr>
              <w:t>(3)</w:t>
            </w:r>
          </w:p>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1148" w:type="dxa"/>
            <w:vMerge w:val="restart"/>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r>
              <w:rPr>
                <w:rFonts w:hint="eastAsia" w:ascii="宋体" w:hAnsi="宋体"/>
                <w:szCs w:val="21"/>
              </w:rPr>
              <w:t>综合（信用）标</w:t>
            </w:r>
          </w:p>
          <w:p>
            <w:pPr>
              <w:pageBreakBefore w:val="0"/>
              <w:kinsoku/>
              <w:wordWrap/>
              <w:overflowPunct/>
              <w:topLinePunct w:val="0"/>
              <w:autoSpaceDE/>
              <w:autoSpaceDN/>
              <w:bidi w:val="0"/>
              <w:adjustRightInd/>
              <w:snapToGrid/>
              <w:spacing w:line="360" w:lineRule="auto"/>
              <w:jc w:val="center"/>
              <w:rPr>
                <w:rFonts w:ascii="宋体" w:hAnsi="宋体"/>
                <w:szCs w:val="21"/>
              </w:rPr>
            </w:pPr>
            <w:r>
              <w:rPr>
                <w:rFonts w:hint="eastAsia" w:ascii="宋体" w:hAnsi="宋体"/>
                <w:szCs w:val="21"/>
              </w:rPr>
              <w:t>（总</w:t>
            </w:r>
            <w:r>
              <w:rPr>
                <w:rFonts w:ascii="宋体" w:hAnsi="宋体"/>
                <w:szCs w:val="21"/>
              </w:rPr>
              <w:t>25</w:t>
            </w:r>
            <w:r>
              <w:rPr>
                <w:rFonts w:hint="eastAsia" w:ascii="宋体" w:hAnsi="宋体"/>
                <w:szCs w:val="21"/>
              </w:rPr>
              <w:t>分）</w:t>
            </w:r>
          </w:p>
        </w:tc>
        <w:tc>
          <w:tcPr>
            <w:tcW w:w="2321" w:type="dxa"/>
            <w:vAlign w:val="center"/>
          </w:tcPr>
          <w:p>
            <w:pPr>
              <w:pageBreakBefore w:val="0"/>
              <w:kinsoku/>
              <w:wordWrap/>
              <w:overflowPunct/>
              <w:topLinePunct w:val="0"/>
              <w:autoSpaceDE/>
              <w:autoSpaceDN/>
              <w:bidi w:val="0"/>
              <w:adjustRightInd/>
              <w:snapToGrid/>
              <w:spacing w:line="360" w:lineRule="auto"/>
              <w:jc w:val="left"/>
            </w:pPr>
            <w:r>
              <w:t>1、</w:t>
            </w:r>
            <w:r>
              <w:rPr>
                <w:rFonts w:hint="eastAsia"/>
              </w:rPr>
              <w:t>企业业绩</w:t>
            </w:r>
          </w:p>
        </w:tc>
        <w:tc>
          <w:tcPr>
            <w:tcW w:w="4305" w:type="dxa"/>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r>
              <w:rPr>
                <w:rFonts w:hint="eastAsia" w:ascii="宋体" w:hAnsi="宋体"/>
                <w:szCs w:val="21"/>
              </w:rPr>
              <w:t>详见综合评估法评标办法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51"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1148"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2321" w:type="dxa"/>
            <w:vAlign w:val="center"/>
          </w:tcPr>
          <w:p>
            <w:pPr>
              <w:pageBreakBefore w:val="0"/>
              <w:kinsoku/>
              <w:wordWrap/>
              <w:overflowPunct/>
              <w:topLinePunct w:val="0"/>
              <w:autoSpaceDE/>
              <w:autoSpaceDN/>
              <w:bidi w:val="0"/>
              <w:adjustRightInd/>
              <w:snapToGrid/>
              <w:spacing w:line="360" w:lineRule="auto"/>
              <w:jc w:val="left"/>
            </w:pPr>
            <w:r>
              <w:t>2、</w:t>
            </w:r>
            <w:r>
              <w:rPr>
                <w:rFonts w:hint="eastAsia"/>
              </w:rPr>
              <w:t>项目经理业绩</w:t>
            </w:r>
          </w:p>
        </w:tc>
        <w:tc>
          <w:tcPr>
            <w:tcW w:w="4305" w:type="dxa"/>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r>
              <w:rPr>
                <w:rFonts w:hint="eastAsia" w:ascii="宋体" w:hAnsi="宋体"/>
                <w:szCs w:val="21"/>
              </w:rPr>
              <w:t>详见综合评估法评标办法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51"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1148"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2321" w:type="dxa"/>
            <w:vAlign w:val="center"/>
          </w:tcPr>
          <w:p>
            <w:pPr>
              <w:pageBreakBefore w:val="0"/>
              <w:kinsoku/>
              <w:wordWrap/>
              <w:overflowPunct/>
              <w:topLinePunct w:val="0"/>
              <w:autoSpaceDE/>
              <w:autoSpaceDN/>
              <w:bidi w:val="0"/>
              <w:adjustRightInd/>
              <w:snapToGrid/>
              <w:spacing w:line="360" w:lineRule="auto"/>
              <w:jc w:val="left"/>
            </w:pPr>
            <w:r>
              <w:t>3、</w:t>
            </w:r>
            <w:r>
              <w:rPr>
                <w:rFonts w:hint="eastAsia"/>
              </w:rPr>
              <w:t>优惠承诺</w:t>
            </w:r>
          </w:p>
        </w:tc>
        <w:tc>
          <w:tcPr>
            <w:tcW w:w="4305" w:type="dxa"/>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r>
              <w:rPr>
                <w:rFonts w:hint="eastAsia" w:ascii="宋体" w:hAnsi="宋体"/>
                <w:szCs w:val="21"/>
              </w:rPr>
              <w:t>详见综合评估法评标办法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51"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1148"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2321" w:type="dxa"/>
            <w:vAlign w:val="center"/>
          </w:tcPr>
          <w:p>
            <w:pPr>
              <w:pageBreakBefore w:val="0"/>
              <w:kinsoku/>
              <w:wordWrap/>
              <w:overflowPunct/>
              <w:topLinePunct w:val="0"/>
              <w:autoSpaceDE/>
              <w:autoSpaceDN/>
              <w:bidi w:val="0"/>
              <w:adjustRightInd/>
              <w:snapToGrid/>
              <w:spacing w:line="360" w:lineRule="auto"/>
              <w:jc w:val="left"/>
            </w:pPr>
            <w:r>
              <w:rPr>
                <w:rFonts w:hint="eastAsia"/>
              </w:rPr>
              <w:t>4、履职尽责承诺</w:t>
            </w:r>
          </w:p>
        </w:tc>
        <w:tc>
          <w:tcPr>
            <w:tcW w:w="4305" w:type="dxa"/>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r>
              <w:rPr>
                <w:rFonts w:hint="eastAsia" w:ascii="宋体" w:hAnsi="宋体"/>
                <w:szCs w:val="21"/>
              </w:rPr>
              <w:t>详见综合评估法评标办法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51"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1148"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2321" w:type="dxa"/>
            <w:vAlign w:val="center"/>
          </w:tcPr>
          <w:p>
            <w:pPr>
              <w:pageBreakBefore w:val="0"/>
              <w:kinsoku/>
              <w:wordWrap/>
              <w:overflowPunct/>
              <w:topLinePunct w:val="0"/>
              <w:autoSpaceDE/>
              <w:autoSpaceDN/>
              <w:bidi w:val="0"/>
              <w:adjustRightInd/>
              <w:snapToGrid/>
              <w:spacing w:line="360" w:lineRule="auto"/>
              <w:jc w:val="left"/>
            </w:pPr>
            <w:r>
              <w:rPr>
                <w:rFonts w:hint="eastAsia"/>
              </w:rPr>
              <w:t>5、企业信用（含纳税诚信）</w:t>
            </w:r>
          </w:p>
        </w:tc>
        <w:tc>
          <w:tcPr>
            <w:tcW w:w="4305" w:type="dxa"/>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r>
              <w:rPr>
                <w:rFonts w:hint="eastAsia" w:ascii="宋体" w:hAnsi="宋体"/>
                <w:szCs w:val="21"/>
              </w:rPr>
              <w:t>详见综合评估法评标办法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51"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1148"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2321" w:type="dxa"/>
            <w:vAlign w:val="center"/>
          </w:tcPr>
          <w:p>
            <w:pPr>
              <w:pageBreakBefore w:val="0"/>
              <w:kinsoku/>
              <w:wordWrap/>
              <w:overflowPunct/>
              <w:topLinePunct w:val="0"/>
              <w:autoSpaceDE/>
              <w:autoSpaceDN/>
              <w:bidi w:val="0"/>
              <w:adjustRightInd/>
              <w:snapToGrid/>
              <w:spacing w:line="360" w:lineRule="auto"/>
              <w:jc w:val="left"/>
            </w:pPr>
            <w:r>
              <w:t>6.合同履行承诺</w:t>
            </w:r>
          </w:p>
        </w:tc>
        <w:tc>
          <w:tcPr>
            <w:tcW w:w="4305" w:type="dxa"/>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r>
              <w:rPr>
                <w:rFonts w:hint="eastAsia" w:ascii="宋体" w:hAnsi="宋体"/>
                <w:szCs w:val="21"/>
              </w:rPr>
              <w:t>详见综合评估法评标办法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51"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1148" w:type="dxa"/>
            <w:vMerge w:val="continue"/>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c>
          <w:tcPr>
            <w:tcW w:w="2321" w:type="dxa"/>
            <w:vAlign w:val="center"/>
          </w:tcPr>
          <w:p>
            <w:pPr>
              <w:pageBreakBefore w:val="0"/>
              <w:kinsoku/>
              <w:wordWrap/>
              <w:overflowPunct/>
              <w:topLinePunct w:val="0"/>
              <w:autoSpaceDE/>
              <w:autoSpaceDN/>
              <w:bidi w:val="0"/>
              <w:adjustRightInd/>
              <w:snapToGrid/>
              <w:spacing w:line="360" w:lineRule="auto"/>
              <w:jc w:val="left"/>
            </w:pPr>
            <w:r>
              <w:t>7</w:t>
            </w:r>
            <w:r>
              <w:rPr>
                <w:rFonts w:hint="eastAsia"/>
              </w:rPr>
              <w:t>、招标人意见</w:t>
            </w:r>
          </w:p>
        </w:tc>
        <w:tc>
          <w:tcPr>
            <w:tcW w:w="4305" w:type="dxa"/>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r>
              <w:rPr>
                <w:rFonts w:hint="eastAsia" w:ascii="宋体" w:hAnsi="宋体"/>
                <w:szCs w:val="21"/>
              </w:rPr>
              <w:t>详见综合评估法评标办法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8525" w:type="dxa"/>
            <w:gridSpan w:val="4"/>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899" w:type="dxa"/>
            <w:gridSpan w:val="2"/>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r>
              <w:rPr>
                <w:rFonts w:hint="eastAsia" w:ascii="宋体" w:hAnsi="宋体"/>
                <w:szCs w:val="21"/>
              </w:rPr>
              <w:t>条款号</w:t>
            </w:r>
          </w:p>
        </w:tc>
        <w:tc>
          <w:tcPr>
            <w:tcW w:w="6626" w:type="dxa"/>
            <w:gridSpan w:val="2"/>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r>
              <w:rPr>
                <w:rFonts w:hint="eastAsia" w:ascii="宋体" w:hAnsi="宋体"/>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751" w:type="dxa"/>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r>
              <w:rPr>
                <w:rFonts w:hint="eastAsia" w:ascii="宋体" w:hAnsi="宋体"/>
                <w:szCs w:val="21"/>
              </w:rPr>
              <w:t>2</w:t>
            </w:r>
          </w:p>
        </w:tc>
        <w:tc>
          <w:tcPr>
            <w:tcW w:w="1148" w:type="dxa"/>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r>
              <w:rPr>
                <w:rFonts w:hint="eastAsia" w:ascii="宋体" w:hAnsi="宋体"/>
                <w:szCs w:val="21"/>
              </w:rPr>
              <w:t>评   标</w:t>
            </w:r>
          </w:p>
          <w:p>
            <w:pPr>
              <w:pageBreakBefore w:val="0"/>
              <w:kinsoku/>
              <w:wordWrap/>
              <w:overflowPunct/>
              <w:topLinePunct w:val="0"/>
              <w:autoSpaceDE/>
              <w:autoSpaceDN/>
              <w:bidi w:val="0"/>
              <w:adjustRightInd/>
              <w:snapToGrid/>
              <w:spacing w:line="360" w:lineRule="auto"/>
              <w:jc w:val="center"/>
              <w:rPr>
                <w:rFonts w:ascii="宋体" w:hAnsi="宋体"/>
                <w:szCs w:val="21"/>
              </w:rPr>
            </w:pPr>
            <w:r>
              <w:rPr>
                <w:rFonts w:hint="eastAsia" w:ascii="宋体" w:hAnsi="宋体"/>
                <w:szCs w:val="21"/>
              </w:rPr>
              <w:t>程   序</w:t>
            </w:r>
          </w:p>
        </w:tc>
        <w:tc>
          <w:tcPr>
            <w:tcW w:w="6626" w:type="dxa"/>
            <w:gridSpan w:val="2"/>
            <w:vAlign w:val="center"/>
          </w:tcPr>
          <w:p>
            <w:pPr>
              <w:pageBreakBefore w:val="0"/>
              <w:kinsoku/>
              <w:wordWrap/>
              <w:overflowPunct/>
              <w:topLinePunct w:val="0"/>
              <w:autoSpaceDE/>
              <w:autoSpaceDN/>
              <w:bidi w:val="0"/>
              <w:adjustRightInd/>
              <w:snapToGrid/>
              <w:spacing w:line="360" w:lineRule="auto"/>
              <w:rPr>
                <w:rFonts w:ascii="宋体" w:hAnsi="宋体"/>
                <w:szCs w:val="21"/>
              </w:rPr>
            </w:pPr>
            <w:r>
              <w:rPr>
                <w:rFonts w:hint="eastAsia" w:ascii="宋体" w:hAnsi="宋体"/>
                <w:szCs w:val="21"/>
              </w:rPr>
              <w:t>详见本章附件A：评标详细程序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51" w:type="dxa"/>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r>
              <w:rPr>
                <w:rFonts w:hint="eastAsia" w:ascii="宋体" w:hAnsi="宋体"/>
                <w:szCs w:val="21"/>
              </w:rPr>
              <w:t>2.1.1</w:t>
            </w:r>
          </w:p>
        </w:tc>
        <w:tc>
          <w:tcPr>
            <w:tcW w:w="1148" w:type="dxa"/>
            <w:vAlign w:val="center"/>
          </w:tcPr>
          <w:p>
            <w:pPr>
              <w:pageBreakBefore w:val="0"/>
              <w:kinsoku/>
              <w:wordWrap/>
              <w:overflowPunct/>
              <w:topLinePunct w:val="0"/>
              <w:autoSpaceDE/>
              <w:autoSpaceDN/>
              <w:bidi w:val="0"/>
              <w:adjustRightInd/>
              <w:snapToGrid/>
              <w:spacing w:line="360" w:lineRule="auto"/>
              <w:jc w:val="center"/>
              <w:rPr>
                <w:rFonts w:ascii="宋体" w:hAnsi="宋体"/>
                <w:szCs w:val="21"/>
              </w:rPr>
            </w:pPr>
            <w:r>
              <w:rPr>
                <w:rFonts w:hint="eastAsia" w:ascii="宋体" w:hAnsi="宋体"/>
                <w:szCs w:val="21"/>
              </w:rPr>
              <w:t>废标条件</w:t>
            </w:r>
          </w:p>
        </w:tc>
        <w:tc>
          <w:tcPr>
            <w:tcW w:w="6626" w:type="dxa"/>
            <w:gridSpan w:val="2"/>
            <w:vAlign w:val="center"/>
          </w:tcPr>
          <w:p>
            <w:pPr>
              <w:pageBreakBefore w:val="0"/>
              <w:kinsoku/>
              <w:wordWrap/>
              <w:overflowPunct/>
              <w:topLinePunct w:val="0"/>
              <w:autoSpaceDE/>
              <w:autoSpaceDN/>
              <w:bidi w:val="0"/>
              <w:adjustRightInd/>
              <w:snapToGrid/>
              <w:spacing w:line="360" w:lineRule="auto"/>
              <w:rPr>
                <w:rFonts w:ascii="宋体" w:hAnsi="宋体"/>
                <w:szCs w:val="21"/>
              </w:rPr>
            </w:pPr>
            <w:r>
              <w:rPr>
                <w:rFonts w:hint="eastAsia" w:ascii="宋体" w:hAnsi="宋体"/>
                <w:szCs w:val="21"/>
              </w:rPr>
              <w:t>详见本章附件B：废标条件</w:t>
            </w:r>
          </w:p>
        </w:tc>
      </w:tr>
    </w:tbl>
    <w:p>
      <w:pPr>
        <w:pStyle w:val="4"/>
        <w:pageBreakBefore w:val="0"/>
        <w:kinsoku/>
        <w:wordWrap/>
        <w:overflowPunct/>
        <w:topLinePunct w:val="0"/>
        <w:autoSpaceDE/>
        <w:autoSpaceDN/>
        <w:bidi w:val="0"/>
        <w:adjustRightInd/>
        <w:snapToGrid/>
        <w:spacing w:line="360" w:lineRule="auto"/>
      </w:pPr>
      <w:bookmarkStart w:id="377" w:name="_Toc3279"/>
      <w:r>
        <w:rPr>
          <w:rFonts w:hint="eastAsia"/>
        </w:rPr>
        <w:t>二、综合评估法评标办法</w:t>
      </w:r>
      <w:bookmarkEnd w:id="377"/>
    </w:p>
    <w:p>
      <w:pPr>
        <w:pageBreakBefore w:val="0"/>
        <w:kinsoku/>
        <w:wordWrap/>
        <w:overflowPunct/>
        <w:topLinePunct w:val="0"/>
        <w:autoSpaceDE/>
        <w:autoSpaceDN/>
        <w:bidi w:val="0"/>
        <w:adjustRightInd/>
        <w:snapToGrid/>
        <w:spacing w:line="360" w:lineRule="auto"/>
        <w:ind w:firstLine="420" w:firstLineChars="200"/>
        <w:rPr>
          <w:rFonts w:ascii="宋体" w:hAnsi="宋体" w:cs="宋体"/>
          <w:kern w:val="0"/>
          <w:sz w:val="21"/>
          <w:szCs w:val="21"/>
        </w:rPr>
      </w:pPr>
      <w:r>
        <w:rPr>
          <w:rFonts w:hint="eastAsia" w:ascii="宋体" w:hAnsi="宋体" w:cs="宋体"/>
          <w:kern w:val="0"/>
          <w:sz w:val="21"/>
          <w:szCs w:val="21"/>
        </w:rPr>
        <w:t>采用综合计分法评标的，评标委员会应从技术标、商务标、综合（信用）标三个方面进行评标。</w:t>
      </w:r>
    </w:p>
    <w:p>
      <w:pPr>
        <w:pageBreakBefore w:val="0"/>
        <w:kinsoku/>
        <w:wordWrap/>
        <w:overflowPunct/>
        <w:topLinePunct w:val="0"/>
        <w:autoSpaceDE/>
        <w:autoSpaceDN/>
        <w:bidi w:val="0"/>
        <w:adjustRightInd/>
        <w:snapToGrid/>
        <w:spacing w:line="360" w:lineRule="auto"/>
        <w:ind w:firstLine="420" w:firstLineChars="200"/>
        <w:rPr>
          <w:rFonts w:ascii="宋体" w:hAnsi="宋体" w:cs="宋体"/>
          <w:kern w:val="0"/>
          <w:sz w:val="21"/>
          <w:szCs w:val="21"/>
        </w:rPr>
      </w:pPr>
      <w:r>
        <w:rPr>
          <w:rFonts w:hint="eastAsia" w:ascii="宋体" w:hAnsi="宋体" w:cs="宋体"/>
          <w:kern w:val="0"/>
          <w:sz w:val="21"/>
          <w:szCs w:val="21"/>
        </w:rPr>
        <w:t>综合计分法是指评标委员会根据招标文件要求，对其技术标、商务标、综合（信用）标三部分进行综合评审。技术标的权重占</w:t>
      </w:r>
      <w:r>
        <w:rPr>
          <w:rFonts w:hint="eastAsia" w:ascii="宋体" w:hAnsi="宋体" w:cs="宋体"/>
          <w:kern w:val="0"/>
          <w:sz w:val="21"/>
          <w:szCs w:val="21"/>
          <w:lang w:val="en-US" w:eastAsia="zh-CN"/>
        </w:rPr>
        <w:t>3</w:t>
      </w:r>
      <w:r>
        <w:rPr>
          <w:rFonts w:hint="eastAsia" w:ascii="宋体" w:hAnsi="宋体" w:cs="宋体"/>
          <w:kern w:val="0"/>
          <w:sz w:val="21"/>
          <w:szCs w:val="21"/>
        </w:rPr>
        <w:t>5%，商务标的权重占</w:t>
      </w:r>
      <w:r>
        <w:rPr>
          <w:rFonts w:hint="eastAsia" w:ascii="宋体" w:hAnsi="宋体" w:cs="宋体"/>
          <w:kern w:val="0"/>
          <w:sz w:val="21"/>
          <w:szCs w:val="21"/>
          <w:lang w:val="en-US" w:eastAsia="zh-CN"/>
        </w:rPr>
        <w:t>4</w:t>
      </w:r>
      <w:r>
        <w:rPr>
          <w:rFonts w:hint="eastAsia" w:ascii="宋体" w:hAnsi="宋体" w:cs="宋体"/>
          <w:kern w:val="0"/>
          <w:sz w:val="21"/>
          <w:szCs w:val="21"/>
        </w:rPr>
        <w:t>0%，综合（信用）标的权重占25%。其主要内容和参考分值如下：</w:t>
      </w:r>
    </w:p>
    <w:p>
      <w:pPr>
        <w:pageBreakBefore w:val="0"/>
        <w:kinsoku/>
        <w:wordWrap/>
        <w:overflowPunct/>
        <w:topLinePunct w:val="0"/>
        <w:autoSpaceDE/>
        <w:autoSpaceDN/>
        <w:bidi w:val="0"/>
        <w:adjustRightInd/>
        <w:snapToGrid/>
        <w:spacing w:line="360" w:lineRule="auto"/>
        <w:ind w:firstLine="420" w:firstLineChars="200"/>
        <w:rPr>
          <w:rFonts w:ascii="宋体" w:hAnsi="宋体" w:cs="宋体"/>
          <w:kern w:val="0"/>
          <w:sz w:val="21"/>
          <w:szCs w:val="21"/>
        </w:rPr>
      </w:pPr>
      <w:r>
        <w:rPr>
          <w:rFonts w:hint="eastAsia" w:ascii="宋体" w:hAnsi="宋体" w:cs="宋体"/>
          <w:kern w:val="0"/>
          <w:sz w:val="21"/>
          <w:szCs w:val="21"/>
        </w:rPr>
        <w:t>1、技术标的评标分值：</w:t>
      </w:r>
      <w:r>
        <w:rPr>
          <w:rFonts w:hint="eastAsia" w:ascii="宋体" w:hAnsi="宋体" w:cs="宋体"/>
          <w:kern w:val="0"/>
          <w:sz w:val="21"/>
          <w:szCs w:val="21"/>
          <w:lang w:val="en-US" w:eastAsia="zh-CN"/>
        </w:rPr>
        <w:t>3</w:t>
      </w:r>
      <w:r>
        <w:rPr>
          <w:rFonts w:hint="eastAsia" w:ascii="宋体" w:hAnsi="宋体" w:cs="宋体"/>
          <w:kern w:val="0"/>
          <w:sz w:val="21"/>
          <w:szCs w:val="21"/>
        </w:rPr>
        <w:t>5分（详见综合评估法前附表1.2.4（1））。</w:t>
      </w:r>
    </w:p>
    <w:p>
      <w:pPr>
        <w:pageBreakBefore w:val="0"/>
        <w:kinsoku/>
        <w:wordWrap/>
        <w:overflowPunct/>
        <w:topLinePunct w:val="0"/>
        <w:autoSpaceDE/>
        <w:autoSpaceDN/>
        <w:bidi w:val="0"/>
        <w:adjustRightInd/>
        <w:snapToGrid/>
        <w:spacing w:line="360" w:lineRule="auto"/>
        <w:ind w:firstLine="420" w:firstLineChars="200"/>
        <w:rPr>
          <w:rFonts w:ascii="宋体" w:hAnsi="宋体" w:cs="宋体"/>
          <w:color w:val="auto"/>
          <w:sz w:val="21"/>
          <w:szCs w:val="21"/>
        </w:rPr>
      </w:pPr>
      <w:r>
        <w:rPr>
          <w:rFonts w:hint="eastAsia" w:ascii="宋体" w:hAnsi="宋体" w:cs="宋体"/>
          <w:color w:val="auto"/>
          <w:kern w:val="0"/>
          <w:sz w:val="21"/>
          <w:szCs w:val="21"/>
        </w:rPr>
        <w:t>（1）技术标暗标要求：施工组织设计采用暗标评审办法。评审前，电子评标系统对各投标单位的施工组织设计按规定格式进行编号，然后由评委逐一评审打分，评委打分结束后由电子评标系统再对号公布投标单位名称。</w:t>
      </w:r>
    </w:p>
    <w:p>
      <w:pPr>
        <w:pageBreakBefore w:val="0"/>
        <w:kinsoku/>
        <w:wordWrap/>
        <w:overflowPunct/>
        <w:topLinePunct w:val="0"/>
        <w:autoSpaceDE/>
        <w:autoSpaceDN/>
        <w:bidi w:val="0"/>
        <w:adjustRightInd/>
        <w:snapToGrid/>
        <w:spacing w:line="360" w:lineRule="auto"/>
        <w:ind w:firstLine="420" w:firstLineChars="200"/>
        <w:rPr>
          <w:rFonts w:ascii="宋体" w:hAnsi="宋体" w:cs="宋体"/>
          <w:b w:val="0"/>
          <w:bCs/>
          <w:color w:val="auto"/>
          <w:sz w:val="21"/>
          <w:szCs w:val="21"/>
          <w:highlight w:val="none"/>
        </w:rPr>
      </w:pPr>
      <w:r>
        <w:rPr>
          <w:rFonts w:hint="eastAsia" w:ascii="宋体" w:hAnsi="宋体" w:cs="宋体"/>
          <w:color w:val="auto"/>
          <w:kern w:val="0"/>
          <w:sz w:val="21"/>
          <w:szCs w:val="21"/>
        </w:rPr>
        <w:t>（2）技术标暗标格式、图表大小、字体要求：</w:t>
      </w:r>
      <w:r>
        <w:rPr>
          <w:rFonts w:hint="eastAsia" w:ascii="宋体" w:hAnsi="宋体" w:cs="宋体"/>
          <w:b w:val="0"/>
          <w:bCs/>
          <w:color w:val="auto"/>
          <w:kern w:val="0"/>
          <w:sz w:val="21"/>
          <w:szCs w:val="21"/>
          <w:highlight w:val="none"/>
        </w:rPr>
        <w:t>详见综合评估法前附表1.2.4（1）</w:t>
      </w:r>
    </w:p>
    <w:p>
      <w:pPr>
        <w:pageBreakBefore w:val="0"/>
        <w:kinsoku/>
        <w:wordWrap/>
        <w:overflowPunct/>
        <w:topLinePunct w:val="0"/>
        <w:autoSpaceDE/>
        <w:autoSpaceDN/>
        <w:bidi w:val="0"/>
        <w:adjustRightInd/>
        <w:snapToGrid/>
        <w:spacing w:line="360" w:lineRule="auto"/>
        <w:ind w:firstLine="420" w:firstLineChars="200"/>
        <w:rPr>
          <w:rFonts w:ascii="宋体" w:hAnsi="宋体" w:cs="宋体"/>
          <w:sz w:val="21"/>
          <w:szCs w:val="21"/>
        </w:rPr>
      </w:pPr>
      <w:r>
        <w:rPr>
          <w:rFonts w:hint="eastAsia" w:ascii="宋体" w:hAnsi="宋体" w:cs="宋体"/>
          <w:kern w:val="0"/>
          <w:sz w:val="21"/>
          <w:szCs w:val="21"/>
        </w:rPr>
        <w:t>2、商务标的评标分值：</w:t>
      </w:r>
      <w:r>
        <w:rPr>
          <w:rFonts w:hint="eastAsia" w:ascii="宋体" w:hAnsi="宋体" w:cs="宋体"/>
          <w:kern w:val="0"/>
          <w:sz w:val="21"/>
          <w:szCs w:val="21"/>
          <w:lang w:val="en-US" w:eastAsia="zh-CN"/>
        </w:rPr>
        <w:t>40</w:t>
      </w:r>
      <w:r>
        <w:rPr>
          <w:rFonts w:hint="eastAsia" w:ascii="宋体" w:hAnsi="宋体" w:cs="宋体"/>
          <w:kern w:val="0"/>
          <w:sz w:val="21"/>
          <w:szCs w:val="21"/>
        </w:rPr>
        <w:t>分</w:t>
      </w:r>
    </w:p>
    <w:p>
      <w:pPr>
        <w:pageBreakBefore w:val="0"/>
        <w:kinsoku/>
        <w:wordWrap/>
        <w:overflowPunct/>
        <w:topLinePunct w:val="0"/>
        <w:autoSpaceDE/>
        <w:autoSpaceDN/>
        <w:bidi w:val="0"/>
        <w:adjustRightInd/>
        <w:snapToGrid/>
        <w:spacing w:line="360" w:lineRule="auto"/>
        <w:ind w:firstLine="420" w:firstLineChars="200"/>
        <w:rPr>
          <w:rFonts w:ascii="宋体" w:hAnsi="宋体" w:cs="宋体"/>
          <w:kern w:val="0"/>
          <w:sz w:val="21"/>
          <w:szCs w:val="21"/>
        </w:rPr>
      </w:pPr>
      <w:r>
        <w:rPr>
          <w:rFonts w:hint="eastAsia" w:ascii="宋体" w:hAnsi="宋体" w:cs="宋体"/>
          <w:sz w:val="21"/>
          <w:szCs w:val="21"/>
        </w:rPr>
        <w:t>商务标评标分为初步评审和详细评审，初步评审主要对各有效投标单位投标文件的商务部分进行符合性清标，详细评审是对有效投标单位的各类综合单价及总报价进行分析评分。</w:t>
      </w:r>
    </w:p>
    <w:p>
      <w:pPr>
        <w:pageBreakBefore w:val="0"/>
        <w:kinsoku/>
        <w:wordWrap/>
        <w:overflowPunct/>
        <w:topLinePunct w:val="0"/>
        <w:autoSpaceDE/>
        <w:autoSpaceDN/>
        <w:bidi w:val="0"/>
        <w:adjustRightInd/>
        <w:snapToGrid/>
        <w:spacing w:line="360" w:lineRule="auto"/>
        <w:ind w:firstLine="315" w:firstLineChars="150"/>
        <w:rPr>
          <w:szCs w:val="21"/>
        </w:rPr>
      </w:pPr>
      <w:r>
        <w:rPr>
          <w:rFonts w:hint="eastAsia"/>
          <w:szCs w:val="21"/>
        </w:rPr>
        <w:t>（2）</w:t>
      </w:r>
      <w:r>
        <w:rPr>
          <w:szCs w:val="21"/>
        </w:rPr>
        <w:t>详细评审</w:t>
      </w:r>
    </w:p>
    <w:p>
      <w:pPr>
        <w:keepNext w:val="0"/>
        <w:keepLines w:val="0"/>
        <w:pageBreakBefore w:val="0"/>
        <w:widowControl w:val="0"/>
        <w:kinsoku/>
        <w:wordWrap/>
        <w:overflowPunct/>
        <w:topLinePunct w:val="0"/>
        <w:autoSpaceDE/>
        <w:autoSpaceDN/>
        <w:bidi w:val="0"/>
        <w:adjustRightInd/>
        <w:snapToGrid/>
        <w:spacing w:line="360" w:lineRule="auto"/>
        <w:rPr>
          <w:rFonts w:ascii="宋体" w:hAnsi="宋体"/>
          <w:b/>
          <w:szCs w:val="21"/>
        </w:rPr>
      </w:pPr>
      <w:r>
        <w:rPr>
          <w:rFonts w:hint="eastAsia" w:ascii="宋体" w:hAnsi="宋体"/>
          <w:b/>
          <w:szCs w:val="21"/>
          <w:lang w:val="en-US" w:eastAsia="zh-CN"/>
        </w:rPr>
        <w:t>1、</w:t>
      </w:r>
      <w:r>
        <w:rPr>
          <w:rFonts w:hint="eastAsia" w:ascii="宋体" w:hAnsi="宋体"/>
          <w:b/>
          <w:szCs w:val="21"/>
        </w:rPr>
        <w:t>投标报价的评审，共计3</w:t>
      </w:r>
      <w:r>
        <w:rPr>
          <w:rFonts w:ascii="宋体" w:hAnsi="宋体"/>
          <w:b/>
          <w:szCs w:val="21"/>
        </w:rPr>
        <w:t>0</w:t>
      </w:r>
      <w:r>
        <w:rPr>
          <w:rFonts w:hint="eastAsia" w:ascii="宋体" w:hAnsi="宋体"/>
          <w:b/>
          <w:szCs w:val="21"/>
        </w:rPr>
        <w:t>分；</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rPr>
          <w:rFonts w:ascii="宋体" w:hAnsi="宋体"/>
          <w:szCs w:val="21"/>
        </w:rPr>
      </w:pPr>
      <w:r>
        <w:rPr>
          <w:rFonts w:hint="eastAsia" w:ascii="宋体" w:hAnsi="宋体"/>
          <w:szCs w:val="21"/>
        </w:rPr>
        <w:t>工程量清单报价评标基准价计算公式为：</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rPr>
          <w:rFonts w:ascii="宋体" w:hAnsi="宋体"/>
          <w:szCs w:val="21"/>
        </w:rPr>
      </w:pPr>
      <w:r>
        <w:rPr>
          <w:rFonts w:hint="eastAsia" w:ascii="宋体" w:hAnsi="宋体"/>
          <w:szCs w:val="21"/>
        </w:rPr>
        <w:t>评标基准价＝最高投标限价</w:t>
      </w:r>
      <w:r>
        <w:rPr>
          <w:rFonts w:ascii="宋体" w:hAnsi="宋体"/>
          <w:szCs w:val="21"/>
        </w:rPr>
        <w:t>×K+</w:t>
      </w:r>
      <w:r>
        <w:rPr>
          <w:rFonts w:hint="eastAsia" w:ascii="宋体" w:hAnsi="宋体"/>
          <w:szCs w:val="21"/>
        </w:rPr>
        <w:t>投标报价</w:t>
      </w:r>
      <w:r>
        <w:rPr>
          <w:rFonts w:ascii="宋体" w:hAnsi="宋体"/>
          <w:szCs w:val="21"/>
        </w:rPr>
        <w:t>×</w:t>
      </w:r>
      <w:r>
        <w:rPr>
          <w:rFonts w:hint="eastAsia" w:ascii="宋体" w:hAnsi="宋体"/>
          <w:szCs w:val="21"/>
        </w:rPr>
        <w:t>（</w:t>
      </w:r>
      <w:r>
        <w:rPr>
          <w:rFonts w:ascii="宋体" w:hAnsi="宋体"/>
          <w:szCs w:val="21"/>
        </w:rPr>
        <w:t>1</w:t>
      </w:r>
      <w:r>
        <w:rPr>
          <w:rFonts w:hint="eastAsia" w:ascii="宋体" w:hAnsi="宋体"/>
          <w:szCs w:val="21"/>
        </w:rPr>
        <w:t>－</w:t>
      </w:r>
      <w:r>
        <w:rPr>
          <w:rFonts w:ascii="宋体" w:hAnsi="宋体"/>
          <w:szCs w:val="21"/>
        </w:rPr>
        <w:t>K</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rPr>
          <w:rFonts w:ascii="宋体" w:hAnsi="宋体"/>
          <w:szCs w:val="21"/>
        </w:rPr>
      </w:pPr>
      <w:r>
        <w:rPr>
          <w:rFonts w:hint="eastAsia" w:ascii="宋体" w:hAnsi="宋体"/>
          <w:szCs w:val="21"/>
        </w:rPr>
        <w:t>其中：</w:t>
      </w:r>
      <w:r>
        <w:rPr>
          <w:rFonts w:ascii="宋体" w:hAnsi="宋体"/>
          <w:szCs w:val="21"/>
        </w:rPr>
        <w:t>K</w:t>
      </w:r>
      <w:r>
        <w:rPr>
          <w:rFonts w:hint="eastAsia" w:ascii="宋体" w:hAnsi="宋体"/>
          <w:szCs w:val="21"/>
        </w:rPr>
        <w:t>为最高投标限价权重系数，取值范围为</w:t>
      </w:r>
      <w:r>
        <w:rPr>
          <w:rFonts w:ascii="宋体" w:hAnsi="宋体"/>
          <w:szCs w:val="21"/>
        </w:rPr>
        <w:t>0.3≤K≤0.5</w:t>
      </w:r>
      <w:r>
        <w:rPr>
          <w:rFonts w:hint="eastAsia" w:ascii="宋体" w:hAnsi="宋体"/>
          <w:szCs w:val="21"/>
        </w:rPr>
        <w:t>，在开标现场随机抽取。</w:t>
      </w:r>
      <w:r>
        <w:rPr>
          <w:rFonts w:ascii="宋体" w:hAnsi="宋体"/>
          <w:szCs w:val="21"/>
        </w:rPr>
        <w:t>K</w:t>
      </w:r>
      <w:r>
        <w:rPr>
          <w:rFonts w:hint="eastAsia" w:ascii="宋体" w:hAnsi="宋体"/>
          <w:szCs w:val="21"/>
        </w:rPr>
        <w:t>值在取值区间内间隔为</w:t>
      </w:r>
      <w:r>
        <w:rPr>
          <w:rFonts w:ascii="宋体" w:hAnsi="宋体"/>
          <w:szCs w:val="21"/>
        </w:rPr>
        <w:t>0.05</w:t>
      </w:r>
      <w:r>
        <w:rPr>
          <w:rFonts w:hint="eastAsia" w:ascii="宋体" w:hAnsi="宋体"/>
          <w:szCs w:val="21"/>
        </w:rPr>
        <w:t>。投标报价为各投标人有效投标报价去掉一个最高和一个最低报价后的算术平均值。当有效投标少于</w:t>
      </w:r>
      <w:r>
        <w:rPr>
          <w:rFonts w:ascii="宋体" w:hAnsi="宋体"/>
          <w:szCs w:val="21"/>
        </w:rPr>
        <w:t>5</w:t>
      </w:r>
      <w:r>
        <w:rPr>
          <w:rFonts w:hint="eastAsia" w:ascii="宋体" w:hAnsi="宋体"/>
          <w:szCs w:val="21"/>
        </w:rPr>
        <w:t>家时（不含</w:t>
      </w:r>
      <w:r>
        <w:rPr>
          <w:rFonts w:ascii="宋体" w:hAnsi="宋体"/>
          <w:szCs w:val="21"/>
        </w:rPr>
        <w:t>5</w:t>
      </w:r>
      <w:r>
        <w:rPr>
          <w:rFonts w:hint="eastAsia" w:ascii="宋体" w:hAnsi="宋体"/>
          <w:szCs w:val="21"/>
        </w:rPr>
        <w:t>家），则以所有有效投标报价的算术平均值作为投标报价。</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baseline"/>
        <w:rPr>
          <w:rFonts w:ascii="宋体" w:hAnsi="宋体"/>
          <w:szCs w:val="21"/>
        </w:rPr>
      </w:pPr>
      <w:r>
        <w:rPr>
          <w:rFonts w:hint="eastAsia" w:ascii="宋体" w:hAnsi="宋体"/>
          <w:szCs w:val="21"/>
        </w:rPr>
        <w:t>当投标报价与评标基准价相等时，得基本分</w:t>
      </w:r>
      <w:r>
        <w:rPr>
          <w:rFonts w:ascii="宋体" w:hAnsi="宋体"/>
          <w:szCs w:val="21"/>
        </w:rPr>
        <w:t>20</w:t>
      </w:r>
      <w:r>
        <w:rPr>
          <w:rFonts w:hint="eastAsia" w:ascii="宋体" w:hAnsi="宋体"/>
          <w:szCs w:val="21"/>
        </w:rPr>
        <w:t>分。当投标报价低于评标基准价时，每低</w:t>
      </w:r>
      <w:r>
        <w:rPr>
          <w:rFonts w:ascii="宋体" w:hAnsi="宋体"/>
          <w:szCs w:val="21"/>
        </w:rPr>
        <w:t>1%</w:t>
      </w:r>
      <w:r>
        <w:rPr>
          <w:rFonts w:hint="eastAsia" w:ascii="宋体" w:hAnsi="宋体"/>
          <w:szCs w:val="21"/>
        </w:rPr>
        <w:t>在基本分</w:t>
      </w:r>
      <w:r>
        <w:rPr>
          <w:rFonts w:ascii="宋体" w:hAnsi="宋体"/>
          <w:szCs w:val="21"/>
        </w:rPr>
        <w:t>20</w:t>
      </w:r>
      <w:r>
        <w:rPr>
          <w:rFonts w:hint="eastAsia" w:ascii="宋体" w:hAnsi="宋体"/>
          <w:szCs w:val="21"/>
        </w:rPr>
        <w:t>分的基础上加</w:t>
      </w:r>
      <w:r>
        <w:rPr>
          <w:rFonts w:ascii="宋体" w:hAnsi="宋体"/>
          <w:szCs w:val="21"/>
        </w:rPr>
        <w:t>2</w:t>
      </w:r>
      <w:r>
        <w:rPr>
          <w:rFonts w:hint="eastAsia" w:ascii="宋体" w:hAnsi="宋体"/>
          <w:szCs w:val="21"/>
        </w:rPr>
        <w:t>分，最多加</w:t>
      </w:r>
      <w:r>
        <w:rPr>
          <w:rFonts w:ascii="宋体" w:hAnsi="宋体"/>
          <w:szCs w:val="21"/>
        </w:rPr>
        <w:t>10</w:t>
      </w:r>
      <w:r>
        <w:rPr>
          <w:rFonts w:hint="eastAsia" w:ascii="宋体" w:hAnsi="宋体"/>
          <w:szCs w:val="21"/>
        </w:rPr>
        <w:t>分；当投标报价低于评标基准价</w:t>
      </w:r>
      <w:r>
        <w:rPr>
          <w:rFonts w:ascii="宋体" w:hAnsi="宋体"/>
          <w:szCs w:val="21"/>
        </w:rPr>
        <w:t>5%</w:t>
      </w:r>
      <w:r>
        <w:rPr>
          <w:rFonts w:hint="eastAsia" w:ascii="宋体" w:hAnsi="宋体"/>
          <w:szCs w:val="21"/>
        </w:rPr>
        <w:t>以上（不含</w:t>
      </w:r>
      <w:r>
        <w:rPr>
          <w:rFonts w:ascii="宋体" w:hAnsi="宋体"/>
          <w:szCs w:val="21"/>
        </w:rPr>
        <w:t>5%</w:t>
      </w:r>
      <w:r>
        <w:rPr>
          <w:rFonts w:hint="eastAsia" w:ascii="宋体" w:hAnsi="宋体"/>
          <w:szCs w:val="21"/>
        </w:rPr>
        <w:t>）时，每再低</w:t>
      </w:r>
      <w:r>
        <w:rPr>
          <w:rFonts w:ascii="宋体" w:hAnsi="宋体"/>
          <w:szCs w:val="21"/>
        </w:rPr>
        <w:t>1%</w:t>
      </w:r>
      <w:r>
        <w:rPr>
          <w:rFonts w:hint="eastAsia" w:ascii="宋体" w:hAnsi="宋体"/>
          <w:szCs w:val="21"/>
        </w:rPr>
        <w:t>在满分</w:t>
      </w:r>
      <w:r>
        <w:rPr>
          <w:rFonts w:ascii="宋体" w:hAnsi="宋体"/>
          <w:szCs w:val="21"/>
        </w:rPr>
        <w:t>30</w:t>
      </w:r>
      <w:r>
        <w:rPr>
          <w:rFonts w:hint="eastAsia" w:ascii="宋体" w:hAnsi="宋体"/>
          <w:szCs w:val="21"/>
        </w:rPr>
        <w:t>分的基础上扣</w:t>
      </w:r>
      <w:r>
        <w:rPr>
          <w:rFonts w:ascii="宋体" w:hAnsi="宋体"/>
          <w:szCs w:val="21"/>
        </w:rPr>
        <w:t>3</w:t>
      </w:r>
      <w:r>
        <w:rPr>
          <w:rFonts w:hint="eastAsia" w:ascii="宋体" w:hAnsi="宋体"/>
          <w:szCs w:val="21"/>
        </w:rPr>
        <w:t>分，扣完为止；当投标报价高于评标基准价时，每高</w:t>
      </w:r>
      <w:r>
        <w:rPr>
          <w:rFonts w:ascii="宋体" w:hAnsi="宋体"/>
          <w:szCs w:val="21"/>
        </w:rPr>
        <w:t>1%</w:t>
      </w:r>
      <w:r>
        <w:rPr>
          <w:rFonts w:hint="eastAsia" w:ascii="宋体" w:hAnsi="宋体"/>
          <w:szCs w:val="21"/>
        </w:rPr>
        <w:t>在基本分</w:t>
      </w:r>
      <w:r>
        <w:rPr>
          <w:rFonts w:ascii="宋体" w:hAnsi="宋体"/>
          <w:szCs w:val="21"/>
        </w:rPr>
        <w:t>20</w:t>
      </w:r>
      <w:r>
        <w:rPr>
          <w:rFonts w:hint="eastAsia" w:ascii="宋体" w:hAnsi="宋体"/>
          <w:szCs w:val="21"/>
        </w:rPr>
        <w:t>分的基础上扣</w:t>
      </w:r>
      <w:r>
        <w:rPr>
          <w:rFonts w:ascii="宋体" w:hAnsi="宋体"/>
          <w:szCs w:val="21"/>
        </w:rPr>
        <w:t>2</w:t>
      </w:r>
      <w:r>
        <w:rPr>
          <w:rFonts w:hint="eastAsia" w:ascii="宋体" w:hAnsi="宋体"/>
          <w:szCs w:val="21"/>
        </w:rPr>
        <w:t>分，扣完为止。</w:t>
      </w:r>
    </w:p>
    <w:p>
      <w:pPr>
        <w:keepNext w:val="0"/>
        <w:keepLines w:val="0"/>
        <w:pageBreakBefore w:val="0"/>
        <w:widowControl w:val="0"/>
        <w:kinsoku/>
        <w:wordWrap/>
        <w:overflowPunct/>
        <w:topLinePunct w:val="0"/>
        <w:autoSpaceDE/>
        <w:autoSpaceDN/>
        <w:bidi w:val="0"/>
        <w:adjustRightInd/>
        <w:snapToGrid/>
        <w:spacing w:line="360" w:lineRule="auto"/>
        <w:textAlignment w:val="baseline"/>
        <w:rPr>
          <w:rFonts w:ascii="宋体" w:hAnsi="宋体"/>
          <w:b/>
          <w:szCs w:val="21"/>
        </w:rPr>
      </w:pPr>
      <w:r>
        <w:rPr>
          <w:rFonts w:hint="eastAsia" w:ascii="宋体" w:hAnsi="宋体"/>
          <w:b/>
          <w:szCs w:val="21"/>
          <w:lang w:val="en-US" w:eastAsia="zh-CN"/>
        </w:rPr>
        <w:t>2、</w:t>
      </w:r>
      <w:r>
        <w:rPr>
          <w:rFonts w:hint="eastAsia" w:ascii="宋体" w:hAnsi="宋体"/>
          <w:b/>
          <w:szCs w:val="21"/>
        </w:rPr>
        <w:t>分</w:t>
      </w:r>
      <w:r>
        <w:rPr>
          <w:rFonts w:hint="eastAsia" w:ascii="宋体" w:hAnsi="宋体"/>
          <w:b/>
          <w:szCs w:val="21"/>
          <w:lang w:eastAsia="zh-CN"/>
        </w:rPr>
        <w:t>类</w:t>
      </w:r>
      <w:r>
        <w:rPr>
          <w:rFonts w:hint="eastAsia" w:ascii="宋体" w:hAnsi="宋体"/>
          <w:b/>
          <w:szCs w:val="21"/>
        </w:rPr>
        <w:t>分项工程项目清单单价评审，共计</w:t>
      </w:r>
      <w:r>
        <w:rPr>
          <w:rFonts w:ascii="宋体" w:hAnsi="宋体"/>
          <w:b/>
          <w:szCs w:val="21"/>
        </w:rPr>
        <w:t>10</w:t>
      </w:r>
      <w:r>
        <w:rPr>
          <w:rFonts w:hint="eastAsia" w:ascii="宋体" w:hAnsi="宋体"/>
          <w:b/>
          <w:szCs w:val="21"/>
        </w:rPr>
        <w:t>分。</w:t>
      </w:r>
    </w:p>
    <w:p>
      <w:pPr>
        <w:keepNext w:val="0"/>
        <w:keepLines w:val="0"/>
        <w:pageBreakBefore w:val="0"/>
        <w:widowControl w:val="0"/>
        <w:kinsoku/>
        <w:wordWrap/>
        <w:overflowPunct/>
        <w:topLinePunct w:val="0"/>
        <w:autoSpaceDE/>
        <w:autoSpaceDN/>
        <w:bidi w:val="0"/>
        <w:adjustRightInd/>
        <w:snapToGrid/>
        <w:spacing w:line="360" w:lineRule="auto"/>
        <w:ind w:firstLine="620"/>
        <w:textAlignment w:val="baseline"/>
        <w:rPr>
          <w:rFonts w:ascii="宋体" w:hAnsi="宋体"/>
          <w:szCs w:val="21"/>
        </w:rPr>
      </w:pPr>
      <w:r>
        <w:rPr>
          <w:rFonts w:hint="eastAsia" w:ascii="宋体" w:hAnsi="宋体"/>
          <w:szCs w:val="21"/>
        </w:rPr>
        <w:t>从分</w:t>
      </w:r>
      <w:r>
        <w:rPr>
          <w:rFonts w:hint="eastAsia" w:ascii="宋体" w:hAnsi="宋体"/>
          <w:szCs w:val="21"/>
          <w:lang w:eastAsia="zh-CN"/>
        </w:rPr>
        <w:t>类</w:t>
      </w:r>
      <w:r>
        <w:rPr>
          <w:rFonts w:hint="eastAsia" w:ascii="宋体" w:hAnsi="宋体"/>
          <w:szCs w:val="21"/>
        </w:rPr>
        <w:t>分项工程项目权重最大的前</w:t>
      </w:r>
      <w:r>
        <w:rPr>
          <w:rFonts w:ascii="宋体" w:hAnsi="宋体"/>
          <w:szCs w:val="21"/>
        </w:rPr>
        <w:t>10-30</w:t>
      </w:r>
      <w:r>
        <w:rPr>
          <w:rFonts w:hint="eastAsia" w:ascii="宋体" w:hAnsi="宋体"/>
          <w:szCs w:val="21"/>
        </w:rPr>
        <w:t>项清单项目中抽取</w:t>
      </w:r>
      <w:r>
        <w:rPr>
          <w:rFonts w:ascii="宋体" w:hAnsi="宋体"/>
          <w:szCs w:val="21"/>
        </w:rPr>
        <w:t>15</w:t>
      </w:r>
      <w:r>
        <w:rPr>
          <w:rFonts w:hint="eastAsia" w:ascii="宋体" w:hAnsi="宋体"/>
          <w:szCs w:val="21"/>
        </w:rPr>
        <w:t>项，在剩余的分</w:t>
      </w:r>
      <w:r>
        <w:rPr>
          <w:rFonts w:hint="eastAsia" w:ascii="宋体" w:hAnsi="宋体"/>
          <w:szCs w:val="21"/>
          <w:lang w:eastAsia="zh-CN"/>
        </w:rPr>
        <w:t>类</w:t>
      </w:r>
      <w:r>
        <w:rPr>
          <w:rFonts w:hint="eastAsia" w:ascii="宋体" w:hAnsi="宋体"/>
          <w:szCs w:val="21"/>
        </w:rPr>
        <w:t>分项工程项目清单项目中抽取</w:t>
      </w:r>
      <w:r>
        <w:rPr>
          <w:rFonts w:ascii="宋体" w:hAnsi="宋体"/>
          <w:szCs w:val="21"/>
        </w:rPr>
        <w:t>5</w:t>
      </w:r>
      <w:r>
        <w:rPr>
          <w:rFonts w:hint="eastAsia" w:ascii="宋体" w:hAnsi="宋体"/>
          <w:szCs w:val="21"/>
        </w:rPr>
        <w:t>项。</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baseline"/>
        <w:rPr>
          <w:rFonts w:ascii="宋体" w:hAnsi="宋体"/>
          <w:szCs w:val="21"/>
        </w:rPr>
      </w:pPr>
      <w:r>
        <w:rPr>
          <w:rFonts w:hint="eastAsia" w:ascii="宋体" w:hAnsi="宋体"/>
          <w:szCs w:val="21"/>
        </w:rPr>
        <w:t>综合单价基准值是以各有效投标报价中（当有效投标人</w:t>
      </w:r>
      <w:r>
        <w:rPr>
          <w:rFonts w:ascii="宋体" w:hAnsi="宋体"/>
          <w:szCs w:val="21"/>
        </w:rPr>
        <w:t>5</w:t>
      </w:r>
      <w:r>
        <w:rPr>
          <w:rFonts w:hint="eastAsia" w:ascii="宋体" w:hAnsi="宋体"/>
          <w:szCs w:val="21"/>
        </w:rPr>
        <w:t>名及以上时，去掉</w:t>
      </w:r>
      <w:r>
        <w:rPr>
          <w:rFonts w:ascii="宋体" w:hAnsi="宋体"/>
          <w:szCs w:val="21"/>
        </w:rPr>
        <w:t>1</w:t>
      </w:r>
      <w:r>
        <w:rPr>
          <w:rFonts w:hint="eastAsia" w:ascii="宋体" w:hAnsi="宋体"/>
          <w:szCs w:val="21"/>
        </w:rPr>
        <w:t>个最高、</w:t>
      </w:r>
      <w:r>
        <w:rPr>
          <w:rFonts w:ascii="宋体" w:hAnsi="宋体"/>
          <w:szCs w:val="21"/>
        </w:rPr>
        <w:t>1</w:t>
      </w:r>
      <w:r>
        <w:rPr>
          <w:rFonts w:hint="eastAsia" w:ascii="宋体" w:hAnsi="宋体"/>
          <w:szCs w:val="21"/>
        </w:rPr>
        <w:t>个最低值）对应抽取清单项目综合单价的算术平均值。</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baseline"/>
        <w:rPr>
          <w:rFonts w:ascii="宋体" w:hAnsi="宋体" w:cs="宋体"/>
          <w:kern w:val="0"/>
          <w:szCs w:val="21"/>
        </w:rPr>
      </w:pPr>
      <w:r>
        <w:rPr>
          <w:rFonts w:hint="eastAsia" w:ascii="宋体" w:hAnsi="宋体"/>
          <w:szCs w:val="21"/>
        </w:rPr>
        <w:t>投标人报价在综合单价基准值</w:t>
      </w:r>
      <w:r>
        <w:rPr>
          <w:rFonts w:ascii="宋体" w:hAnsi="宋体"/>
          <w:szCs w:val="21"/>
        </w:rPr>
        <w:t>95%–103%</w:t>
      </w:r>
      <w:r>
        <w:rPr>
          <w:rFonts w:hint="eastAsia" w:ascii="宋体" w:hAnsi="宋体"/>
          <w:szCs w:val="21"/>
        </w:rPr>
        <w:t>范围内（不含</w:t>
      </w:r>
      <w:r>
        <w:rPr>
          <w:rFonts w:ascii="宋体" w:hAnsi="宋体"/>
          <w:szCs w:val="21"/>
        </w:rPr>
        <w:t>95%</w:t>
      </w:r>
      <w:r>
        <w:rPr>
          <w:rFonts w:hint="eastAsia" w:ascii="宋体" w:hAnsi="宋体"/>
          <w:szCs w:val="21"/>
        </w:rPr>
        <w:t>和</w:t>
      </w:r>
      <w:r>
        <w:rPr>
          <w:rFonts w:ascii="宋体" w:hAnsi="宋体"/>
          <w:szCs w:val="21"/>
        </w:rPr>
        <w:t>103%</w:t>
      </w:r>
      <w:r>
        <w:rPr>
          <w:rFonts w:hint="eastAsia" w:ascii="宋体" w:hAnsi="宋体"/>
          <w:szCs w:val="21"/>
        </w:rPr>
        <w:t>）的，每项得</w:t>
      </w:r>
      <w:r>
        <w:rPr>
          <w:rFonts w:ascii="宋体" w:hAnsi="宋体"/>
          <w:szCs w:val="21"/>
        </w:rPr>
        <w:t>0.5</w:t>
      </w:r>
      <w:r>
        <w:rPr>
          <w:rFonts w:hint="eastAsia" w:ascii="宋体" w:hAnsi="宋体"/>
          <w:szCs w:val="21"/>
        </w:rPr>
        <w:t>分；在综合单价基准值</w:t>
      </w:r>
      <w:r>
        <w:rPr>
          <w:rFonts w:ascii="宋体" w:hAnsi="宋体"/>
          <w:szCs w:val="21"/>
        </w:rPr>
        <w:t>90%–95%</w:t>
      </w:r>
      <w:r>
        <w:rPr>
          <w:rFonts w:hint="eastAsia" w:ascii="宋体" w:hAnsi="宋体"/>
          <w:szCs w:val="21"/>
        </w:rPr>
        <w:t>范围内（含</w:t>
      </w:r>
      <w:r>
        <w:rPr>
          <w:rFonts w:ascii="宋体" w:hAnsi="宋体"/>
          <w:szCs w:val="21"/>
        </w:rPr>
        <w:t>90%</w:t>
      </w:r>
      <w:r>
        <w:rPr>
          <w:rFonts w:hint="eastAsia" w:ascii="宋体" w:hAnsi="宋体"/>
          <w:szCs w:val="21"/>
        </w:rPr>
        <w:t>和</w:t>
      </w:r>
      <w:r>
        <w:rPr>
          <w:rFonts w:ascii="宋体" w:hAnsi="宋体"/>
          <w:szCs w:val="21"/>
        </w:rPr>
        <w:t>95%</w:t>
      </w:r>
      <w:r>
        <w:rPr>
          <w:rFonts w:hint="eastAsia" w:ascii="宋体" w:hAnsi="宋体"/>
          <w:szCs w:val="21"/>
        </w:rPr>
        <w:t>）每项得</w:t>
      </w:r>
      <w:r>
        <w:rPr>
          <w:rFonts w:ascii="宋体" w:hAnsi="宋体"/>
          <w:szCs w:val="21"/>
        </w:rPr>
        <w:t>0.25</w:t>
      </w:r>
      <w:r>
        <w:rPr>
          <w:rFonts w:hint="eastAsia" w:ascii="宋体" w:hAnsi="宋体"/>
          <w:szCs w:val="21"/>
        </w:rPr>
        <w:t>分。满分共计</w:t>
      </w:r>
      <w:r>
        <w:rPr>
          <w:rFonts w:ascii="宋体" w:hAnsi="宋体"/>
          <w:szCs w:val="21"/>
        </w:rPr>
        <w:t>10</w:t>
      </w:r>
      <w:r>
        <w:rPr>
          <w:rFonts w:hint="eastAsia" w:ascii="宋体" w:hAnsi="宋体"/>
          <w:szCs w:val="21"/>
        </w:rPr>
        <w:t>分。超出该范围的不得分。</w:t>
      </w:r>
    </w:p>
    <w:p>
      <w:pPr>
        <w:pageBreakBefore w:val="0"/>
        <w:widowControl/>
        <w:shd w:val="clear" w:color="auto" w:fill="FFFFFF"/>
        <w:kinsoku/>
        <w:wordWrap/>
        <w:overflowPunct/>
        <w:topLinePunct w:val="0"/>
        <w:autoSpaceDE/>
        <w:autoSpaceDN/>
        <w:bidi w:val="0"/>
        <w:adjustRightInd/>
        <w:snapToGrid/>
        <w:spacing w:line="360" w:lineRule="auto"/>
        <w:jc w:val="left"/>
        <w:rPr>
          <w:rFonts w:ascii="宋体" w:hAnsi="宋体" w:cs="宋体"/>
          <w:b/>
          <w:kern w:val="0"/>
          <w:szCs w:val="21"/>
        </w:rPr>
      </w:pPr>
      <w:r>
        <w:rPr>
          <w:rFonts w:ascii="宋体" w:hAnsi="宋体" w:cs="宋体"/>
          <w:kern w:val="0"/>
          <w:szCs w:val="21"/>
        </w:rPr>
        <w:t> </w:t>
      </w:r>
      <w:r>
        <w:rPr>
          <w:rFonts w:hint="eastAsia" w:ascii="宋体" w:hAnsi="宋体" w:cs="宋体"/>
          <w:b/>
          <w:kern w:val="0"/>
          <w:szCs w:val="21"/>
        </w:rPr>
        <w:t>3、</w:t>
      </w:r>
      <w:r>
        <w:rPr>
          <w:rFonts w:ascii="宋体" w:hAnsi="宋体" w:cs="宋体"/>
          <w:b/>
          <w:kern w:val="0"/>
          <w:szCs w:val="21"/>
        </w:rPr>
        <w:t>综合（信用）标的评标分值25分</w:t>
      </w:r>
    </w:p>
    <w:tbl>
      <w:tblPr>
        <w:tblStyle w:val="44"/>
        <w:tblW w:w="8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417"/>
        <w:gridCol w:w="5042"/>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843" w:type="dxa"/>
            <w:vAlign w:val="center"/>
          </w:tcPr>
          <w:p>
            <w:pPr>
              <w:pageBreakBefore w:val="0"/>
              <w:kinsoku/>
              <w:wordWrap/>
              <w:overflowPunct/>
              <w:topLinePunct w:val="0"/>
              <w:autoSpaceDE/>
              <w:autoSpaceDN/>
              <w:bidi w:val="0"/>
              <w:adjustRightInd/>
              <w:snapToGrid/>
              <w:spacing w:line="360" w:lineRule="auto"/>
              <w:jc w:val="center"/>
              <w:rPr>
                <w:szCs w:val="21"/>
              </w:rPr>
            </w:pPr>
            <w:r>
              <w:rPr>
                <w:rFonts w:hint="eastAsia"/>
                <w:szCs w:val="21"/>
              </w:rPr>
              <w:t>序号</w:t>
            </w:r>
          </w:p>
        </w:tc>
        <w:tc>
          <w:tcPr>
            <w:tcW w:w="1417" w:type="dxa"/>
            <w:vAlign w:val="center"/>
          </w:tcPr>
          <w:p>
            <w:pPr>
              <w:pageBreakBefore w:val="0"/>
              <w:kinsoku/>
              <w:wordWrap/>
              <w:overflowPunct/>
              <w:topLinePunct w:val="0"/>
              <w:autoSpaceDE/>
              <w:autoSpaceDN/>
              <w:bidi w:val="0"/>
              <w:adjustRightInd/>
              <w:snapToGrid/>
              <w:spacing w:line="360" w:lineRule="auto"/>
              <w:jc w:val="center"/>
              <w:rPr>
                <w:szCs w:val="21"/>
              </w:rPr>
            </w:pPr>
            <w:r>
              <w:rPr>
                <w:rFonts w:hint="eastAsia"/>
                <w:szCs w:val="21"/>
              </w:rPr>
              <w:t>项目</w:t>
            </w:r>
          </w:p>
        </w:tc>
        <w:tc>
          <w:tcPr>
            <w:tcW w:w="5042" w:type="dxa"/>
            <w:vAlign w:val="center"/>
          </w:tcPr>
          <w:p>
            <w:pPr>
              <w:pageBreakBefore w:val="0"/>
              <w:kinsoku/>
              <w:wordWrap/>
              <w:overflowPunct/>
              <w:topLinePunct w:val="0"/>
              <w:autoSpaceDE/>
              <w:autoSpaceDN/>
              <w:bidi w:val="0"/>
              <w:adjustRightInd/>
              <w:snapToGrid/>
              <w:spacing w:line="360" w:lineRule="auto"/>
              <w:jc w:val="center"/>
              <w:rPr>
                <w:szCs w:val="21"/>
              </w:rPr>
            </w:pPr>
            <w:r>
              <w:rPr>
                <w:rFonts w:hint="eastAsia"/>
                <w:szCs w:val="21"/>
              </w:rPr>
              <w:t>评审标准</w:t>
            </w:r>
          </w:p>
        </w:tc>
        <w:tc>
          <w:tcPr>
            <w:tcW w:w="1479" w:type="dxa"/>
            <w:vAlign w:val="center"/>
          </w:tcPr>
          <w:p>
            <w:pPr>
              <w:pageBreakBefore w:val="0"/>
              <w:kinsoku/>
              <w:wordWrap/>
              <w:overflowPunct/>
              <w:topLinePunct w:val="0"/>
              <w:autoSpaceDE/>
              <w:autoSpaceDN/>
              <w:bidi w:val="0"/>
              <w:adjustRightInd/>
              <w:snapToGrid/>
              <w:spacing w:line="360" w:lineRule="auto"/>
              <w:jc w:val="center"/>
              <w:rPr>
                <w:szCs w:val="21"/>
              </w:rPr>
            </w:pPr>
            <w:r>
              <w:rPr>
                <w:rFonts w:hint="eastAsia"/>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43" w:type="dxa"/>
            <w:vAlign w:val="center"/>
          </w:tcPr>
          <w:p>
            <w:pPr>
              <w:pageBreakBefore w:val="0"/>
              <w:kinsoku/>
              <w:wordWrap/>
              <w:overflowPunct/>
              <w:topLinePunct w:val="0"/>
              <w:autoSpaceDE/>
              <w:autoSpaceDN/>
              <w:bidi w:val="0"/>
              <w:adjustRightInd/>
              <w:snapToGrid/>
              <w:spacing w:line="360" w:lineRule="auto"/>
              <w:jc w:val="center"/>
              <w:rPr>
                <w:szCs w:val="21"/>
              </w:rPr>
            </w:pPr>
            <w:r>
              <w:rPr>
                <w:szCs w:val="21"/>
              </w:rPr>
              <w:t>1</w:t>
            </w:r>
          </w:p>
        </w:tc>
        <w:tc>
          <w:tcPr>
            <w:tcW w:w="1417" w:type="dxa"/>
            <w:vAlign w:val="center"/>
          </w:tcPr>
          <w:p>
            <w:pPr>
              <w:pageBreakBefore w:val="0"/>
              <w:kinsoku/>
              <w:wordWrap/>
              <w:overflowPunct/>
              <w:topLinePunct w:val="0"/>
              <w:autoSpaceDE/>
              <w:autoSpaceDN/>
              <w:bidi w:val="0"/>
              <w:adjustRightInd/>
              <w:snapToGrid/>
              <w:spacing w:line="360" w:lineRule="auto"/>
              <w:jc w:val="center"/>
              <w:rPr>
                <w:szCs w:val="21"/>
              </w:rPr>
            </w:pPr>
            <w:r>
              <w:rPr>
                <w:rFonts w:hint="eastAsia"/>
                <w:szCs w:val="21"/>
              </w:rPr>
              <w:t>企业业绩（0-</w:t>
            </w:r>
            <w:r>
              <w:rPr>
                <w:szCs w:val="21"/>
              </w:rPr>
              <w:t>3</w:t>
            </w:r>
            <w:r>
              <w:rPr>
                <w:rFonts w:hint="eastAsia"/>
                <w:szCs w:val="21"/>
              </w:rPr>
              <w:t>分）</w:t>
            </w:r>
          </w:p>
        </w:tc>
        <w:tc>
          <w:tcPr>
            <w:tcW w:w="5042" w:type="dxa"/>
            <w:vAlign w:val="center"/>
          </w:tcPr>
          <w:p>
            <w:pPr>
              <w:pageBreakBefore w:val="0"/>
              <w:kinsoku/>
              <w:wordWrap/>
              <w:overflowPunct/>
              <w:topLinePunct w:val="0"/>
              <w:autoSpaceDE/>
              <w:autoSpaceDN/>
              <w:bidi w:val="0"/>
              <w:adjustRightInd/>
              <w:snapToGrid/>
              <w:spacing w:line="360" w:lineRule="auto"/>
              <w:jc w:val="left"/>
              <w:rPr>
                <w:szCs w:val="21"/>
              </w:rPr>
            </w:pPr>
            <w:r>
              <w:rPr>
                <w:rFonts w:hint="eastAsia"/>
                <w:szCs w:val="21"/>
              </w:rPr>
              <w:t>企业20</w:t>
            </w:r>
            <w:r>
              <w:rPr>
                <w:szCs w:val="21"/>
              </w:rPr>
              <w:t>2</w:t>
            </w:r>
            <w:r>
              <w:rPr>
                <w:rFonts w:hint="eastAsia"/>
                <w:szCs w:val="21"/>
                <w:lang w:val="en-US" w:eastAsia="zh-CN"/>
              </w:rPr>
              <w:t>1</w:t>
            </w:r>
            <w:r>
              <w:rPr>
                <w:rFonts w:hint="eastAsia"/>
                <w:szCs w:val="21"/>
              </w:rPr>
              <w:t>年1月1日以来具有类似工程业绩一个得</w:t>
            </w:r>
            <w:r>
              <w:rPr>
                <w:szCs w:val="21"/>
              </w:rPr>
              <w:t>1</w:t>
            </w:r>
            <w:r>
              <w:rPr>
                <w:rFonts w:hint="eastAsia"/>
                <w:szCs w:val="21"/>
              </w:rPr>
              <w:t>分，最多得</w:t>
            </w:r>
            <w:r>
              <w:rPr>
                <w:szCs w:val="21"/>
              </w:rPr>
              <w:t>3</w:t>
            </w:r>
            <w:r>
              <w:rPr>
                <w:rFonts w:hint="eastAsia"/>
                <w:szCs w:val="21"/>
              </w:rPr>
              <w:t>分（提供合同和中标通知书，以企业诚信库“企业业绩”中上传的原件扫描件为准，时间以合同签订时间为准。）</w:t>
            </w:r>
          </w:p>
        </w:tc>
        <w:tc>
          <w:tcPr>
            <w:tcW w:w="1479" w:type="dxa"/>
            <w:vAlign w:val="center"/>
          </w:tcPr>
          <w:p>
            <w:pPr>
              <w:pageBreakBefore w:val="0"/>
              <w:kinsoku/>
              <w:wordWrap/>
              <w:overflowPunct/>
              <w:topLinePunct w:val="0"/>
              <w:autoSpaceDE/>
              <w:autoSpaceDN/>
              <w:bidi w:val="0"/>
              <w:adjustRightInd/>
              <w:snapToGrid/>
              <w:spacing w:line="360" w:lineRule="auto"/>
              <w:jc w:val="center"/>
              <w:rPr>
                <w:szCs w:val="21"/>
              </w:rPr>
            </w:pPr>
            <w:r>
              <w:rPr>
                <w:szCs w:val="21"/>
              </w:rPr>
              <w:t>0</w:t>
            </w:r>
            <w:r>
              <w:rPr>
                <w:rFonts w:hint="eastAsia"/>
                <w:szCs w:val="21"/>
              </w:rPr>
              <w:t>＜得分</w:t>
            </w:r>
            <w:r>
              <w:rPr>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43" w:type="dxa"/>
            <w:vAlign w:val="center"/>
          </w:tcPr>
          <w:p>
            <w:pPr>
              <w:pageBreakBefore w:val="0"/>
              <w:kinsoku/>
              <w:wordWrap/>
              <w:overflowPunct/>
              <w:topLinePunct w:val="0"/>
              <w:autoSpaceDE/>
              <w:autoSpaceDN/>
              <w:bidi w:val="0"/>
              <w:adjustRightInd/>
              <w:snapToGrid/>
              <w:spacing w:line="360" w:lineRule="auto"/>
              <w:jc w:val="center"/>
              <w:rPr>
                <w:szCs w:val="21"/>
              </w:rPr>
            </w:pPr>
            <w:r>
              <w:rPr>
                <w:szCs w:val="21"/>
              </w:rPr>
              <w:t>2</w:t>
            </w:r>
          </w:p>
        </w:tc>
        <w:tc>
          <w:tcPr>
            <w:tcW w:w="1417" w:type="dxa"/>
            <w:vAlign w:val="center"/>
          </w:tcPr>
          <w:p>
            <w:pPr>
              <w:pageBreakBefore w:val="0"/>
              <w:kinsoku/>
              <w:wordWrap/>
              <w:overflowPunct/>
              <w:topLinePunct w:val="0"/>
              <w:autoSpaceDE/>
              <w:autoSpaceDN/>
              <w:bidi w:val="0"/>
              <w:adjustRightInd/>
              <w:snapToGrid/>
              <w:spacing w:line="360" w:lineRule="auto"/>
              <w:jc w:val="center"/>
              <w:rPr>
                <w:szCs w:val="21"/>
              </w:rPr>
            </w:pPr>
            <w:r>
              <w:rPr>
                <w:rFonts w:hint="eastAsia"/>
                <w:szCs w:val="21"/>
              </w:rPr>
              <w:t>项目经理业绩（0-2分）</w:t>
            </w:r>
          </w:p>
        </w:tc>
        <w:tc>
          <w:tcPr>
            <w:tcW w:w="5042" w:type="dxa"/>
            <w:vAlign w:val="center"/>
          </w:tcPr>
          <w:p>
            <w:pPr>
              <w:pageBreakBefore w:val="0"/>
              <w:kinsoku/>
              <w:wordWrap/>
              <w:overflowPunct/>
              <w:topLinePunct w:val="0"/>
              <w:autoSpaceDE/>
              <w:autoSpaceDN/>
              <w:bidi w:val="0"/>
              <w:adjustRightInd/>
              <w:snapToGrid/>
              <w:spacing w:line="360" w:lineRule="auto"/>
              <w:jc w:val="left"/>
              <w:rPr>
                <w:szCs w:val="21"/>
              </w:rPr>
            </w:pPr>
            <w:r>
              <w:rPr>
                <w:rFonts w:hint="eastAsia"/>
                <w:szCs w:val="21"/>
              </w:rPr>
              <w:t>拟任项目经理20</w:t>
            </w:r>
            <w:r>
              <w:rPr>
                <w:szCs w:val="21"/>
              </w:rPr>
              <w:t>2</w:t>
            </w:r>
            <w:r>
              <w:rPr>
                <w:rFonts w:hint="eastAsia"/>
                <w:szCs w:val="21"/>
                <w:lang w:val="en-US" w:eastAsia="zh-CN"/>
              </w:rPr>
              <w:t>1</w:t>
            </w:r>
            <w:r>
              <w:rPr>
                <w:rFonts w:hint="eastAsia"/>
                <w:szCs w:val="21"/>
              </w:rPr>
              <w:t>年1月1日以来具有类似工程业绩一个得</w:t>
            </w:r>
            <w:r>
              <w:rPr>
                <w:szCs w:val="21"/>
              </w:rPr>
              <w:t>2</w:t>
            </w:r>
            <w:r>
              <w:rPr>
                <w:rFonts w:hint="eastAsia"/>
                <w:szCs w:val="21"/>
              </w:rPr>
              <w:t>分，最多得</w:t>
            </w:r>
            <w:r>
              <w:rPr>
                <w:szCs w:val="21"/>
              </w:rPr>
              <w:t>2</w:t>
            </w:r>
            <w:r>
              <w:rPr>
                <w:rFonts w:hint="eastAsia"/>
                <w:szCs w:val="21"/>
              </w:rPr>
              <w:t>分（提供合同和中标通知书，以企业诚信库“企业业绩”中上传的原件扫描件为准，时间以合同签订时间为准。）</w:t>
            </w:r>
            <w:r>
              <w:rPr>
                <w:rFonts w:hint="eastAsia"/>
                <w:b/>
                <w:szCs w:val="21"/>
              </w:rPr>
              <w:t>企业业绩与项目经理业绩</w:t>
            </w:r>
            <w:r>
              <w:rPr>
                <w:rFonts w:hint="eastAsia"/>
                <w:b/>
                <w:szCs w:val="21"/>
                <w:lang w:eastAsia="zh-CN"/>
              </w:rPr>
              <w:t>不</w:t>
            </w:r>
            <w:r>
              <w:rPr>
                <w:rFonts w:hint="eastAsia"/>
                <w:b/>
                <w:szCs w:val="21"/>
              </w:rPr>
              <w:t>可以重复计算</w:t>
            </w:r>
          </w:p>
        </w:tc>
        <w:tc>
          <w:tcPr>
            <w:tcW w:w="1479" w:type="dxa"/>
            <w:vAlign w:val="center"/>
          </w:tcPr>
          <w:p>
            <w:pPr>
              <w:pageBreakBefore w:val="0"/>
              <w:kinsoku/>
              <w:wordWrap/>
              <w:overflowPunct/>
              <w:topLinePunct w:val="0"/>
              <w:autoSpaceDE/>
              <w:autoSpaceDN/>
              <w:bidi w:val="0"/>
              <w:adjustRightInd/>
              <w:snapToGrid/>
              <w:spacing w:line="360" w:lineRule="auto"/>
              <w:jc w:val="center"/>
              <w:rPr>
                <w:szCs w:val="21"/>
              </w:rPr>
            </w:pPr>
            <w:r>
              <w:rPr>
                <w:szCs w:val="21"/>
              </w:rPr>
              <w:t>0</w:t>
            </w:r>
            <w:r>
              <w:rPr>
                <w:rFonts w:hint="eastAsia"/>
                <w:szCs w:val="21"/>
              </w:rPr>
              <w:t>＜得分</w:t>
            </w:r>
            <w:r>
              <w:rPr>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43" w:type="dxa"/>
            <w:vMerge w:val="restart"/>
            <w:shd w:val="clear" w:color="auto" w:fill="auto"/>
            <w:vAlign w:val="center"/>
          </w:tcPr>
          <w:p>
            <w:pPr>
              <w:pageBreakBefore w:val="0"/>
              <w:kinsoku/>
              <w:wordWrap/>
              <w:overflowPunct/>
              <w:topLinePunct w:val="0"/>
              <w:autoSpaceDE/>
              <w:autoSpaceDN/>
              <w:bidi w:val="0"/>
              <w:adjustRightInd/>
              <w:snapToGrid/>
              <w:spacing w:line="360" w:lineRule="auto"/>
              <w:jc w:val="center"/>
              <w:rPr>
                <w:szCs w:val="21"/>
              </w:rPr>
            </w:pPr>
            <w:r>
              <w:rPr>
                <w:rFonts w:hint="eastAsia"/>
                <w:szCs w:val="21"/>
              </w:rPr>
              <w:t>3</w:t>
            </w:r>
          </w:p>
        </w:tc>
        <w:tc>
          <w:tcPr>
            <w:tcW w:w="1417" w:type="dxa"/>
            <w:vMerge w:val="restart"/>
            <w:vAlign w:val="center"/>
          </w:tcPr>
          <w:p>
            <w:pPr>
              <w:pageBreakBefore w:val="0"/>
              <w:kinsoku/>
              <w:wordWrap/>
              <w:overflowPunct/>
              <w:topLinePunct w:val="0"/>
              <w:autoSpaceDE/>
              <w:autoSpaceDN/>
              <w:bidi w:val="0"/>
              <w:adjustRightInd/>
              <w:snapToGrid/>
              <w:spacing w:line="360" w:lineRule="auto"/>
              <w:jc w:val="center"/>
              <w:rPr>
                <w:szCs w:val="21"/>
              </w:rPr>
            </w:pPr>
            <w:r>
              <w:rPr>
                <w:rFonts w:hint="eastAsia"/>
                <w:szCs w:val="21"/>
              </w:rPr>
              <w:t>优惠承诺（1-6分）</w:t>
            </w:r>
          </w:p>
        </w:tc>
        <w:tc>
          <w:tcPr>
            <w:tcW w:w="5042" w:type="dxa"/>
            <w:vAlign w:val="center"/>
          </w:tcPr>
          <w:p>
            <w:pPr>
              <w:pageBreakBefore w:val="0"/>
              <w:kinsoku/>
              <w:wordWrap/>
              <w:overflowPunct/>
              <w:topLinePunct w:val="0"/>
              <w:autoSpaceDE/>
              <w:autoSpaceDN/>
              <w:bidi w:val="0"/>
              <w:adjustRightInd/>
              <w:snapToGrid/>
              <w:spacing w:line="360" w:lineRule="auto"/>
              <w:jc w:val="left"/>
              <w:rPr>
                <w:szCs w:val="21"/>
              </w:rPr>
            </w:pPr>
            <w:r>
              <w:rPr>
                <w:rFonts w:hint="eastAsia"/>
                <w:szCs w:val="21"/>
              </w:rPr>
              <w:t>优惠承诺应是书面的符合工程实际情况，确保依法依规，优惠合理，详实可行。</w:t>
            </w:r>
          </w:p>
        </w:tc>
        <w:tc>
          <w:tcPr>
            <w:tcW w:w="1479" w:type="dxa"/>
            <w:vAlign w:val="center"/>
          </w:tcPr>
          <w:p>
            <w:pPr>
              <w:pageBreakBefore w:val="0"/>
              <w:kinsoku/>
              <w:wordWrap/>
              <w:overflowPunct/>
              <w:topLinePunct w:val="0"/>
              <w:autoSpaceDE/>
              <w:autoSpaceDN/>
              <w:bidi w:val="0"/>
              <w:adjustRightInd/>
              <w:snapToGrid/>
              <w:spacing w:line="360" w:lineRule="auto"/>
              <w:jc w:val="center"/>
              <w:rPr>
                <w:szCs w:val="21"/>
              </w:rPr>
            </w:pPr>
            <w:r>
              <w:rPr>
                <w:rFonts w:hint="eastAsia"/>
                <w:szCs w:val="21"/>
              </w:rPr>
              <w:t>3＜得分</w:t>
            </w:r>
            <w:r>
              <w:rPr>
                <w:szCs w:val="21"/>
              </w:rPr>
              <w:t>≤</w:t>
            </w: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43" w:type="dxa"/>
            <w:vMerge w:val="continue"/>
            <w:shd w:val="clear" w:color="auto" w:fill="auto"/>
            <w:vAlign w:val="center"/>
          </w:tcPr>
          <w:p>
            <w:pPr>
              <w:pageBreakBefore w:val="0"/>
              <w:kinsoku/>
              <w:wordWrap/>
              <w:overflowPunct/>
              <w:topLinePunct w:val="0"/>
              <w:autoSpaceDE/>
              <w:autoSpaceDN/>
              <w:bidi w:val="0"/>
              <w:adjustRightInd/>
              <w:snapToGrid/>
              <w:spacing w:line="360" w:lineRule="auto"/>
              <w:jc w:val="left"/>
              <w:rPr>
                <w:szCs w:val="21"/>
              </w:rPr>
            </w:pPr>
          </w:p>
        </w:tc>
        <w:tc>
          <w:tcPr>
            <w:tcW w:w="1417" w:type="dxa"/>
            <w:vMerge w:val="continue"/>
            <w:vAlign w:val="center"/>
          </w:tcPr>
          <w:p>
            <w:pPr>
              <w:pageBreakBefore w:val="0"/>
              <w:kinsoku/>
              <w:wordWrap/>
              <w:overflowPunct/>
              <w:topLinePunct w:val="0"/>
              <w:autoSpaceDE/>
              <w:autoSpaceDN/>
              <w:bidi w:val="0"/>
              <w:adjustRightInd/>
              <w:snapToGrid/>
              <w:spacing w:line="360" w:lineRule="auto"/>
              <w:jc w:val="left"/>
              <w:rPr>
                <w:szCs w:val="21"/>
              </w:rPr>
            </w:pPr>
          </w:p>
        </w:tc>
        <w:tc>
          <w:tcPr>
            <w:tcW w:w="5042" w:type="dxa"/>
            <w:vAlign w:val="center"/>
          </w:tcPr>
          <w:p>
            <w:pPr>
              <w:pageBreakBefore w:val="0"/>
              <w:kinsoku/>
              <w:wordWrap/>
              <w:overflowPunct/>
              <w:topLinePunct w:val="0"/>
              <w:autoSpaceDE/>
              <w:autoSpaceDN/>
              <w:bidi w:val="0"/>
              <w:adjustRightInd/>
              <w:snapToGrid/>
              <w:spacing w:line="360" w:lineRule="auto"/>
              <w:jc w:val="left"/>
              <w:rPr>
                <w:szCs w:val="21"/>
              </w:rPr>
            </w:pPr>
            <w:r>
              <w:rPr>
                <w:rFonts w:hint="eastAsia"/>
                <w:szCs w:val="21"/>
              </w:rPr>
              <w:t>优惠承诺符合工程实际情况，确保依法依规，优惠基本合理，基本详实可行。</w:t>
            </w:r>
          </w:p>
        </w:tc>
        <w:tc>
          <w:tcPr>
            <w:tcW w:w="1479" w:type="dxa"/>
            <w:vAlign w:val="center"/>
          </w:tcPr>
          <w:p>
            <w:pPr>
              <w:pageBreakBefore w:val="0"/>
              <w:kinsoku/>
              <w:wordWrap/>
              <w:overflowPunct/>
              <w:topLinePunct w:val="0"/>
              <w:autoSpaceDE/>
              <w:autoSpaceDN/>
              <w:bidi w:val="0"/>
              <w:adjustRightInd/>
              <w:snapToGrid/>
              <w:spacing w:line="360" w:lineRule="auto"/>
              <w:jc w:val="center"/>
              <w:rPr>
                <w:szCs w:val="21"/>
              </w:rPr>
            </w:pPr>
            <w:r>
              <w:rPr>
                <w:szCs w:val="21"/>
              </w:rPr>
              <w:t>1≤</w:t>
            </w:r>
            <w:r>
              <w:rPr>
                <w:rFonts w:hint="eastAsia"/>
                <w:szCs w:val="21"/>
              </w:rPr>
              <w:t>得分</w:t>
            </w:r>
            <w:r>
              <w:rPr>
                <w:szCs w:val="21"/>
              </w:rPr>
              <w:t>≤</w:t>
            </w: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843" w:type="dxa"/>
            <w:vMerge w:val="restart"/>
            <w:vAlign w:val="center"/>
          </w:tcPr>
          <w:p>
            <w:pPr>
              <w:pageBreakBefore w:val="0"/>
              <w:kinsoku/>
              <w:wordWrap/>
              <w:overflowPunct/>
              <w:topLinePunct w:val="0"/>
              <w:autoSpaceDE/>
              <w:autoSpaceDN/>
              <w:bidi w:val="0"/>
              <w:adjustRightInd/>
              <w:snapToGrid/>
              <w:spacing w:line="360" w:lineRule="auto"/>
              <w:jc w:val="center"/>
              <w:rPr>
                <w:szCs w:val="21"/>
              </w:rPr>
            </w:pPr>
            <w:r>
              <w:rPr>
                <w:szCs w:val="21"/>
              </w:rPr>
              <w:t>4</w:t>
            </w:r>
          </w:p>
        </w:tc>
        <w:tc>
          <w:tcPr>
            <w:tcW w:w="1417" w:type="dxa"/>
            <w:vMerge w:val="restart"/>
            <w:vAlign w:val="center"/>
          </w:tcPr>
          <w:p>
            <w:pPr>
              <w:pageBreakBefore w:val="0"/>
              <w:kinsoku/>
              <w:wordWrap/>
              <w:overflowPunct/>
              <w:topLinePunct w:val="0"/>
              <w:autoSpaceDE/>
              <w:autoSpaceDN/>
              <w:bidi w:val="0"/>
              <w:adjustRightInd/>
              <w:snapToGrid/>
              <w:spacing w:line="360" w:lineRule="auto"/>
              <w:jc w:val="center"/>
              <w:rPr>
                <w:szCs w:val="21"/>
              </w:rPr>
            </w:pPr>
            <w:r>
              <w:rPr>
                <w:rFonts w:hint="eastAsia"/>
                <w:szCs w:val="21"/>
              </w:rPr>
              <w:t>履职尽责承诺（1-6分）</w:t>
            </w:r>
          </w:p>
        </w:tc>
        <w:tc>
          <w:tcPr>
            <w:tcW w:w="5042" w:type="dxa"/>
            <w:vAlign w:val="center"/>
          </w:tcPr>
          <w:p>
            <w:pPr>
              <w:pageBreakBefore w:val="0"/>
              <w:kinsoku/>
              <w:wordWrap/>
              <w:overflowPunct/>
              <w:topLinePunct w:val="0"/>
              <w:autoSpaceDE/>
              <w:autoSpaceDN/>
              <w:bidi w:val="0"/>
              <w:adjustRightInd/>
              <w:snapToGrid/>
              <w:spacing w:line="360" w:lineRule="auto"/>
              <w:jc w:val="left"/>
              <w:rPr>
                <w:szCs w:val="21"/>
              </w:rPr>
            </w:pPr>
            <w:r>
              <w:rPr>
                <w:rFonts w:hint="eastAsia"/>
                <w:szCs w:val="21"/>
              </w:rPr>
              <w:t>具有全面、详实、可行、合法有效的书面保证技术措施落实到位的承诺和落实不到位的处理承诺，其中包括各关键岗位人员（项目经理、技术负责人及相关技术人员、质量员、安全员、材料员、测量员）的在岗、更换等履职尽责承诺，提供承包商履约保证。</w:t>
            </w:r>
          </w:p>
        </w:tc>
        <w:tc>
          <w:tcPr>
            <w:tcW w:w="1479" w:type="dxa"/>
            <w:vAlign w:val="center"/>
          </w:tcPr>
          <w:p>
            <w:pPr>
              <w:pageBreakBefore w:val="0"/>
              <w:kinsoku/>
              <w:wordWrap/>
              <w:overflowPunct/>
              <w:topLinePunct w:val="0"/>
              <w:autoSpaceDE/>
              <w:autoSpaceDN/>
              <w:bidi w:val="0"/>
              <w:adjustRightInd/>
              <w:snapToGrid/>
              <w:spacing w:line="360" w:lineRule="auto"/>
              <w:jc w:val="center"/>
              <w:rPr>
                <w:szCs w:val="21"/>
              </w:rPr>
            </w:pPr>
            <w:r>
              <w:rPr>
                <w:rFonts w:hint="eastAsia"/>
                <w:szCs w:val="21"/>
              </w:rPr>
              <w:t>3＜得分</w:t>
            </w:r>
            <w:r>
              <w:rPr>
                <w:szCs w:val="21"/>
              </w:rPr>
              <w:t>≤</w:t>
            </w:r>
            <w:r>
              <w:rPr>
                <w:rFonts w:hint="eastAsia"/>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43" w:type="dxa"/>
            <w:vMerge w:val="continue"/>
            <w:vAlign w:val="center"/>
          </w:tcPr>
          <w:p>
            <w:pPr>
              <w:pageBreakBefore w:val="0"/>
              <w:kinsoku/>
              <w:wordWrap/>
              <w:overflowPunct/>
              <w:topLinePunct w:val="0"/>
              <w:autoSpaceDE/>
              <w:autoSpaceDN/>
              <w:bidi w:val="0"/>
              <w:adjustRightInd/>
              <w:snapToGrid/>
              <w:spacing w:line="360" w:lineRule="auto"/>
              <w:jc w:val="left"/>
              <w:rPr>
                <w:szCs w:val="21"/>
              </w:rPr>
            </w:pPr>
          </w:p>
        </w:tc>
        <w:tc>
          <w:tcPr>
            <w:tcW w:w="1417" w:type="dxa"/>
            <w:vMerge w:val="continue"/>
            <w:vAlign w:val="center"/>
          </w:tcPr>
          <w:p>
            <w:pPr>
              <w:pageBreakBefore w:val="0"/>
              <w:kinsoku/>
              <w:wordWrap/>
              <w:overflowPunct/>
              <w:topLinePunct w:val="0"/>
              <w:autoSpaceDE/>
              <w:autoSpaceDN/>
              <w:bidi w:val="0"/>
              <w:adjustRightInd/>
              <w:snapToGrid/>
              <w:spacing w:line="360" w:lineRule="auto"/>
              <w:jc w:val="left"/>
              <w:rPr>
                <w:szCs w:val="21"/>
              </w:rPr>
            </w:pPr>
          </w:p>
        </w:tc>
        <w:tc>
          <w:tcPr>
            <w:tcW w:w="5042" w:type="dxa"/>
            <w:vAlign w:val="center"/>
          </w:tcPr>
          <w:p>
            <w:pPr>
              <w:pageBreakBefore w:val="0"/>
              <w:kinsoku/>
              <w:wordWrap/>
              <w:overflowPunct/>
              <w:topLinePunct w:val="0"/>
              <w:autoSpaceDE/>
              <w:autoSpaceDN/>
              <w:bidi w:val="0"/>
              <w:adjustRightInd/>
              <w:snapToGrid/>
              <w:spacing w:line="360" w:lineRule="auto"/>
              <w:jc w:val="left"/>
              <w:rPr>
                <w:szCs w:val="21"/>
              </w:rPr>
            </w:pPr>
            <w:r>
              <w:rPr>
                <w:rFonts w:hint="eastAsia"/>
                <w:szCs w:val="21"/>
              </w:rPr>
              <w:t>具有可行、合法有效的书面保证技术措施落实到位的承诺和落实不到位的处理承诺，其中包括各关键岗位人员（项目经理、技术负责人及相关技术人员、质量员、安全员、材料员、测量员等）的在岗、更换等履职尽责承诺，提供承包商履约保证。</w:t>
            </w:r>
          </w:p>
        </w:tc>
        <w:tc>
          <w:tcPr>
            <w:tcW w:w="1479" w:type="dxa"/>
            <w:vAlign w:val="center"/>
          </w:tcPr>
          <w:p>
            <w:pPr>
              <w:pageBreakBefore w:val="0"/>
              <w:kinsoku/>
              <w:wordWrap/>
              <w:overflowPunct/>
              <w:topLinePunct w:val="0"/>
              <w:autoSpaceDE/>
              <w:autoSpaceDN/>
              <w:bidi w:val="0"/>
              <w:adjustRightInd/>
              <w:snapToGrid/>
              <w:spacing w:line="360" w:lineRule="auto"/>
              <w:jc w:val="center"/>
              <w:rPr>
                <w:szCs w:val="21"/>
              </w:rPr>
            </w:pPr>
            <w:r>
              <w:rPr>
                <w:szCs w:val="21"/>
              </w:rPr>
              <w:t>1≤</w:t>
            </w:r>
            <w:r>
              <w:rPr>
                <w:rFonts w:hint="eastAsia"/>
                <w:szCs w:val="21"/>
              </w:rPr>
              <w:t>得分</w:t>
            </w:r>
            <w:r>
              <w:rPr>
                <w:szCs w:val="21"/>
              </w:rPr>
              <w:t>≤</w:t>
            </w:r>
            <w:r>
              <w:rPr>
                <w:rFonts w:hint="eastAsia"/>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43" w:type="dxa"/>
            <w:vAlign w:val="center"/>
          </w:tcPr>
          <w:p>
            <w:pPr>
              <w:pageBreakBefore w:val="0"/>
              <w:kinsoku/>
              <w:wordWrap/>
              <w:overflowPunct/>
              <w:topLinePunct w:val="0"/>
              <w:autoSpaceDE/>
              <w:autoSpaceDN/>
              <w:bidi w:val="0"/>
              <w:adjustRightInd/>
              <w:snapToGrid/>
              <w:spacing w:line="360" w:lineRule="auto"/>
              <w:jc w:val="center"/>
              <w:rPr>
                <w:szCs w:val="21"/>
              </w:rPr>
            </w:pPr>
            <w:r>
              <w:rPr>
                <w:szCs w:val="21"/>
              </w:rPr>
              <w:t>5</w:t>
            </w:r>
          </w:p>
        </w:tc>
        <w:tc>
          <w:tcPr>
            <w:tcW w:w="1417" w:type="dxa"/>
            <w:vAlign w:val="center"/>
          </w:tcPr>
          <w:p>
            <w:pPr>
              <w:pageBreakBefore w:val="0"/>
              <w:kinsoku/>
              <w:wordWrap/>
              <w:overflowPunct/>
              <w:topLinePunct w:val="0"/>
              <w:autoSpaceDE/>
              <w:autoSpaceDN/>
              <w:bidi w:val="0"/>
              <w:adjustRightInd/>
              <w:snapToGrid/>
              <w:spacing w:line="360" w:lineRule="auto"/>
              <w:jc w:val="center"/>
              <w:rPr>
                <w:szCs w:val="21"/>
              </w:rPr>
            </w:pPr>
            <w:r>
              <w:rPr>
                <w:rFonts w:hint="eastAsia"/>
                <w:szCs w:val="21"/>
              </w:rPr>
              <w:t>企业信用（含纳税诚信）（</w:t>
            </w:r>
            <w:r>
              <w:rPr>
                <w:rFonts w:hint="eastAsia"/>
                <w:szCs w:val="21"/>
                <w:lang w:val="en-US" w:eastAsia="zh-CN"/>
              </w:rPr>
              <w:t>0</w:t>
            </w:r>
            <w:r>
              <w:rPr>
                <w:rFonts w:hint="eastAsia"/>
                <w:szCs w:val="21"/>
              </w:rPr>
              <w:t>-</w:t>
            </w:r>
            <w:r>
              <w:rPr>
                <w:rFonts w:hint="eastAsia"/>
                <w:szCs w:val="21"/>
                <w:lang w:val="en-US" w:eastAsia="zh-CN"/>
              </w:rPr>
              <w:t>4</w:t>
            </w:r>
            <w:r>
              <w:rPr>
                <w:rFonts w:hint="eastAsia"/>
                <w:szCs w:val="21"/>
              </w:rPr>
              <w:t>）</w:t>
            </w:r>
          </w:p>
        </w:tc>
        <w:tc>
          <w:tcPr>
            <w:tcW w:w="5042" w:type="dxa"/>
            <w:vAlign w:val="center"/>
          </w:tcPr>
          <w:p>
            <w:pPr>
              <w:pageBreakBefore w:val="0"/>
              <w:kinsoku/>
              <w:wordWrap/>
              <w:overflowPunct/>
              <w:topLinePunct w:val="0"/>
              <w:autoSpaceDE/>
              <w:autoSpaceDN/>
              <w:bidi w:val="0"/>
              <w:adjustRightInd/>
              <w:snapToGrid/>
              <w:spacing w:line="360" w:lineRule="auto"/>
              <w:jc w:val="left"/>
              <w:rPr>
                <w:szCs w:val="21"/>
              </w:rPr>
            </w:pPr>
            <w:r>
              <w:rPr>
                <w:szCs w:val="21"/>
              </w:rPr>
              <w:t>应用“南阳市建筑业企业信用等级结果”，信用等级对应的分值为: AAA为</w:t>
            </w:r>
            <w:r>
              <w:rPr>
                <w:rFonts w:hint="eastAsia"/>
                <w:szCs w:val="21"/>
                <w:lang w:val="en-US" w:eastAsia="zh-CN"/>
              </w:rPr>
              <w:t>4</w:t>
            </w:r>
            <w:r>
              <w:rPr>
                <w:szCs w:val="21"/>
              </w:rPr>
              <w:t>分；AA为</w:t>
            </w:r>
            <w:r>
              <w:rPr>
                <w:rFonts w:hint="eastAsia"/>
                <w:szCs w:val="21"/>
                <w:lang w:val="en-US" w:eastAsia="zh-CN"/>
              </w:rPr>
              <w:t>3</w:t>
            </w:r>
            <w:r>
              <w:rPr>
                <w:szCs w:val="21"/>
              </w:rPr>
              <w:t>分； A为</w:t>
            </w:r>
            <w:r>
              <w:rPr>
                <w:rFonts w:hint="eastAsia"/>
                <w:szCs w:val="21"/>
                <w:lang w:val="en-US" w:eastAsia="zh-CN"/>
              </w:rPr>
              <w:t>2</w:t>
            </w:r>
            <w:r>
              <w:rPr>
                <w:szCs w:val="21"/>
              </w:rPr>
              <w:t>分；B为1分，无信用评价结果为0分，外地新进入我市的企业为A级。</w:t>
            </w:r>
          </w:p>
        </w:tc>
        <w:tc>
          <w:tcPr>
            <w:tcW w:w="1479" w:type="dxa"/>
            <w:vAlign w:val="center"/>
          </w:tcPr>
          <w:p>
            <w:pPr>
              <w:pageBreakBefore w:val="0"/>
              <w:kinsoku/>
              <w:wordWrap/>
              <w:overflowPunct/>
              <w:topLinePunct w:val="0"/>
              <w:autoSpaceDE/>
              <w:autoSpaceDN/>
              <w:bidi w:val="0"/>
              <w:adjustRightInd/>
              <w:snapToGrid/>
              <w:spacing w:line="360" w:lineRule="auto"/>
              <w:jc w:val="center"/>
              <w:rPr>
                <w:rFonts w:hint="eastAsia" w:eastAsia="宋体"/>
                <w:szCs w:val="21"/>
                <w:lang w:val="en-US" w:eastAsia="zh-CN"/>
              </w:rPr>
            </w:pPr>
            <w:r>
              <w:rPr>
                <w:rFonts w:hint="eastAsia"/>
                <w:szCs w:val="21"/>
                <w:lang w:val="en-US" w:eastAsia="zh-CN"/>
              </w:rPr>
              <w:t>0</w:t>
            </w:r>
            <w:r>
              <w:rPr>
                <w:szCs w:val="21"/>
              </w:rPr>
              <w:t>≤</w:t>
            </w:r>
            <w:r>
              <w:rPr>
                <w:rFonts w:hint="eastAsia"/>
                <w:szCs w:val="21"/>
              </w:rPr>
              <w:t>得分</w:t>
            </w:r>
            <w:r>
              <w:rPr>
                <w:szCs w:val="21"/>
              </w:rPr>
              <w:t>≤</w:t>
            </w:r>
            <w:r>
              <w:rPr>
                <w:rFonts w:hint="eastAsia"/>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43" w:type="dxa"/>
            <w:vAlign w:val="center"/>
          </w:tcPr>
          <w:p>
            <w:pPr>
              <w:pageBreakBefore w:val="0"/>
              <w:kinsoku/>
              <w:wordWrap/>
              <w:overflowPunct/>
              <w:topLinePunct w:val="0"/>
              <w:autoSpaceDE/>
              <w:autoSpaceDN/>
              <w:bidi w:val="0"/>
              <w:adjustRightInd/>
              <w:snapToGrid/>
              <w:spacing w:line="360" w:lineRule="auto"/>
              <w:jc w:val="center"/>
              <w:rPr>
                <w:szCs w:val="21"/>
              </w:rPr>
            </w:pPr>
            <w:r>
              <w:rPr>
                <w:rFonts w:hint="eastAsia"/>
                <w:szCs w:val="21"/>
              </w:rPr>
              <w:t>6</w:t>
            </w:r>
          </w:p>
        </w:tc>
        <w:tc>
          <w:tcPr>
            <w:tcW w:w="1417" w:type="dxa"/>
            <w:vAlign w:val="center"/>
          </w:tcPr>
          <w:p>
            <w:pPr>
              <w:pageBreakBefore w:val="0"/>
              <w:kinsoku/>
              <w:wordWrap/>
              <w:overflowPunct/>
              <w:topLinePunct w:val="0"/>
              <w:autoSpaceDE/>
              <w:autoSpaceDN/>
              <w:bidi w:val="0"/>
              <w:adjustRightInd/>
              <w:snapToGrid/>
              <w:spacing w:line="360" w:lineRule="auto"/>
              <w:jc w:val="left"/>
              <w:rPr>
                <w:szCs w:val="21"/>
              </w:rPr>
            </w:pPr>
            <w:r>
              <w:rPr>
                <w:szCs w:val="21"/>
              </w:rPr>
              <w:t>合同履行承诺</w:t>
            </w:r>
            <w:r>
              <w:rPr>
                <w:rFonts w:hint="eastAsia"/>
                <w:szCs w:val="21"/>
              </w:rPr>
              <w:t>（</w:t>
            </w:r>
            <w:r>
              <w:rPr>
                <w:szCs w:val="21"/>
              </w:rPr>
              <w:t>0</w:t>
            </w:r>
            <w:r>
              <w:rPr>
                <w:rFonts w:hint="eastAsia"/>
                <w:szCs w:val="21"/>
              </w:rPr>
              <w:t>-</w:t>
            </w:r>
            <w:r>
              <w:rPr>
                <w:rFonts w:hint="eastAsia"/>
                <w:szCs w:val="21"/>
                <w:lang w:val="en-US" w:eastAsia="zh-CN"/>
              </w:rPr>
              <w:t>2</w:t>
            </w:r>
            <w:r>
              <w:rPr>
                <w:rFonts w:hint="eastAsia"/>
                <w:szCs w:val="21"/>
              </w:rPr>
              <w:t>）</w:t>
            </w:r>
          </w:p>
          <w:p>
            <w:pPr>
              <w:pageBreakBefore w:val="0"/>
              <w:kinsoku/>
              <w:wordWrap/>
              <w:overflowPunct/>
              <w:topLinePunct w:val="0"/>
              <w:autoSpaceDE/>
              <w:autoSpaceDN/>
              <w:bidi w:val="0"/>
              <w:adjustRightInd/>
              <w:snapToGrid/>
              <w:spacing w:line="360" w:lineRule="auto"/>
              <w:jc w:val="left"/>
              <w:rPr>
                <w:szCs w:val="21"/>
              </w:rPr>
            </w:pPr>
          </w:p>
        </w:tc>
        <w:tc>
          <w:tcPr>
            <w:tcW w:w="5042" w:type="dxa"/>
            <w:vAlign w:val="center"/>
          </w:tcPr>
          <w:p>
            <w:pPr>
              <w:pageBreakBefore w:val="0"/>
              <w:kinsoku/>
              <w:wordWrap/>
              <w:overflowPunct/>
              <w:topLinePunct w:val="0"/>
              <w:autoSpaceDE/>
              <w:autoSpaceDN/>
              <w:bidi w:val="0"/>
              <w:adjustRightInd/>
              <w:snapToGrid/>
              <w:spacing w:line="360" w:lineRule="auto"/>
              <w:jc w:val="left"/>
              <w:rPr>
                <w:szCs w:val="21"/>
              </w:rPr>
            </w:pPr>
            <w:r>
              <w:rPr>
                <w:szCs w:val="21"/>
              </w:rPr>
              <w:t>1、在施工期间不拖欠农民工工资，在农忙季节及业主资金不到位时连续施工的承诺0-</w:t>
            </w:r>
            <w:r>
              <w:rPr>
                <w:rFonts w:hint="eastAsia"/>
                <w:szCs w:val="21"/>
                <w:lang w:val="en-US" w:eastAsia="zh-CN"/>
              </w:rPr>
              <w:t>0.5</w:t>
            </w:r>
            <w:r>
              <w:rPr>
                <w:szCs w:val="21"/>
              </w:rPr>
              <w:t>分； 2、缺陷责任期、保修期以内以外的服务承诺0-0.5分； 3、投标人协调周边群众关系并承担相应费用的承诺0-0.5分； 4、与招标人、监理单位积极配合的承诺0-</w:t>
            </w:r>
            <w:r>
              <w:rPr>
                <w:rFonts w:hint="eastAsia"/>
                <w:szCs w:val="21"/>
                <w:lang w:val="en-US" w:eastAsia="zh-CN"/>
              </w:rPr>
              <w:t>0.5</w:t>
            </w:r>
            <w:r>
              <w:rPr>
                <w:szCs w:val="21"/>
              </w:rPr>
              <w:t>分。</w:t>
            </w:r>
          </w:p>
        </w:tc>
        <w:tc>
          <w:tcPr>
            <w:tcW w:w="1479" w:type="dxa"/>
            <w:vAlign w:val="center"/>
          </w:tcPr>
          <w:p>
            <w:pPr>
              <w:pageBreakBefore w:val="0"/>
              <w:kinsoku/>
              <w:wordWrap/>
              <w:overflowPunct/>
              <w:topLinePunct w:val="0"/>
              <w:autoSpaceDE/>
              <w:autoSpaceDN/>
              <w:bidi w:val="0"/>
              <w:adjustRightInd/>
              <w:snapToGrid/>
              <w:spacing w:line="360" w:lineRule="auto"/>
              <w:jc w:val="center"/>
              <w:rPr>
                <w:szCs w:val="21"/>
              </w:rPr>
            </w:pPr>
            <w:r>
              <w:rPr>
                <w:szCs w:val="21"/>
              </w:rPr>
              <w:t>0≤</w:t>
            </w:r>
            <w:r>
              <w:rPr>
                <w:rFonts w:hint="eastAsia"/>
                <w:szCs w:val="21"/>
              </w:rPr>
              <w:t>得分</w:t>
            </w:r>
            <w:r>
              <w:rPr>
                <w:szCs w:val="21"/>
              </w:rPr>
              <w:t>≤</w:t>
            </w:r>
            <w:r>
              <w:rPr>
                <w:rFonts w:hint="eastAsia"/>
                <w:szCs w:val="21"/>
                <w:lang w:val="en-US" w:eastAsia="zh-CN"/>
              </w:rPr>
              <w:t>2</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43" w:type="dxa"/>
          </w:tcPr>
          <w:p>
            <w:pPr>
              <w:pageBreakBefore w:val="0"/>
              <w:kinsoku/>
              <w:wordWrap/>
              <w:overflowPunct/>
              <w:topLinePunct w:val="0"/>
              <w:autoSpaceDE/>
              <w:autoSpaceDN/>
              <w:bidi w:val="0"/>
              <w:adjustRightInd/>
              <w:snapToGrid/>
              <w:spacing w:line="360" w:lineRule="auto"/>
              <w:jc w:val="center"/>
              <w:rPr>
                <w:szCs w:val="21"/>
              </w:rPr>
            </w:pPr>
            <w:r>
              <w:rPr>
                <w:szCs w:val="21"/>
              </w:rPr>
              <w:t>7</w:t>
            </w:r>
          </w:p>
        </w:tc>
        <w:tc>
          <w:tcPr>
            <w:tcW w:w="1417" w:type="dxa"/>
            <w:vAlign w:val="center"/>
          </w:tcPr>
          <w:p>
            <w:pPr>
              <w:pageBreakBefore w:val="0"/>
              <w:kinsoku/>
              <w:wordWrap/>
              <w:overflowPunct/>
              <w:topLinePunct w:val="0"/>
              <w:autoSpaceDE/>
              <w:autoSpaceDN/>
              <w:bidi w:val="0"/>
              <w:adjustRightInd/>
              <w:snapToGrid/>
              <w:spacing w:line="360" w:lineRule="auto"/>
              <w:jc w:val="center"/>
              <w:rPr>
                <w:szCs w:val="21"/>
              </w:rPr>
            </w:pPr>
            <w:r>
              <w:rPr>
                <w:rFonts w:hint="eastAsia"/>
                <w:szCs w:val="21"/>
              </w:rPr>
              <w:t>招标人意见（0-</w:t>
            </w:r>
            <w:r>
              <w:rPr>
                <w:szCs w:val="21"/>
              </w:rPr>
              <w:t>2</w:t>
            </w:r>
            <w:r>
              <w:rPr>
                <w:rFonts w:hint="eastAsia"/>
                <w:szCs w:val="21"/>
              </w:rPr>
              <w:t>）</w:t>
            </w:r>
          </w:p>
        </w:tc>
        <w:tc>
          <w:tcPr>
            <w:tcW w:w="5042" w:type="dxa"/>
            <w:vAlign w:val="center"/>
          </w:tcPr>
          <w:p>
            <w:pPr>
              <w:pageBreakBefore w:val="0"/>
              <w:kinsoku/>
              <w:wordWrap/>
              <w:overflowPunct/>
              <w:topLinePunct w:val="0"/>
              <w:autoSpaceDE/>
              <w:autoSpaceDN/>
              <w:bidi w:val="0"/>
              <w:adjustRightInd/>
              <w:snapToGrid/>
              <w:spacing w:line="360" w:lineRule="auto"/>
              <w:jc w:val="both"/>
              <w:rPr>
                <w:szCs w:val="21"/>
              </w:rPr>
            </w:pPr>
            <w:r>
              <w:rPr>
                <w:rFonts w:hint="eastAsia"/>
                <w:szCs w:val="21"/>
              </w:rPr>
              <w:t>根据投标人信誉等情况综合打分</w:t>
            </w:r>
          </w:p>
        </w:tc>
        <w:tc>
          <w:tcPr>
            <w:tcW w:w="1479" w:type="dxa"/>
            <w:vAlign w:val="center"/>
          </w:tcPr>
          <w:p>
            <w:pPr>
              <w:pageBreakBefore w:val="0"/>
              <w:kinsoku/>
              <w:wordWrap/>
              <w:overflowPunct/>
              <w:topLinePunct w:val="0"/>
              <w:autoSpaceDE/>
              <w:autoSpaceDN/>
              <w:bidi w:val="0"/>
              <w:adjustRightInd/>
              <w:snapToGrid/>
              <w:spacing w:line="360" w:lineRule="auto"/>
              <w:jc w:val="center"/>
              <w:rPr>
                <w:szCs w:val="21"/>
              </w:rPr>
            </w:pPr>
            <w:r>
              <w:rPr>
                <w:szCs w:val="21"/>
              </w:rPr>
              <w:t>0≤</w:t>
            </w:r>
            <w:r>
              <w:rPr>
                <w:rFonts w:hint="eastAsia"/>
                <w:szCs w:val="21"/>
              </w:rPr>
              <w:t>得分</w:t>
            </w:r>
            <w:r>
              <w:rPr>
                <w:szCs w:val="21"/>
              </w:rPr>
              <w:t>≤2</w:t>
            </w:r>
            <w:r>
              <w:rPr>
                <w:rFonts w:hint="eastAsia"/>
                <w:szCs w:val="21"/>
              </w:rPr>
              <w:t>分</w:t>
            </w:r>
          </w:p>
        </w:tc>
      </w:tr>
    </w:tbl>
    <w:p>
      <w:pPr>
        <w:pageBreakBefore w:val="0"/>
        <w:kinsoku/>
        <w:wordWrap/>
        <w:overflowPunct/>
        <w:topLinePunct w:val="0"/>
        <w:autoSpaceDE/>
        <w:autoSpaceDN/>
        <w:bidi w:val="0"/>
        <w:adjustRightInd/>
        <w:snapToGrid/>
        <w:spacing w:line="360" w:lineRule="auto"/>
        <w:ind w:firstLine="480" w:firstLineChars="200"/>
        <w:rPr>
          <w:rFonts w:ascii="仿宋" w:hAnsi="仿宋" w:eastAsia="仿宋"/>
          <w:sz w:val="24"/>
        </w:rPr>
      </w:pPr>
    </w:p>
    <w:p>
      <w:pPr>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rPr>
          <w:rFonts w:ascii="宋体" w:hAnsi="宋体" w:cs="宋体"/>
          <w:kern w:val="0"/>
          <w:szCs w:val="21"/>
        </w:rPr>
      </w:pPr>
      <w:r>
        <w:rPr>
          <w:rFonts w:hint="eastAsia" w:ascii="宋体" w:hAnsi="宋体" w:cs="宋体"/>
          <w:kern w:val="0"/>
          <w:szCs w:val="21"/>
        </w:rPr>
        <w:t>不良信用信息采集见：①省级住房城乡建设主管部门网站中公示的不良信用记录。②信用中国网站中“失信被执行人、重大税收违法案件当事人名单、政府采购严重违法失信名单”。③信用河南网站红黑榜黑名单中“信用中国失信被执行人（法人）、信用河南省税务局重大税收违法案件”。④国家企业信用信息公示系统网站中“严重违法失信企业名单”⑤中国执行信息公开网“全国法院失信被执行人名单信息公布与查询。不良信息查询由投标企业自行查询，并截图上传投标文件，真实性自行负责，结果公示（接受行政主管部门和社会监督），弄虚作假者后果自负。</w:t>
      </w:r>
    </w:p>
    <w:p>
      <w:pPr>
        <w:pageBreakBefore w:val="0"/>
        <w:widowControl/>
        <w:shd w:val="clear" w:color="auto" w:fill="FFFFFF"/>
        <w:kinsoku/>
        <w:wordWrap/>
        <w:overflowPunct/>
        <w:topLinePunct w:val="0"/>
        <w:autoSpaceDE/>
        <w:autoSpaceDN/>
        <w:bidi w:val="0"/>
        <w:adjustRightInd/>
        <w:snapToGrid/>
        <w:spacing w:line="360" w:lineRule="auto"/>
        <w:ind w:firstLine="420" w:firstLineChars="200"/>
        <w:jc w:val="left"/>
        <w:rPr>
          <w:rFonts w:ascii="宋体" w:hAnsi="宋体" w:cs="宋体"/>
          <w:kern w:val="0"/>
          <w:szCs w:val="21"/>
        </w:rPr>
      </w:pPr>
      <w:r>
        <w:rPr>
          <w:rFonts w:hint="eastAsia" w:ascii="宋体" w:hAnsi="宋体" w:cs="宋体"/>
          <w:kern w:val="0"/>
          <w:szCs w:val="21"/>
        </w:rPr>
        <w:t>4、计分办法：</w:t>
      </w:r>
    </w:p>
    <w:p>
      <w:pPr>
        <w:pageBreakBefore w:val="0"/>
        <w:kinsoku/>
        <w:wordWrap/>
        <w:overflowPunct/>
        <w:topLinePunct w:val="0"/>
        <w:autoSpaceDE/>
        <w:autoSpaceDN/>
        <w:bidi w:val="0"/>
        <w:adjustRightInd/>
        <w:snapToGrid/>
        <w:spacing w:line="360" w:lineRule="auto"/>
        <w:ind w:firstLine="420" w:firstLineChars="200"/>
        <w:rPr>
          <w:rFonts w:ascii="宋体" w:hAnsi="宋体"/>
        </w:rPr>
      </w:pPr>
      <w:r>
        <w:rPr>
          <w:rFonts w:hint="eastAsia" w:ascii="宋体" w:hAnsi="宋体"/>
        </w:rPr>
        <w:t>（1）评标委员会成员按照招标文件和本办法上述有关规定，给投标人打分，并按下列公式确定各投标人的评定分数：</w:t>
      </w:r>
    </w:p>
    <w:p>
      <w:pPr>
        <w:pageBreakBefore w:val="0"/>
        <w:kinsoku/>
        <w:wordWrap/>
        <w:overflowPunct/>
        <w:topLinePunct w:val="0"/>
        <w:autoSpaceDE/>
        <w:autoSpaceDN/>
        <w:bidi w:val="0"/>
        <w:adjustRightInd/>
        <w:snapToGrid/>
        <w:spacing w:line="360" w:lineRule="auto"/>
        <w:ind w:firstLine="420" w:firstLineChars="200"/>
        <w:rPr>
          <w:rFonts w:ascii="宋体" w:hAnsi="宋体"/>
        </w:rPr>
      </w:pPr>
      <w:r>
        <w:rPr>
          <w:rFonts w:hint="eastAsia" w:ascii="宋体" w:hAnsi="宋体"/>
        </w:rPr>
        <w:t>评定分数= 技术标得分+商务标得分+</w:t>
      </w:r>
      <w:r>
        <w:rPr>
          <w:rFonts w:ascii="宋体" w:hAnsi="宋体" w:cs="宋体"/>
          <w:kern w:val="0"/>
          <w:szCs w:val="21"/>
        </w:rPr>
        <w:t>综合（信用）</w:t>
      </w:r>
      <w:r>
        <w:rPr>
          <w:rFonts w:hint="eastAsia" w:ascii="宋体" w:hAnsi="宋体"/>
        </w:rPr>
        <w:t>标得分</w:t>
      </w:r>
    </w:p>
    <w:p>
      <w:pPr>
        <w:pageBreakBefore w:val="0"/>
        <w:kinsoku/>
        <w:wordWrap/>
        <w:overflowPunct/>
        <w:topLinePunct w:val="0"/>
        <w:autoSpaceDE/>
        <w:autoSpaceDN/>
        <w:bidi w:val="0"/>
        <w:adjustRightInd/>
        <w:snapToGrid/>
        <w:spacing w:line="360" w:lineRule="auto"/>
        <w:ind w:firstLine="420" w:firstLineChars="200"/>
        <w:rPr>
          <w:rFonts w:ascii="宋体" w:hAnsi="宋体"/>
          <w:b/>
        </w:rPr>
      </w:pPr>
      <w:r>
        <w:rPr>
          <w:rFonts w:hint="eastAsia" w:ascii="宋体" w:hAnsi="宋体"/>
        </w:rPr>
        <w:t>（2）各投标人的最终得分为各评委所评定分数中去掉一个最高分和一个最低分后的算术平均值。</w:t>
      </w:r>
    </w:p>
    <w:p>
      <w:pPr>
        <w:pageBreakBefore w:val="0"/>
        <w:kinsoku/>
        <w:wordWrap/>
        <w:overflowPunct/>
        <w:topLinePunct w:val="0"/>
        <w:autoSpaceDE/>
        <w:autoSpaceDN/>
        <w:bidi w:val="0"/>
        <w:adjustRightInd/>
        <w:snapToGrid/>
        <w:spacing w:line="360" w:lineRule="auto"/>
        <w:ind w:firstLine="420" w:firstLineChars="200"/>
        <w:rPr>
          <w:rFonts w:ascii="宋体" w:hAnsi="宋体"/>
        </w:rPr>
      </w:pPr>
      <w:r>
        <w:rPr>
          <w:rFonts w:hint="eastAsia" w:ascii="宋体" w:hAnsi="宋体"/>
        </w:rPr>
        <w:t>（3）各项统计、评分结果均按四舍五入方法精确到小数点后两位。</w:t>
      </w:r>
    </w:p>
    <w:p>
      <w:pPr>
        <w:pageBreakBefore w:val="0"/>
        <w:kinsoku/>
        <w:wordWrap/>
        <w:overflowPunct/>
        <w:topLinePunct w:val="0"/>
        <w:autoSpaceDE/>
        <w:autoSpaceDN/>
        <w:bidi w:val="0"/>
        <w:adjustRightInd/>
        <w:snapToGrid/>
        <w:spacing w:line="360" w:lineRule="auto"/>
        <w:ind w:firstLine="420" w:firstLineChars="200"/>
        <w:rPr>
          <w:rFonts w:ascii="宋体" w:hAnsi="宋体"/>
        </w:rPr>
      </w:pPr>
      <w:r>
        <w:rPr>
          <w:rFonts w:hint="eastAsia" w:ascii="宋体" w:hAnsi="宋体"/>
        </w:rPr>
        <w:t>（4）评标委员会根据投标人的最终得分，按高低次序确定投标人最终的排列名次，并按照招标文件中规定，推荐不超过三名有排序的合格的中标候选人。</w:t>
      </w:r>
    </w:p>
    <w:p>
      <w:pPr>
        <w:spacing w:line="360" w:lineRule="auto"/>
        <w:rPr>
          <w:rFonts w:ascii="宋体" w:hAnsi="宋体"/>
        </w:rPr>
      </w:pPr>
    </w:p>
    <w:p>
      <w:pPr>
        <w:spacing w:line="420" w:lineRule="exact"/>
        <w:rPr>
          <w:rFonts w:ascii="黑体" w:hAnsi="宋体" w:eastAsia="黑体"/>
          <w:sz w:val="24"/>
        </w:rPr>
      </w:pPr>
      <w:r>
        <w:rPr>
          <w:rFonts w:hint="eastAsia" w:ascii="黑体" w:hAnsi="宋体" w:eastAsia="黑体"/>
          <w:sz w:val="24"/>
        </w:rPr>
        <w:t>附件A:评标详细程序</w:t>
      </w:r>
    </w:p>
    <w:p>
      <w:pPr>
        <w:spacing w:before="218" w:beforeLines="70" w:after="218" w:afterLines="70" w:line="420" w:lineRule="exact"/>
        <w:jc w:val="center"/>
        <w:rPr>
          <w:rFonts w:ascii="黑体" w:hAnsi="宋体" w:eastAsia="黑体"/>
          <w:sz w:val="28"/>
          <w:szCs w:val="28"/>
        </w:rPr>
      </w:pPr>
      <w:r>
        <w:rPr>
          <w:rFonts w:hint="eastAsia" w:ascii="黑体" w:hAnsi="宋体" w:eastAsia="黑体"/>
          <w:sz w:val="28"/>
          <w:szCs w:val="28"/>
        </w:rPr>
        <w:t>评标详细程序</w:t>
      </w:r>
    </w:p>
    <w:p>
      <w:pPr>
        <w:spacing w:line="420" w:lineRule="exact"/>
        <w:ind w:firstLine="422" w:firstLineChars="200"/>
        <w:rPr>
          <w:rFonts w:ascii="宋体" w:hAnsi="宋体"/>
          <w:b/>
          <w:szCs w:val="21"/>
        </w:rPr>
      </w:pPr>
      <w:r>
        <w:rPr>
          <w:rFonts w:hint="eastAsia" w:ascii="宋体" w:hAnsi="宋体"/>
          <w:b/>
          <w:szCs w:val="21"/>
        </w:rPr>
        <w:t>A0.总  则</w:t>
      </w:r>
    </w:p>
    <w:p>
      <w:pPr>
        <w:spacing w:line="420" w:lineRule="exact"/>
        <w:ind w:firstLine="420" w:firstLineChars="200"/>
        <w:rPr>
          <w:rFonts w:ascii="宋体" w:hAnsi="宋体"/>
          <w:szCs w:val="21"/>
        </w:rPr>
      </w:pPr>
      <w:r>
        <w:rPr>
          <w:rFonts w:hint="eastAsia" w:ascii="宋体" w:hAnsi="宋体"/>
          <w:szCs w:val="21"/>
        </w:rPr>
        <w:t>本附件是本章“评标办法”的组成部分，是对本章第3条所规定的评标程序的进一步</w:t>
      </w:r>
    </w:p>
    <w:p>
      <w:pPr>
        <w:spacing w:line="420" w:lineRule="exact"/>
        <w:rPr>
          <w:rFonts w:ascii="宋体" w:hAnsi="宋体"/>
          <w:szCs w:val="21"/>
        </w:rPr>
      </w:pPr>
      <w:r>
        <w:rPr>
          <w:rFonts w:hint="eastAsia" w:ascii="宋体" w:hAnsi="宋体"/>
          <w:szCs w:val="21"/>
        </w:rPr>
        <w:t>细化，评标委员会应当按照本附件所规定的详细程序开展并完成评标工作。</w:t>
      </w:r>
    </w:p>
    <w:p>
      <w:pPr>
        <w:spacing w:before="62" w:beforeLines="20" w:after="62" w:afterLines="20" w:line="420" w:lineRule="exact"/>
        <w:ind w:firstLine="422" w:firstLineChars="200"/>
        <w:rPr>
          <w:rFonts w:ascii="宋体" w:hAnsi="宋体"/>
          <w:b/>
          <w:szCs w:val="21"/>
        </w:rPr>
      </w:pPr>
      <w:r>
        <w:rPr>
          <w:rFonts w:hint="eastAsia" w:ascii="宋体" w:hAnsi="宋体"/>
          <w:b/>
          <w:szCs w:val="21"/>
        </w:rPr>
        <w:t>A1.基本程序</w:t>
      </w:r>
    </w:p>
    <w:p>
      <w:pPr>
        <w:spacing w:line="420" w:lineRule="exact"/>
        <w:ind w:firstLine="420" w:firstLineChars="200"/>
        <w:rPr>
          <w:rFonts w:ascii="宋体" w:hAnsi="宋体"/>
          <w:szCs w:val="21"/>
        </w:rPr>
      </w:pPr>
      <w:r>
        <w:rPr>
          <w:rFonts w:hint="eastAsia" w:ascii="宋体" w:hAnsi="宋体"/>
          <w:szCs w:val="21"/>
        </w:rPr>
        <w:t>评标活动将按以下五个步骤进行：</w:t>
      </w:r>
    </w:p>
    <w:p>
      <w:pPr>
        <w:spacing w:before="93" w:beforeLines="30" w:line="420" w:lineRule="exact"/>
        <w:ind w:firstLine="420" w:firstLineChars="200"/>
        <w:rPr>
          <w:rFonts w:ascii="宋体" w:hAnsi="宋体"/>
          <w:szCs w:val="21"/>
        </w:rPr>
      </w:pPr>
      <w:r>
        <w:rPr>
          <w:rFonts w:hint="eastAsia" w:ascii="宋体" w:hAnsi="宋体"/>
          <w:szCs w:val="21"/>
        </w:rPr>
        <w:t>（1）评标准备；</w:t>
      </w:r>
    </w:p>
    <w:p>
      <w:pPr>
        <w:spacing w:before="93" w:beforeLines="30" w:line="420" w:lineRule="exact"/>
        <w:ind w:firstLine="420" w:firstLineChars="200"/>
        <w:rPr>
          <w:rFonts w:ascii="宋体" w:hAnsi="宋体"/>
          <w:szCs w:val="21"/>
        </w:rPr>
      </w:pPr>
      <w:r>
        <w:rPr>
          <w:rFonts w:hint="eastAsia" w:ascii="宋体" w:hAnsi="宋体"/>
          <w:szCs w:val="21"/>
        </w:rPr>
        <w:t>（2）初步评审；</w:t>
      </w:r>
    </w:p>
    <w:p>
      <w:pPr>
        <w:spacing w:before="93" w:beforeLines="30" w:line="420" w:lineRule="exact"/>
        <w:ind w:firstLine="420" w:firstLineChars="200"/>
        <w:rPr>
          <w:rFonts w:ascii="宋体" w:hAnsi="宋体"/>
          <w:szCs w:val="21"/>
        </w:rPr>
      </w:pPr>
      <w:r>
        <w:rPr>
          <w:rFonts w:hint="eastAsia" w:ascii="宋体" w:hAnsi="宋体"/>
          <w:szCs w:val="21"/>
        </w:rPr>
        <w:t>（3）详细评审；</w:t>
      </w:r>
    </w:p>
    <w:p>
      <w:pPr>
        <w:spacing w:before="93" w:beforeLines="30" w:line="420" w:lineRule="exact"/>
        <w:ind w:firstLine="420" w:firstLineChars="200"/>
        <w:rPr>
          <w:rFonts w:ascii="宋体" w:hAnsi="宋体"/>
          <w:szCs w:val="21"/>
        </w:rPr>
      </w:pPr>
      <w:r>
        <w:rPr>
          <w:rFonts w:hint="eastAsia" w:ascii="宋体" w:hAnsi="宋体"/>
          <w:szCs w:val="21"/>
        </w:rPr>
        <w:t>（4）澄清、说明或补正；</w:t>
      </w:r>
    </w:p>
    <w:p>
      <w:pPr>
        <w:spacing w:before="93" w:beforeLines="30" w:after="93" w:afterLines="30" w:line="420" w:lineRule="exact"/>
        <w:ind w:firstLine="420" w:firstLineChars="200"/>
        <w:rPr>
          <w:rFonts w:ascii="宋体" w:hAnsi="宋体"/>
          <w:szCs w:val="21"/>
        </w:rPr>
      </w:pPr>
      <w:r>
        <w:rPr>
          <w:rFonts w:hint="eastAsia" w:ascii="宋体" w:hAnsi="宋体"/>
          <w:szCs w:val="21"/>
        </w:rPr>
        <w:t>（5）推荐中标候选人或者直接确定中标人及提交评标报告。</w:t>
      </w:r>
    </w:p>
    <w:p>
      <w:pPr>
        <w:spacing w:line="420" w:lineRule="exact"/>
        <w:ind w:firstLine="422" w:firstLineChars="200"/>
        <w:rPr>
          <w:rFonts w:ascii="宋体" w:hAnsi="宋体"/>
          <w:b/>
          <w:szCs w:val="21"/>
        </w:rPr>
      </w:pPr>
      <w:r>
        <w:rPr>
          <w:rFonts w:hint="eastAsia" w:ascii="宋体" w:hAnsi="宋体"/>
          <w:b/>
          <w:szCs w:val="21"/>
        </w:rPr>
        <w:t>A2.评标准备</w:t>
      </w:r>
    </w:p>
    <w:p>
      <w:pPr>
        <w:spacing w:line="420" w:lineRule="exact"/>
        <w:ind w:firstLine="422" w:firstLineChars="200"/>
        <w:rPr>
          <w:rFonts w:ascii="宋体" w:hAnsi="宋体"/>
          <w:b/>
          <w:szCs w:val="21"/>
        </w:rPr>
      </w:pPr>
      <w:r>
        <w:rPr>
          <w:rFonts w:hint="eastAsia" w:ascii="宋体" w:hAnsi="宋体"/>
          <w:b/>
          <w:szCs w:val="21"/>
        </w:rPr>
        <w:t>A2.1评标委员会成员签到</w:t>
      </w:r>
    </w:p>
    <w:p>
      <w:pPr>
        <w:spacing w:line="420" w:lineRule="exact"/>
        <w:rPr>
          <w:rFonts w:ascii="宋体" w:hAnsi="宋体"/>
          <w:b/>
          <w:szCs w:val="21"/>
          <w:u w:val="single"/>
        </w:rPr>
      </w:pPr>
      <w:r>
        <w:rPr>
          <w:rFonts w:hint="eastAsia" w:ascii="宋体" w:hAnsi="宋体"/>
          <w:szCs w:val="21"/>
        </w:rPr>
        <w:t>评标委员会成员到达评标现场时应在签到表上签到以证明其出席。评标委员会签到表见</w:t>
      </w:r>
      <w:r>
        <w:rPr>
          <w:rFonts w:hint="eastAsia" w:ascii="宋体" w:hAnsi="宋体"/>
          <w:b/>
          <w:szCs w:val="21"/>
          <w:u w:val="single"/>
        </w:rPr>
        <w:t>附表A-1</w:t>
      </w:r>
      <w:r>
        <w:rPr>
          <w:rFonts w:hint="eastAsia" w:ascii="宋体" w:hAnsi="宋体"/>
          <w:b/>
          <w:szCs w:val="21"/>
        </w:rPr>
        <w:t>。</w:t>
      </w:r>
    </w:p>
    <w:p>
      <w:pPr>
        <w:spacing w:line="420" w:lineRule="exact"/>
        <w:ind w:firstLine="420" w:firstLineChars="200"/>
        <w:rPr>
          <w:rFonts w:ascii="宋体" w:hAnsi="宋体"/>
          <w:szCs w:val="21"/>
        </w:rPr>
      </w:pPr>
    </w:p>
    <w:p>
      <w:pPr>
        <w:spacing w:before="62" w:beforeLines="20" w:after="62" w:afterLines="20" w:line="420" w:lineRule="exact"/>
        <w:ind w:firstLine="422" w:firstLineChars="200"/>
        <w:rPr>
          <w:rFonts w:ascii="宋体" w:hAnsi="宋体"/>
          <w:b/>
          <w:szCs w:val="21"/>
        </w:rPr>
      </w:pPr>
      <w:r>
        <w:rPr>
          <w:rFonts w:hint="eastAsia" w:ascii="宋体" w:hAnsi="宋体"/>
          <w:b/>
          <w:szCs w:val="21"/>
        </w:rPr>
        <w:t>A2.2评标委员会的分工</w:t>
      </w:r>
    </w:p>
    <w:p>
      <w:pPr>
        <w:spacing w:line="420" w:lineRule="exact"/>
        <w:ind w:firstLine="420" w:firstLineChars="200"/>
        <w:rPr>
          <w:rFonts w:ascii="宋体" w:hAnsi="宋体"/>
          <w:szCs w:val="21"/>
        </w:rPr>
      </w:pPr>
      <w:r>
        <w:rPr>
          <w:rFonts w:hint="eastAsia" w:ascii="宋体" w:hAnsi="宋体"/>
          <w:szCs w:val="21"/>
        </w:rPr>
        <w:t>评标委员会首先推选一名评标委员会主任。招标人也可以直接指定评标委员会主任。评标委员会主任负责评标活动的组织领导工作。评标委员会主任在与其他评标委员会成员商议的基础上可以将评标委员会划分为技术组和商务组。</w:t>
      </w:r>
    </w:p>
    <w:p>
      <w:pPr>
        <w:spacing w:before="62" w:beforeLines="20" w:after="62" w:afterLines="20" w:line="420" w:lineRule="exact"/>
        <w:ind w:firstLine="422" w:firstLineChars="200"/>
        <w:rPr>
          <w:rFonts w:ascii="宋体" w:hAnsi="宋体"/>
          <w:b/>
          <w:szCs w:val="21"/>
        </w:rPr>
      </w:pPr>
      <w:r>
        <w:rPr>
          <w:rFonts w:hint="eastAsia" w:ascii="宋体" w:hAnsi="宋体"/>
          <w:b/>
          <w:szCs w:val="21"/>
        </w:rPr>
        <w:t>A2.3熟悉文件资料</w:t>
      </w:r>
    </w:p>
    <w:p>
      <w:pPr>
        <w:spacing w:line="420" w:lineRule="exact"/>
        <w:ind w:firstLine="420" w:firstLineChars="200"/>
        <w:rPr>
          <w:rFonts w:ascii="宋体" w:hAnsi="宋体"/>
          <w:szCs w:val="21"/>
        </w:rPr>
      </w:pPr>
      <w:r>
        <w:rPr>
          <w:rFonts w:hint="eastAsia" w:ascii="宋体" w:hAnsi="宋体"/>
          <w:szCs w:val="21"/>
        </w:rPr>
        <w:t>A2.3.1评标委员会主任应组织评标委员会成员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w:t>
      </w:r>
    </w:p>
    <w:p>
      <w:pPr>
        <w:adjustRightInd w:val="0"/>
        <w:snapToGrid w:val="0"/>
        <w:spacing w:line="420" w:lineRule="exact"/>
        <w:ind w:firstLine="420" w:firstLineChars="200"/>
        <w:rPr>
          <w:rFonts w:ascii="宋体" w:hAnsi="宋体"/>
          <w:szCs w:val="21"/>
        </w:rPr>
      </w:pPr>
      <w:r>
        <w:rPr>
          <w:rFonts w:hint="eastAsia" w:ascii="黑体" w:hAnsi="宋体" w:eastAsia="黑体"/>
          <w:szCs w:val="21"/>
        </w:rPr>
        <w:t>A2.3.2</w:t>
      </w:r>
      <w:r>
        <w:rPr>
          <w:rFonts w:hint="eastAsia" w:ascii="宋体" w:hAnsi="宋体"/>
          <w:szCs w:val="21"/>
        </w:rPr>
        <w:t>招标人或招标代理机构应向评标委员会提供评标所需的信息和数据，包括招标文件、未在开标会上当场拒绝的各投标文件、开标会记录、工程所在地工程造价管理部门颁布的工程造价信息、定额(如作为计价依据时)、有关的法律、法规、规章、国家标准以及招标人或评标委员会认为必要的其他信息和数据。</w:t>
      </w:r>
    </w:p>
    <w:p>
      <w:pPr>
        <w:adjustRightInd w:val="0"/>
        <w:snapToGrid w:val="0"/>
        <w:spacing w:before="62" w:beforeLines="20" w:after="62" w:afterLines="20" w:line="402" w:lineRule="atLeast"/>
        <w:ind w:firstLine="422" w:firstLineChars="200"/>
        <w:rPr>
          <w:b/>
          <w:bCs/>
        </w:rPr>
      </w:pPr>
      <w:r>
        <w:rPr>
          <w:rFonts w:hint="eastAsia" w:ascii="宋体" w:hAnsi="宋体"/>
          <w:b/>
          <w:szCs w:val="21"/>
        </w:rPr>
        <w:t>A2.</w:t>
      </w:r>
      <w:r>
        <w:rPr>
          <w:rFonts w:ascii="宋体" w:hAnsi="宋体"/>
          <w:b/>
          <w:szCs w:val="21"/>
        </w:rPr>
        <w:t>4</w:t>
      </w:r>
      <w:r>
        <w:rPr>
          <w:rFonts w:hint="eastAsia"/>
          <w:b/>
        </w:rPr>
        <w:t>清标</w:t>
      </w:r>
    </w:p>
    <w:p>
      <w:pPr>
        <w:adjustRightInd w:val="0"/>
        <w:spacing w:line="360" w:lineRule="auto"/>
        <w:ind w:firstLine="420" w:firstLineChars="200"/>
        <w:rPr>
          <w:rFonts w:ascii="宋体" w:hAnsi="宋体"/>
        </w:rPr>
      </w:pPr>
      <w:r>
        <w:rPr>
          <w:rFonts w:hint="eastAsia" w:ascii="黑体" w:hAnsi="宋体" w:eastAsia="黑体"/>
          <w:szCs w:val="21"/>
        </w:rPr>
        <w:t>A2.</w:t>
      </w:r>
      <w:r>
        <w:rPr>
          <w:rFonts w:ascii="黑体" w:hAnsi="宋体" w:eastAsia="黑体"/>
          <w:szCs w:val="21"/>
        </w:rPr>
        <w:t>4</w:t>
      </w:r>
      <w:r>
        <w:rPr>
          <w:rFonts w:hint="eastAsia" w:ascii="黑体" w:hAnsi="宋体" w:eastAsia="黑体"/>
          <w:szCs w:val="21"/>
        </w:rPr>
        <w:t>.</w:t>
      </w:r>
      <w:r>
        <w:rPr>
          <w:rFonts w:ascii="黑体" w:hAnsi="宋体" w:eastAsia="黑体"/>
          <w:szCs w:val="21"/>
        </w:rPr>
        <w:t>1</w:t>
      </w:r>
      <w:r>
        <w:rPr>
          <w:rFonts w:hint="eastAsia" w:ascii="宋体" w:hAnsi="宋体"/>
        </w:rPr>
        <w:t>本工程将采用唐河县公共资源交易中心网上招投标系统评标软件进行商务标的清标。</w:t>
      </w:r>
    </w:p>
    <w:p>
      <w:pPr>
        <w:adjustRightInd w:val="0"/>
        <w:snapToGrid w:val="0"/>
        <w:spacing w:line="402" w:lineRule="atLeast"/>
        <w:ind w:firstLine="420" w:firstLineChars="200"/>
        <w:rPr>
          <w:rFonts w:ascii="宋体" w:hAnsi="宋体"/>
          <w:szCs w:val="21"/>
        </w:rPr>
      </w:pPr>
      <w:r>
        <w:rPr>
          <w:rFonts w:hint="eastAsia" w:ascii="黑体" w:hAnsi="宋体" w:eastAsia="黑体"/>
          <w:szCs w:val="21"/>
        </w:rPr>
        <w:t>A2.</w:t>
      </w:r>
      <w:r>
        <w:rPr>
          <w:rFonts w:ascii="黑体" w:hAnsi="宋体" w:eastAsia="黑体"/>
          <w:szCs w:val="21"/>
        </w:rPr>
        <w:t>4</w:t>
      </w:r>
      <w:r>
        <w:rPr>
          <w:rFonts w:hint="eastAsia" w:ascii="黑体" w:hAnsi="宋体" w:eastAsia="黑体"/>
          <w:szCs w:val="21"/>
        </w:rPr>
        <w:t>.</w:t>
      </w:r>
      <w:r>
        <w:rPr>
          <w:rFonts w:ascii="黑体" w:hAnsi="宋体" w:eastAsia="黑体"/>
          <w:szCs w:val="21"/>
        </w:rPr>
        <w:t>2</w:t>
      </w:r>
      <w:r>
        <w:rPr>
          <w:rFonts w:hint="eastAsia" w:ascii="宋体" w:hAnsi="宋体"/>
          <w:szCs w:val="21"/>
        </w:rPr>
        <w:t>投标人接到评标委员会发出的问题澄清通知后，应按评标委员会的要求提供书面澄清资料并按要求进行密封，在规定的时间递交到指定地点。投标人递交的书面澄清资料由评标委员会开启。</w:t>
      </w:r>
    </w:p>
    <w:p>
      <w:pPr>
        <w:adjustRightInd w:val="0"/>
        <w:snapToGrid w:val="0"/>
        <w:spacing w:line="402" w:lineRule="atLeast"/>
        <w:ind w:firstLine="420" w:firstLineChars="200"/>
        <w:rPr>
          <w:rFonts w:ascii="宋体" w:hAnsi="宋体"/>
          <w:szCs w:val="21"/>
        </w:rPr>
      </w:pPr>
      <w:r>
        <w:rPr>
          <w:rFonts w:hint="eastAsia" w:ascii="黑体" w:hAnsi="宋体" w:eastAsia="黑体"/>
          <w:szCs w:val="21"/>
        </w:rPr>
        <w:t>A2.</w:t>
      </w:r>
      <w:r>
        <w:rPr>
          <w:rFonts w:ascii="黑体" w:hAnsi="宋体" w:eastAsia="黑体"/>
          <w:szCs w:val="21"/>
        </w:rPr>
        <w:t>4</w:t>
      </w:r>
      <w:r>
        <w:rPr>
          <w:rFonts w:hint="eastAsia" w:ascii="黑体" w:hAnsi="宋体" w:eastAsia="黑体"/>
          <w:szCs w:val="21"/>
        </w:rPr>
        <w:t>.</w:t>
      </w:r>
      <w:r>
        <w:rPr>
          <w:rFonts w:ascii="黑体" w:hAnsi="宋体" w:eastAsia="黑体"/>
          <w:szCs w:val="21"/>
        </w:rPr>
        <w:t>3</w:t>
      </w:r>
      <w:r>
        <w:rPr>
          <w:rFonts w:hint="eastAsia" w:ascii="宋体" w:hAnsi="宋体"/>
        </w:rPr>
        <w:t xml:space="preserve"> 形成书面的清标报告。</w:t>
      </w:r>
    </w:p>
    <w:p>
      <w:pPr>
        <w:adjustRightInd w:val="0"/>
        <w:snapToGrid w:val="0"/>
        <w:spacing w:before="62" w:beforeLines="20" w:line="402" w:lineRule="atLeast"/>
        <w:ind w:firstLine="422" w:firstLineChars="200"/>
        <w:rPr>
          <w:rFonts w:ascii="宋体" w:hAnsi="宋体"/>
          <w:b/>
          <w:szCs w:val="21"/>
        </w:rPr>
      </w:pPr>
      <w:r>
        <w:rPr>
          <w:rFonts w:hint="eastAsia" w:ascii="宋体" w:hAnsi="宋体"/>
          <w:b/>
          <w:szCs w:val="21"/>
        </w:rPr>
        <w:t>A3初步评审</w:t>
      </w:r>
    </w:p>
    <w:p>
      <w:pPr>
        <w:adjustRightInd w:val="0"/>
        <w:snapToGrid w:val="0"/>
        <w:spacing w:line="402" w:lineRule="atLeast"/>
        <w:ind w:firstLine="422" w:firstLineChars="200"/>
        <w:rPr>
          <w:rFonts w:ascii="宋体" w:hAnsi="宋体"/>
          <w:b/>
          <w:szCs w:val="21"/>
        </w:rPr>
      </w:pPr>
      <w:r>
        <w:rPr>
          <w:rFonts w:hint="eastAsia" w:ascii="宋体" w:hAnsi="宋体"/>
          <w:b/>
          <w:szCs w:val="21"/>
        </w:rPr>
        <w:t>A3.1形式评审</w:t>
      </w:r>
    </w:p>
    <w:p>
      <w:pPr>
        <w:adjustRightInd w:val="0"/>
        <w:snapToGrid w:val="0"/>
        <w:spacing w:line="402" w:lineRule="atLeast"/>
        <w:ind w:firstLine="420" w:firstLineChars="200"/>
        <w:rPr>
          <w:rFonts w:ascii="宋体" w:hAnsi="宋体"/>
          <w:szCs w:val="21"/>
        </w:rPr>
      </w:pPr>
      <w:r>
        <w:rPr>
          <w:rFonts w:hint="eastAsia" w:ascii="宋体" w:hAnsi="宋体"/>
          <w:szCs w:val="21"/>
        </w:rPr>
        <w:t>评标委员会根据评标办法前附表中规定的评审因素和评审标准，对投标人的投标文件进行形式评审，并使用</w:t>
      </w:r>
      <w:r>
        <w:rPr>
          <w:rFonts w:hint="eastAsia" w:ascii="宋体" w:hAnsi="宋体"/>
          <w:b/>
          <w:szCs w:val="21"/>
        </w:rPr>
        <w:t>附表A-2</w:t>
      </w:r>
      <w:r>
        <w:rPr>
          <w:rFonts w:hint="eastAsia" w:ascii="宋体" w:hAnsi="宋体"/>
          <w:szCs w:val="21"/>
        </w:rPr>
        <w:t>记录评审结果。</w:t>
      </w:r>
    </w:p>
    <w:p>
      <w:pPr>
        <w:adjustRightInd w:val="0"/>
        <w:snapToGrid w:val="0"/>
        <w:spacing w:before="62" w:beforeLines="20" w:after="62" w:afterLines="20" w:line="402" w:lineRule="atLeast"/>
        <w:ind w:firstLine="422" w:firstLineChars="200"/>
        <w:rPr>
          <w:rFonts w:ascii="宋体" w:hAnsi="宋体"/>
          <w:b/>
          <w:szCs w:val="21"/>
        </w:rPr>
      </w:pPr>
      <w:r>
        <w:rPr>
          <w:rFonts w:hint="eastAsia" w:ascii="宋体" w:hAnsi="宋体"/>
          <w:b/>
          <w:szCs w:val="21"/>
        </w:rPr>
        <w:t>A3.2资格评审</w:t>
      </w:r>
    </w:p>
    <w:p>
      <w:pPr>
        <w:adjustRightInd w:val="0"/>
        <w:snapToGrid w:val="0"/>
        <w:spacing w:line="402" w:lineRule="atLeast"/>
        <w:ind w:firstLine="420" w:firstLineChars="200"/>
        <w:rPr>
          <w:rFonts w:ascii="宋体" w:hAnsi="宋体"/>
          <w:szCs w:val="21"/>
        </w:rPr>
      </w:pPr>
      <w:r>
        <w:rPr>
          <w:rFonts w:hint="eastAsia" w:ascii="宋体" w:hAnsi="宋体"/>
          <w:szCs w:val="21"/>
        </w:rPr>
        <w:t>评标委员会根据评标办法前附表中规定的评审因素和评审标准，依据投标人在企业诚信库中所填报的信息对投标人进行资格评审，并使用</w:t>
      </w:r>
      <w:r>
        <w:rPr>
          <w:rFonts w:hint="eastAsia" w:ascii="宋体" w:hAnsi="宋体"/>
          <w:b/>
          <w:szCs w:val="21"/>
        </w:rPr>
        <w:t>附表A-</w:t>
      </w:r>
      <w:r>
        <w:rPr>
          <w:rFonts w:ascii="宋体" w:hAnsi="宋体"/>
          <w:b/>
          <w:szCs w:val="21"/>
        </w:rPr>
        <w:t>3</w:t>
      </w:r>
      <w:r>
        <w:rPr>
          <w:rFonts w:hint="eastAsia" w:ascii="宋体" w:hAnsi="宋体"/>
          <w:szCs w:val="21"/>
        </w:rPr>
        <w:t>记录评审结果。</w:t>
      </w:r>
    </w:p>
    <w:p>
      <w:pPr>
        <w:adjustRightInd w:val="0"/>
        <w:snapToGrid w:val="0"/>
        <w:spacing w:before="62" w:beforeLines="20" w:after="62" w:afterLines="20" w:line="430" w:lineRule="exact"/>
        <w:ind w:firstLine="422" w:firstLineChars="200"/>
        <w:rPr>
          <w:rFonts w:ascii="宋体" w:hAnsi="宋体"/>
          <w:b/>
          <w:szCs w:val="21"/>
        </w:rPr>
      </w:pPr>
      <w:r>
        <w:rPr>
          <w:rFonts w:hint="eastAsia" w:ascii="黑体" w:hAnsi="宋体" w:eastAsia="黑体"/>
          <w:b/>
          <w:szCs w:val="21"/>
        </w:rPr>
        <w:t xml:space="preserve">A3．3 </w:t>
      </w:r>
      <w:r>
        <w:rPr>
          <w:rFonts w:hint="eastAsia" w:ascii="宋体" w:hAnsi="宋体"/>
          <w:b/>
          <w:szCs w:val="21"/>
        </w:rPr>
        <w:t>响应性评审</w:t>
      </w:r>
    </w:p>
    <w:p>
      <w:pPr>
        <w:ind w:firstLine="420" w:firstLineChars="200"/>
        <w:jc w:val="left"/>
      </w:pPr>
      <w:r>
        <w:rPr>
          <w:rFonts w:hint="eastAsia" w:ascii="黑体" w:hAnsi="宋体" w:eastAsia="黑体"/>
          <w:szCs w:val="21"/>
        </w:rPr>
        <w:t>A3.3.1</w:t>
      </w:r>
      <w:r>
        <w:rPr>
          <w:rFonts w:hint="eastAsia" w:ascii="宋体" w:hAnsi="宋体"/>
          <w:szCs w:val="21"/>
        </w:rPr>
        <w:t>评标委员会根据评标办法前附表中规定的评审因素和评审标准，对投标人的投标文件进行响应性评审，其中，</w:t>
      </w:r>
      <w:r>
        <w:rPr>
          <w:rFonts w:hint="eastAsia"/>
        </w:rPr>
        <w:t>工期、工程质量</w:t>
      </w:r>
      <w:r>
        <w:t>、</w:t>
      </w:r>
      <w:r>
        <w:rPr>
          <w:rFonts w:hint="eastAsia"/>
        </w:rPr>
        <w:t>投标有效期</w:t>
      </w:r>
      <w:r>
        <w:t>、</w:t>
      </w:r>
      <w:r>
        <w:rPr>
          <w:rFonts w:hint="eastAsia"/>
        </w:rPr>
        <w:t>投标保证金</w:t>
      </w:r>
      <w:r>
        <w:t>、</w:t>
      </w:r>
      <w:r>
        <w:rPr>
          <w:rFonts w:hint="eastAsia"/>
        </w:rPr>
        <w:t>已标价工程量清单由电子评标系统自动评审；投标内容、权力和义务、技术标准和要求以及其他内容由评标专家进行评审，</w:t>
      </w:r>
      <w:r>
        <w:rPr>
          <w:rFonts w:hint="eastAsia" w:ascii="宋体" w:hAnsi="宋体"/>
          <w:szCs w:val="21"/>
        </w:rPr>
        <w:t>并使用</w:t>
      </w:r>
      <w:r>
        <w:rPr>
          <w:rFonts w:hint="eastAsia" w:ascii="宋体" w:hAnsi="宋体"/>
          <w:b/>
          <w:szCs w:val="21"/>
        </w:rPr>
        <w:t>附表A-4</w:t>
      </w:r>
      <w:r>
        <w:rPr>
          <w:rFonts w:hint="eastAsia" w:ascii="宋体" w:hAnsi="宋体"/>
          <w:szCs w:val="21"/>
        </w:rPr>
        <w:t>记录评审结果。</w:t>
      </w:r>
    </w:p>
    <w:p>
      <w:pPr>
        <w:adjustRightInd w:val="0"/>
        <w:snapToGrid w:val="0"/>
        <w:spacing w:line="430" w:lineRule="exact"/>
        <w:ind w:firstLine="420" w:firstLineChars="200"/>
        <w:rPr>
          <w:rFonts w:ascii="宋体" w:hAnsi="宋体"/>
          <w:szCs w:val="21"/>
        </w:rPr>
      </w:pPr>
      <w:r>
        <w:rPr>
          <w:rFonts w:hint="eastAsia" w:ascii="黑体" w:hAnsi="宋体" w:eastAsia="黑体"/>
          <w:szCs w:val="21"/>
        </w:rPr>
        <w:t>A3.3.2</w:t>
      </w:r>
      <w:r>
        <w:rPr>
          <w:rFonts w:hint="eastAsia" w:ascii="宋体" w:hAnsi="宋体"/>
          <w:szCs w:val="21"/>
        </w:rPr>
        <w:t>投标人投标价格不得超出(不含等于)按照本章前附表的规定计算的“招标控制价”，凡投标人的投标价格超出“招标控制价”)，该投标人的投标文件不能通过响应性评审。(适用于设立招标控制价的情形)</w:t>
      </w:r>
    </w:p>
    <w:p>
      <w:pPr>
        <w:adjustRightInd w:val="0"/>
        <w:snapToGrid w:val="0"/>
        <w:spacing w:line="430" w:lineRule="exact"/>
        <w:rPr>
          <w:rFonts w:ascii="宋体" w:hAnsi="宋体"/>
          <w:b/>
          <w:szCs w:val="21"/>
        </w:rPr>
      </w:pPr>
      <w:r>
        <w:rPr>
          <w:rFonts w:hint="eastAsia" w:ascii="黑体" w:hAnsi="宋体" w:eastAsia="黑体"/>
          <w:b/>
          <w:szCs w:val="21"/>
        </w:rPr>
        <w:t>A3.4</w:t>
      </w:r>
      <w:r>
        <w:rPr>
          <w:rFonts w:hint="eastAsia" w:ascii="宋体" w:hAnsi="宋体"/>
          <w:b/>
          <w:szCs w:val="21"/>
        </w:rPr>
        <w:t xml:space="preserve">  判断投标是否为废标</w:t>
      </w:r>
    </w:p>
    <w:p>
      <w:pPr>
        <w:adjustRightInd w:val="0"/>
        <w:snapToGrid w:val="0"/>
        <w:spacing w:line="430" w:lineRule="exact"/>
        <w:ind w:firstLine="420" w:firstLineChars="200"/>
        <w:rPr>
          <w:rFonts w:ascii="宋体" w:hAnsi="宋体"/>
          <w:szCs w:val="21"/>
        </w:rPr>
      </w:pPr>
      <w:r>
        <w:rPr>
          <w:rFonts w:hint="eastAsia" w:ascii="黑体" w:hAnsi="宋体" w:eastAsia="黑体"/>
          <w:szCs w:val="21"/>
        </w:rPr>
        <w:t xml:space="preserve">A3.4.1 </w:t>
      </w:r>
      <w:r>
        <w:rPr>
          <w:rFonts w:hint="eastAsia" w:ascii="宋体" w:hAnsi="宋体"/>
          <w:szCs w:val="21"/>
        </w:rPr>
        <w:t>判断投标人的投标是否为废标的全部条件(包括本章第3．1．2项中规定的条件)，在</w:t>
      </w:r>
      <w:r>
        <w:rPr>
          <w:rFonts w:hint="eastAsia" w:ascii="宋体" w:hAnsi="宋体"/>
          <w:b/>
          <w:szCs w:val="21"/>
        </w:rPr>
        <w:t>本章附件B</w:t>
      </w:r>
      <w:r>
        <w:rPr>
          <w:rFonts w:hint="eastAsia" w:ascii="宋体" w:hAnsi="宋体"/>
          <w:szCs w:val="21"/>
        </w:rPr>
        <w:t>中集中列示。</w:t>
      </w:r>
    </w:p>
    <w:p>
      <w:pPr>
        <w:adjustRightInd w:val="0"/>
        <w:snapToGrid w:val="0"/>
        <w:spacing w:line="430" w:lineRule="exact"/>
        <w:ind w:firstLine="420" w:firstLineChars="200"/>
        <w:rPr>
          <w:rFonts w:ascii="宋体" w:hAnsi="宋体"/>
          <w:szCs w:val="21"/>
        </w:rPr>
      </w:pPr>
      <w:r>
        <w:rPr>
          <w:rFonts w:hint="eastAsia" w:ascii="黑体" w:hAnsi="宋体" w:eastAsia="黑体"/>
          <w:szCs w:val="21"/>
        </w:rPr>
        <w:t>A3.4.2</w:t>
      </w:r>
      <w:r>
        <w:rPr>
          <w:rFonts w:hint="eastAsia" w:ascii="宋体" w:hAnsi="宋体"/>
          <w:szCs w:val="21"/>
        </w:rPr>
        <w:t>本章附件</w:t>
      </w:r>
      <w:r>
        <w:rPr>
          <w:rFonts w:hint="eastAsia" w:ascii="宋体" w:hAnsi="宋体"/>
          <w:b/>
          <w:szCs w:val="21"/>
        </w:rPr>
        <w:t>B集</w:t>
      </w:r>
      <w:r>
        <w:rPr>
          <w:rFonts w:hint="eastAsia" w:ascii="宋体" w:hAnsi="宋体"/>
          <w:szCs w:val="21"/>
        </w:rPr>
        <w:t>中列示的废标条件不应与第二章“投标人须知”和本章正文部分包括的废标条件抵触，如果出现相互矛盾的情况，以第二章“投标人须知”和本章正文部分的规定为准。</w:t>
      </w:r>
    </w:p>
    <w:p>
      <w:pPr>
        <w:adjustRightInd w:val="0"/>
        <w:snapToGrid w:val="0"/>
        <w:spacing w:line="430" w:lineRule="exact"/>
        <w:ind w:firstLine="420" w:firstLineChars="200"/>
        <w:rPr>
          <w:rFonts w:ascii="宋体" w:hAnsi="宋体"/>
          <w:szCs w:val="21"/>
        </w:rPr>
      </w:pPr>
      <w:r>
        <w:rPr>
          <w:rFonts w:hint="eastAsia" w:ascii="黑体" w:hAnsi="宋体" w:eastAsia="黑体"/>
          <w:szCs w:val="21"/>
        </w:rPr>
        <w:t>A3.4.3</w:t>
      </w:r>
      <w:r>
        <w:rPr>
          <w:rFonts w:hint="eastAsia" w:ascii="宋体" w:hAnsi="宋体"/>
          <w:szCs w:val="21"/>
        </w:rPr>
        <w:t>评标委员会在评标(包括初步评审和详细评审)过程中，依据本章</w:t>
      </w:r>
      <w:r>
        <w:rPr>
          <w:rFonts w:hint="eastAsia" w:ascii="宋体" w:hAnsi="宋体"/>
          <w:b/>
          <w:szCs w:val="21"/>
        </w:rPr>
        <w:t>附件B</w:t>
      </w:r>
      <w:r>
        <w:rPr>
          <w:rFonts w:hint="eastAsia" w:ascii="宋体" w:hAnsi="宋体"/>
          <w:szCs w:val="21"/>
        </w:rPr>
        <w:t>中规定的废标条件判断投标人的投标是否为废标。</w:t>
      </w:r>
    </w:p>
    <w:p>
      <w:pPr>
        <w:adjustRightInd w:val="0"/>
        <w:snapToGrid w:val="0"/>
        <w:spacing w:line="430" w:lineRule="exact"/>
        <w:rPr>
          <w:rFonts w:ascii="宋体" w:hAnsi="宋体"/>
          <w:b/>
          <w:szCs w:val="21"/>
        </w:rPr>
      </w:pPr>
      <w:r>
        <w:rPr>
          <w:rFonts w:hint="eastAsia" w:ascii="黑体" w:hAnsi="宋体" w:eastAsia="黑体"/>
          <w:b/>
          <w:szCs w:val="21"/>
        </w:rPr>
        <w:t>A3.5</w:t>
      </w:r>
      <w:r>
        <w:rPr>
          <w:rFonts w:hint="eastAsia" w:ascii="宋体" w:hAnsi="宋体"/>
          <w:b/>
          <w:szCs w:val="21"/>
        </w:rPr>
        <w:t>算术错误修正</w:t>
      </w:r>
    </w:p>
    <w:p>
      <w:pPr>
        <w:adjustRightInd w:val="0"/>
        <w:snapToGrid w:val="0"/>
        <w:spacing w:line="430" w:lineRule="exact"/>
        <w:ind w:firstLine="420" w:firstLineChars="200"/>
        <w:rPr>
          <w:rFonts w:ascii="宋体" w:hAnsi="宋体"/>
          <w:szCs w:val="21"/>
        </w:rPr>
      </w:pPr>
      <w:r>
        <w:rPr>
          <w:rFonts w:hint="eastAsia" w:ascii="宋体" w:hAnsi="宋体"/>
          <w:szCs w:val="21"/>
        </w:rPr>
        <w:t>评标委员会依据本章中规定的相关原则对投标报价中存在的算术错误进行修正，并根据算术错误修正结果计算评标价。</w:t>
      </w:r>
    </w:p>
    <w:p>
      <w:pPr>
        <w:adjustRightInd w:val="0"/>
        <w:snapToGrid w:val="0"/>
        <w:spacing w:before="62" w:beforeLines="20" w:after="62" w:afterLines="20" w:line="430" w:lineRule="exact"/>
        <w:rPr>
          <w:rFonts w:ascii="宋体" w:hAnsi="宋体"/>
          <w:b/>
          <w:szCs w:val="21"/>
        </w:rPr>
      </w:pPr>
      <w:r>
        <w:rPr>
          <w:rFonts w:hint="eastAsia" w:ascii="黑体" w:hAnsi="宋体" w:eastAsia="黑体"/>
          <w:b/>
          <w:szCs w:val="21"/>
        </w:rPr>
        <w:t>A3．6</w:t>
      </w:r>
      <w:r>
        <w:rPr>
          <w:rFonts w:hint="eastAsia" w:ascii="宋体" w:hAnsi="宋体"/>
          <w:b/>
          <w:szCs w:val="21"/>
        </w:rPr>
        <w:t>澄清、说明或补正</w:t>
      </w:r>
    </w:p>
    <w:p>
      <w:pPr>
        <w:adjustRightInd w:val="0"/>
        <w:snapToGrid w:val="0"/>
        <w:spacing w:line="430" w:lineRule="exact"/>
        <w:ind w:firstLine="420" w:firstLineChars="200"/>
        <w:rPr>
          <w:rFonts w:ascii="宋体" w:hAnsi="宋体"/>
          <w:szCs w:val="21"/>
        </w:rPr>
      </w:pPr>
      <w:r>
        <w:rPr>
          <w:rFonts w:hint="eastAsia" w:ascii="宋体" w:hAnsi="宋体"/>
          <w:szCs w:val="21"/>
        </w:rPr>
        <w:t>在初步评审过程中，评标委员会应当就投标文件中不明确的内容要求投标人进行澄清、说明或者补正。投标人对此以书面形式予以澄清、说明或者补正。澄清、说明或补正根据本章第3.3款的规定执行。</w:t>
      </w:r>
    </w:p>
    <w:p>
      <w:pPr>
        <w:adjustRightInd w:val="0"/>
        <w:snapToGrid w:val="0"/>
        <w:spacing w:before="62" w:beforeLines="20" w:after="62" w:afterLines="20" w:line="430" w:lineRule="exact"/>
        <w:rPr>
          <w:rFonts w:ascii="宋体" w:hAnsi="宋体"/>
          <w:b/>
          <w:szCs w:val="21"/>
        </w:rPr>
      </w:pPr>
      <w:r>
        <w:rPr>
          <w:rFonts w:hint="eastAsia" w:ascii="黑体" w:hAnsi="宋体" w:eastAsia="黑体"/>
          <w:b/>
          <w:szCs w:val="21"/>
        </w:rPr>
        <w:t>A4</w:t>
      </w:r>
      <w:r>
        <w:rPr>
          <w:rFonts w:hint="eastAsia" w:ascii="宋体" w:hAnsi="宋体"/>
          <w:b/>
          <w:szCs w:val="21"/>
        </w:rPr>
        <w:t>．详细评审</w:t>
      </w:r>
    </w:p>
    <w:p>
      <w:pPr>
        <w:adjustRightInd w:val="0"/>
        <w:snapToGrid w:val="0"/>
        <w:spacing w:line="430" w:lineRule="exact"/>
        <w:ind w:firstLine="420" w:firstLineChars="200"/>
        <w:rPr>
          <w:rFonts w:ascii="宋体" w:hAnsi="宋体"/>
          <w:szCs w:val="21"/>
        </w:rPr>
      </w:pPr>
      <w:r>
        <w:rPr>
          <w:rFonts w:hint="eastAsia" w:ascii="宋体" w:hAnsi="宋体"/>
          <w:szCs w:val="21"/>
        </w:rPr>
        <w:t>只有通过了初步评审、被判定为合格的投标方可进入详细评审。</w:t>
      </w:r>
    </w:p>
    <w:p>
      <w:pPr>
        <w:adjustRightInd w:val="0"/>
        <w:snapToGrid w:val="0"/>
        <w:spacing w:before="62" w:beforeLines="20" w:after="62" w:afterLines="20" w:line="430" w:lineRule="exact"/>
        <w:rPr>
          <w:rFonts w:ascii="宋体" w:hAnsi="宋体"/>
          <w:b/>
          <w:szCs w:val="21"/>
        </w:rPr>
      </w:pPr>
      <w:r>
        <w:rPr>
          <w:rFonts w:hint="eastAsia" w:ascii="黑体" w:hAnsi="宋体" w:eastAsia="黑体"/>
          <w:b/>
          <w:szCs w:val="21"/>
        </w:rPr>
        <w:t>A4.1</w:t>
      </w:r>
      <w:r>
        <w:rPr>
          <w:rFonts w:hint="eastAsia" w:ascii="宋体" w:hAnsi="宋体"/>
          <w:b/>
          <w:szCs w:val="21"/>
        </w:rPr>
        <w:t>详细评审的程序</w:t>
      </w:r>
    </w:p>
    <w:p>
      <w:pPr>
        <w:adjustRightInd w:val="0"/>
        <w:snapToGrid w:val="0"/>
        <w:spacing w:line="430" w:lineRule="exact"/>
        <w:ind w:firstLine="420" w:firstLineChars="200"/>
        <w:rPr>
          <w:rFonts w:ascii="宋体" w:hAnsi="宋体"/>
          <w:szCs w:val="21"/>
        </w:rPr>
      </w:pPr>
      <w:r>
        <w:rPr>
          <w:rFonts w:hint="eastAsia" w:ascii="黑体" w:hAnsi="宋体" w:eastAsia="黑体"/>
          <w:szCs w:val="21"/>
        </w:rPr>
        <w:t>A4.1.1</w:t>
      </w:r>
      <w:r>
        <w:rPr>
          <w:rFonts w:hint="eastAsia" w:ascii="宋体" w:hAnsi="宋体"/>
          <w:szCs w:val="21"/>
        </w:rPr>
        <w:t xml:space="preserve">  评标委员会按照本章第3．2款中规定的程序进行详细评审：</w:t>
      </w:r>
    </w:p>
    <w:p>
      <w:pPr>
        <w:adjustRightInd w:val="0"/>
        <w:snapToGrid w:val="0"/>
        <w:spacing w:line="430" w:lineRule="exact"/>
        <w:ind w:firstLine="852" w:firstLineChars="406"/>
        <w:rPr>
          <w:rFonts w:ascii="宋体" w:hAnsi="宋体"/>
          <w:szCs w:val="21"/>
        </w:rPr>
      </w:pPr>
      <w:r>
        <w:rPr>
          <w:rFonts w:hint="eastAsia" w:ascii="宋体" w:hAnsi="宋体"/>
          <w:szCs w:val="21"/>
        </w:rPr>
        <w:t>(1)施工组织设计评审和评分；</w:t>
      </w:r>
    </w:p>
    <w:p>
      <w:pPr>
        <w:adjustRightInd w:val="0"/>
        <w:snapToGrid w:val="0"/>
        <w:spacing w:line="430" w:lineRule="exact"/>
        <w:ind w:firstLine="852" w:firstLineChars="406"/>
        <w:rPr>
          <w:rFonts w:ascii="宋体" w:hAnsi="宋体"/>
          <w:szCs w:val="21"/>
        </w:rPr>
      </w:pPr>
      <w:r>
        <w:rPr>
          <w:rFonts w:hint="eastAsia" w:ascii="宋体" w:hAnsi="宋体"/>
          <w:szCs w:val="21"/>
        </w:rPr>
        <w:t>(2)项目管理机构评审和评分；</w:t>
      </w:r>
    </w:p>
    <w:p>
      <w:pPr>
        <w:adjustRightInd w:val="0"/>
        <w:snapToGrid w:val="0"/>
        <w:spacing w:line="430" w:lineRule="exact"/>
        <w:ind w:firstLine="852" w:firstLineChars="406"/>
        <w:rPr>
          <w:rFonts w:ascii="宋体" w:hAnsi="宋体"/>
          <w:szCs w:val="21"/>
        </w:rPr>
      </w:pPr>
      <w:r>
        <w:rPr>
          <w:rFonts w:hint="eastAsia" w:ascii="宋体" w:hAnsi="宋体"/>
          <w:szCs w:val="21"/>
        </w:rPr>
        <w:t>(3)投标报价评审和评分由电子评标系统辅助完成，并对明显低于其他投标报价的投标报价，或者在设有标底时明显低于标底的投标报价，判断是否低于其个别成本；</w:t>
      </w:r>
    </w:p>
    <w:p>
      <w:pPr>
        <w:adjustRightInd w:val="0"/>
        <w:snapToGrid w:val="0"/>
        <w:spacing w:line="430" w:lineRule="exact"/>
        <w:ind w:firstLine="882" w:firstLineChars="420"/>
        <w:rPr>
          <w:rFonts w:ascii="宋体" w:hAnsi="宋体"/>
          <w:szCs w:val="21"/>
        </w:rPr>
      </w:pPr>
      <w:r>
        <w:rPr>
          <w:rFonts w:hint="eastAsia" w:ascii="宋体" w:hAnsi="宋体"/>
          <w:szCs w:val="21"/>
        </w:rPr>
        <w:t>(4)其他因素评审和评分；</w:t>
      </w:r>
    </w:p>
    <w:p>
      <w:pPr>
        <w:adjustRightInd w:val="0"/>
        <w:snapToGrid w:val="0"/>
        <w:spacing w:line="430" w:lineRule="exact"/>
        <w:ind w:firstLine="882" w:firstLineChars="420"/>
        <w:rPr>
          <w:rFonts w:ascii="宋体" w:hAnsi="宋体"/>
          <w:szCs w:val="21"/>
        </w:rPr>
      </w:pPr>
      <w:r>
        <w:rPr>
          <w:rFonts w:hint="eastAsia" w:ascii="宋体" w:hAnsi="宋体"/>
          <w:szCs w:val="21"/>
        </w:rPr>
        <w:t>(5)汇总评分结果。</w:t>
      </w:r>
    </w:p>
    <w:p>
      <w:pPr>
        <w:adjustRightInd w:val="0"/>
        <w:snapToGrid w:val="0"/>
        <w:spacing w:before="62" w:beforeLines="20" w:after="62" w:afterLines="20" w:line="430" w:lineRule="exact"/>
        <w:rPr>
          <w:rFonts w:ascii="宋体" w:hAnsi="宋体"/>
          <w:b/>
          <w:szCs w:val="21"/>
        </w:rPr>
      </w:pPr>
      <w:r>
        <w:rPr>
          <w:rFonts w:hint="eastAsia" w:ascii="黑体" w:hAnsi="宋体" w:eastAsia="黑体"/>
          <w:b/>
          <w:szCs w:val="21"/>
        </w:rPr>
        <w:t>A4.2</w:t>
      </w:r>
      <w:r>
        <w:rPr>
          <w:rFonts w:hint="eastAsia" w:ascii="宋体" w:hAnsi="宋体"/>
          <w:b/>
          <w:szCs w:val="21"/>
        </w:rPr>
        <w:t xml:space="preserve">  施工组织设计评审和评分</w:t>
      </w:r>
    </w:p>
    <w:p>
      <w:pPr>
        <w:adjustRightInd w:val="0"/>
        <w:snapToGrid w:val="0"/>
        <w:spacing w:line="430" w:lineRule="exact"/>
        <w:ind w:firstLine="420" w:firstLineChars="200"/>
        <w:rPr>
          <w:rFonts w:ascii="宋体" w:hAnsi="宋体"/>
          <w:szCs w:val="21"/>
        </w:rPr>
      </w:pPr>
      <w:r>
        <w:rPr>
          <w:rFonts w:hint="eastAsia" w:ascii="黑体" w:hAnsi="宋体" w:eastAsia="黑体"/>
          <w:szCs w:val="21"/>
        </w:rPr>
        <w:t>A4.2.1</w:t>
      </w:r>
      <w:r>
        <w:rPr>
          <w:rFonts w:hint="eastAsia" w:ascii="宋体" w:hAnsi="宋体"/>
          <w:szCs w:val="21"/>
        </w:rPr>
        <w:t>按照评标办法前附表中规定的分值设定、各项评分因素、评分标准，对施工组织设计进行评审和评分，并使用</w:t>
      </w:r>
      <w:r>
        <w:rPr>
          <w:rFonts w:hint="eastAsia" w:ascii="宋体" w:hAnsi="宋体"/>
          <w:b/>
          <w:szCs w:val="21"/>
        </w:rPr>
        <w:t>附表A-</w:t>
      </w:r>
      <w:r>
        <w:rPr>
          <w:rFonts w:ascii="宋体" w:hAnsi="宋体"/>
          <w:b/>
          <w:szCs w:val="21"/>
        </w:rPr>
        <w:t>5</w:t>
      </w:r>
      <w:r>
        <w:rPr>
          <w:rFonts w:hint="eastAsia" w:ascii="宋体" w:hAnsi="宋体"/>
          <w:b/>
          <w:szCs w:val="21"/>
        </w:rPr>
        <w:t>记</w:t>
      </w:r>
      <w:r>
        <w:rPr>
          <w:rFonts w:hint="eastAsia" w:ascii="宋体" w:hAnsi="宋体"/>
          <w:szCs w:val="21"/>
        </w:rPr>
        <w:t>录对施工组织设计的评分结果，施工组织设计的得分记录为</w:t>
      </w:r>
      <w:r>
        <w:rPr>
          <w:rFonts w:hint="eastAsia" w:ascii="宋体" w:hAnsi="宋体"/>
          <w:b/>
          <w:szCs w:val="21"/>
        </w:rPr>
        <w:t>A</w:t>
      </w:r>
      <w:r>
        <w:rPr>
          <w:rFonts w:hint="eastAsia" w:ascii="宋体" w:hAnsi="宋体"/>
          <w:szCs w:val="21"/>
        </w:rPr>
        <w:t>。</w:t>
      </w:r>
    </w:p>
    <w:p>
      <w:pPr>
        <w:adjustRightInd w:val="0"/>
        <w:snapToGrid w:val="0"/>
        <w:spacing w:before="62" w:beforeLines="20" w:after="62" w:afterLines="20" w:line="430" w:lineRule="exact"/>
        <w:rPr>
          <w:rFonts w:ascii="宋体" w:hAnsi="宋体"/>
          <w:b/>
          <w:szCs w:val="21"/>
        </w:rPr>
      </w:pPr>
      <w:r>
        <w:rPr>
          <w:rFonts w:hint="eastAsia" w:ascii="黑体" w:hAnsi="宋体" w:eastAsia="黑体"/>
          <w:b/>
          <w:szCs w:val="21"/>
        </w:rPr>
        <w:t>A4．3</w:t>
      </w:r>
      <w:r>
        <w:rPr>
          <w:rFonts w:hint="eastAsia" w:ascii="宋体" w:hAnsi="宋体"/>
          <w:b/>
          <w:szCs w:val="21"/>
        </w:rPr>
        <w:t>项目管理机构评审和评分</w:t>
      </w:r>
    </w:p>
    <w:p>
      <w:pPr>
        <w:adjustRightInd w:val="0"/>
        <w:snapToGrid w:val="0"/>
        <w:spacing w:line="430" w:lineRule="exact"/>
        <w:ind w:firstLine="420" w:firstLineChars="200"/>
        <w:rPr>
          <w:rFonts w:ascii="宋体" w:hAnsi="宋体"/>
          <w:szCs w:val="21"/>
        </w:rPr>
      </w:pPr>
      <w:r>
        <w:rPr>
          <w:rFonts w:hint="eastAsia" w:ascii="黑体" w:hAnsi="宋体" w:eastAsia="黑体"/>
          <w:szCs w:val="21"/>
        </w:rPr>
        <w:t>A4.3.1</w:t>
      </w:r>
      <w:r>
        <w:rPr>
          <w:rFonts w:hint="eastAsia" w:ascii="宋体" w:hAnsi="宋体"/>
          <w:szCs w:val="21"/>
        </w:rPr>
        <w:t>按照评标办法前附表中规定的分值设定、各项评分因素、评分标准，对项目管理机构进行评审和评分，并使用</w:t>
      </w:r>
      <w:r>
        <w:rPr>
          <w:rFonts w:hint="eastAsia" w:ascii="宋体" w:hAnsi="宋体"/>
          <w:b/>
          <w:szCs w:val="21"/>
        </w:rPr>
        <w:t>附表A-</w:t>
      </w:r>
      <w:r>
        <w:rPr>
          <w:rFonts w:ascii="宋体" w:hAnsi="宋体"/>
          <w:b/>
          <w:szCs w:val="21"/>
        </w:rPr>
        <w:t>6</w:t>
      </w:r>
      <w:r>
        <w:rPr>
          <w:rFonts w:hint="eastAsia" w:ascii="宋体" w:hAnsi="宋体"/>
          <w:b/>
          <w:szCs w:val="21"/>
        </w:rPr>
        <w:t>记</w:t>
      </w:r>
      <w:r>
        <w:rPr>
          <w:rFonts w:hint="eastAsia" w:ascii="宋体" w:hAnsi="宋体"/>
          <w:szCs w:val="21"/>
        </w:rPr>
        <w:t>录对项目管理机构的评分结果，项目管理机构的得分记录为</w:t>
      </w:r>
      <w:r>
        <w:rPr>
          <w:rFonts w:hint="eastAsia" w:ascii="宋体" w:hAnsi="宋体"/>
          <w:b/>
          <w:szCs w:val="21"/>
        </w:rPr>
        <w:t>B</w:t>
      </w:r>
      <w:r>
        <w:rPr>
          <w:rFonts w:hint="eastAsia" w:ascii="宋体" w:hAnsi="宋体"/>
          <w:szCs w:val="21"/>
        </w:rPr>
        <w:t>。</w:t>
      </w:r>
    </w:p>
    <w:p>
      <w:pPr>
        <w:adjustRightInd w:val="0"/>
        <w:snapToGrid w:val="0"/>
        <w:spacing w:before="62" w:beforeLines="20" w:after="62" w:afterLines="20" w:line="430" w:lineRule="exact"/>
        <w:rPr>
          <w:rFonts w:ascii="宋体" w:hAnsi="宋体"/>
          <w:b/>
          <w:szCs w:val="21"/>
        </w:rPr>
      </w:pPr>
      <w:r>
        <w:rPr>
          <w:rFonts w:hint="eastAsia" w:ascii="黑体" w:hAnsi="宋体" w:eastAsia="黑体"/>
          <w:b/>
          <w:szCs w:val="21"/>
        </w:rPr>
        <w:t>A4.4</w:t>
      </w:r>
      <w:r>
        <w:rPr>
          <w:rFonts w:hint="eastAsia" w:ascii="宋体" w:hAnsi="宋体"/>
          <w:b/>
          <w:szCs w:val="21"/>
        </w:rPr>
        <w:t>投标报价评审和评分(本项评审由电子评标系统完成，仅按投标总报价进行评分)</w:t>
      </w:r>
    </w:p>
    <w:p>
      <w:pPr>
        <w:adjustRightInd w:val="0"/>
        <w:snapToGrid w:val="0"/>
        <w:spacing w:line="430" w:lineRule="exact"/>
        <w:ind w:firstLine="420" w:firstLineChars="200"/>
        <w:rPr>
          <w:rFonts w:ascii="宋体" w:hAnsi="宋体"/>
          <w:szCs w:val="21"/>
        </w:rPr>
      </w:pPr>
      <w:r>
        <w:rPr>
          <w:rFonts w:hint="eastAsia" w:ascii="黑体" w:hAnsi="宋体" w:eastAsia="黑体"/>
          <w:szCs w:val="21"/>
        </w:rPr>
        <w:t>A4.4.1</w:t>
      </w:r>
      <w:r>
        <w:rPr>
          <w:rFonts w:hint="eastAsia" w:ascii="宋体" w:hAnsi="宋体"/>
          <w:szCs w:val="21"/>
        </w:rPr>
        <w:t>按照评标办法前附表中规定的方法计算“评标基准价”。</w:t>
      </w:r>
    </w:p>
    <w:p>
      <w:pPr>
        <w:adjustRightInd w:val="0"/>
        <w:snapToGrid w:val="0"/>
        <w:spacing w:before="62" w:beforeLines="20" w:line="430" w:lineRule="exact"/>
        <w:ind w:firstLine="420" w:firstLineChars="200"/>
        <w:rPr>
          <w:rFonts w:ascii="宋体" w:hAnsi="宋体"/>
          <w:szCs w:val="21"/>
        </w:rPr>
      </w:pPr>
      <w:r>
        <w:rPr>
          <w:rFonts w:hint="eastAsia" w:ascii="宋体" w:hAnsi="宋体"/>
          <w:szCs w:val="21"/>
        </w:rPr>
        <w:t>A4.4.2按照评标办法前附表中规定的方法，计算各个已通过了初步评审、施工组织设计评审和项目管理机构评审并且经过评审认定为不低于其成本的投标报价的“偏差率”。</w:t>
      </w:r>
    </w:p>
    <w:p>
      <w:pPr>
        <w:adjustRightInd w:val="0"/>
        <w:snapToGrid w:val="0"/>
        <w:spacing w:before="62" w:beforeLines="20" w:line="430" w:lineRule="exact"/>
        <w:ind w:firstLine="420" w:firstLineChars="200"/>
        <w:rPr>
          <w:rFonts w:ascii="宋体" w:hAnsi="宋体"/>
          <w:szCs w:val="21"/>
        </w:rPr>
      </w:pPr>
      <w:r>
        <w:rPr>
          <w:rFonts w:hint="eastAsia" w:ascii="宋体" w:hAnsi="宋体"/>
          <w:szCs w:val="21"/>
        </w:rPr>
        <w:t>A4.4.3按照评标办法前附表中规定的评分标准，对照投标报价的偏差率，分别对各个投标报价进行评分，使用</w:t>
      </w:r>
      <w:r>
        <w:rPr>
          <w:rFonts w:hint="eastAsia" w:ascii="宋体" w:hAnsi="宋体"/>
          <w:b/>
          <w:szCs w:val="21"/>
        </w:rPr>
        <w:t>附表A-</w:t>
      </w:r>
      <w:r>
        <w:rPr>
          <w:rFonts w:ascii="宋体" w:hAnsi="宋体"/>
          <w:b/>
          <w:szCs w:val="21"/>
        </w:rPr>
        <w:t>7</w:t>
      </w:r>
      <w:r>
        <w:rPr>
          <w:rFonts w:hint="eastAsia" w:ascii="宋体" w:hAnsi="宋体"/>
          <w:szCs w:val="21"/>
        </w:rPr>
        <w:t>记录对投标报价的评分结果，投标报价的得分记录为</w:t>
      </w:r>
      <w:r>
        <w:rPr>
          <w:rFonts w:hint="eastAsia" w:ascii="宋体" w:hAnsi="宋体"/>
          <w:b/>
          <w:szCs w:val="21"/>
        </w:rPr>
        <w:t>C</w:t>
      </w:r>
      <w:r>
        <w:rPr>
          <w:rFonts w:hint="eastAsia" w:ascii="宋体" w:hAnsi="宋体"/>
          <w:szCs w:val="21"/>
        </w:rPr>
        <w:t>。</w:t>
      </w:r>
    </w:p>
    <w:p>
      <w:pPr>
        <w:adjustRightInd w:val="0"/>
        <w:snapToGrid w:val="0"/>
        <w:spacing w:before="62" w:beforeLines="20" w:after="62" w:afterLines="20" w:line="430" w:lineRule="exact"/>
        <w:rPr>
          <w:rFonts w:ascii="宋体" w:hAnsi="宋体"/>
          <w:b/>
          <w:szCs w:val="21"/>
        </w:rPr>
      </w:pPr>
      <w:r>
        <w:rPr>
          <w:rFonts w:hint="eastAsia" w:ascii="黑体" w:hAnsi="宋体" w:eastAsia="黑体"/>
          <w:b/>
          <w:szCs w:val="21"/>
        </w:rPr>
        <w:t>A4.</w:t>
      </w:r>
      <w:r>
        <w:rPr>
          <w:rFonts w:ascii="黑体" w:hAnsi="宋体" w:eastAsia="黑体"/>
          <w:b/>
          <w:szCs w:val="21"/>
        </w:rPr>
        <w:t>5</w:t>
      </w:r>
      <w:r>
        <w:rPr>
          <w:rFonts w:hint="eastAsia" w:ascii="宋体" w:hAnsi="宋体"/>
          <w:b/>
          <w:szCs w:val="21"/>
        </w:rPr>
        <w:t>投标报价评审和评分(本项评审由专家抽取项目，电子评标系统按投标总报价中的分项报价分别进行评分)</w:t>
      </w:r>
    </w:p>
    <w:p>
      <w:pPr>
        <w:adjustRightInd w:val="0"/>
        <w:snapToGrid w:val="0"/>
        <w:spacing w:line="430" w:lineRule="exact"/>
        <w:ind w:firstLine="420" w:firstLineChars="200"/>
        <w:rPr>
          <w:rFonts w:ascii="宋体" w:hAnsi="宋体"/>
          <w:szCs w:val="21"/>
        </w:rPr>
      </w:pPr>
      <w:r>
        <w:rPr>
          <w:rFonts w:hint="eastAsia" w:ascii="黑体" w:hAnsi="宋体" w:eastAsia="黑体"/>
          <w:szCs w:val="21"/>
        </w:rPr>
        <w:t>A4.</w:t>
      </w:r>
      <w:r>
        <w:rPr>
          <w:rFonts w:ascii="黑体" w:hAnsi="宋体" w:eastAsia="黑体"/>
          <w:szCs w:val="21"/>
        </w:rPr>
        <w:t>5</w:t>
      </w:r>
      <w:r>
        <w:rPr>
          <w:rFonts w:hint="eastAsia" w:ascii="黑体" w:hAnsi="宋体" w:eastAsia="黑体"/>
          <w:szCs w:val="21"/>
        </w:rPr>
        <w:t>.1</w:t>
      </w:r>
      <w:r>
        <w:rPr>
          <w:rFonts w:hint="eastAsia" w:ascii="宋体" w:hAnsi="宋体"/>
          <w:szCs w:val="21"/>
        </w:rPr>
        <w:t>投标报价按以下项目的分项投标报价分别进行评审和评分：</w:t>
      </w:r>
    </w:p>
    <w:p>
      <w:pPr>
        <w:adjustRightInd w:val="0"/>
        <w:snapToGrid w:val="0"/>
        <w:spacing w:line="430" w:lineRule="exact"/>
        <w:ind w:firstLine="200"/>
        <w:rPr>
          <w:rFonts w:ascii="宋体" w:hAnsi="宋体"/>
          <w:szCs w:val="21"/>
        </w:rPr>
      </w:pPr>
      <w:r>
        <w:rPr>
          <w:rFonts w:hint="eastAsia" w:ascii="宋体" w:hAnsi="宋体"/>
          <w:szCs w:val="21"/>
        </w:rPr>
        <w:t>（1）投标总报价减去以下分别进行评分的各个分项投标报价以后的部分；</w:t>
      </w:r>
    </w:p>
    <w:p>
      <w:pPr>
        <w:adjustRightInd w:val="0"/>
        <w:snapToGrid w:val="0"/>
        <w:spacing w:line="430" w:lineRule="exact"/>
        <w:ind w:firstLine="420" w:firstLineChars="200"/>
        <w:rPr>
          <w:rFonts w:ascii="宋体" w:hAnsi="宋体"/>
          <w:szCs w:val="21"/>
        </w:rPr>
      </w:pPr>
      <w:r>
        <w:rPr>
          <w:rFonts w:hint="eastAsia" w:ascii="宋体" w:hAnsi="宋体"/>
          <w:szCs w:val="21"/>
        </w:rPr>
        <w:t>（2) ；</w:t>
      </w:r>
    </w:p>
    <w:p>
      <w:pPr>
        <w:adjustRightInd w:val="0"/>
        <w:snapToGrid w:val="0"/>
        <w:spacing w:line="440" w:lineRule="exact"/>
        <w:ind w:firstLine="420" w:firstLineChars="200"/>
        <w:rPr>
          <w:rFonts w:ascii="宋体" w:hAnsi="宋体"/>
          <w:szCs w:val="21"/>
        </w:rPr>
      </w:pPr>
      <w:r>
        <w:rPr>
          <w:rFonts w:hint="eastAsia" w:ascii="宋体" w:hAnsi="宋体"/>
          <w:szCs w:val="21"/>
        </w:rPr>
        <w:t>（3) ；</w:t>
      </w:r>
    </w:p>
    <w:p>
      <w:pPr>
        <w:adjustRightInd w:val="0"/>
        <w:snapToGrid w:val="0"/>
        <w:spacing w:line="440" w:lineRule="exact"/>
        <w:ind w:firstLine="420" w:firstLineChars="200"/>
        <w:rPr>
          <w:rFonts w:ascii="宋体" w:hAnsi="宋体"/>
          <w:szCs w:val="21"/>
        </w:rPr>
      </w:pPr>
      <w:r>
        <w:rPr>
          <w:rFonts w:hint="eastAsia" w:ascii="宋体" w:hAnsi="宋体"/>
          <w:szCs w:val="21"/>
        </w:rPr>
        <w:t>（4) ；</w:t>
      </w:r>
    </w:p>
    <w:p>
      <w:pPr>
        <w:adjustRightInd w:val="0"/>
        <w:snapToGrid w:val="0"/>
        <w:spacing w:line="440" w:lineRule="exact"/>
        <w:ind w:firstLine="420" w:firstLineChars="200"/>
        <w:rPr>
          <w:rFonts w:ascii="宋体" w:hAnsi="宋体"/>
          <w:szCs w:val="21"/>
        </w:rPr>
      </w:pPr>
      <w:r>
        <w:rPr>
          <w:rFonts w:hint="eastAsia" w:ascii="宋体" w:hAnsi="宋体"/>
          <w:szCs w:val="21"/>
        </w:rPr>
        <w:t>（5) ；</w:t>
      </w:r>
    </w:p>
    <w:p>
      <w:pPr>
        <w:adjustRightInd w:val="0"/>
        <w:snapToGrid w:val="0"/>
        <w:spacing w:line="440" w:lineRule="exact"/>
        <w:ind w:firstLine="525" w:firstLineChars="250"/>
        <w:rPr>
          <w:rFonts w:ascii="宋体" w:hAnsi="宋体"/>
          <w:szCs w:val="21"/>
        </w:rPr>
      </w:pPr>
      <w:r>
        <w:rPr>
          <w:rFonts w:hint="eastAsia" w:ascii="宋体" w:hAnsi="宋体"/>
          <w:szCs w:val="21"/>
        </w:rPr>
        <w:t>…………</w:t>
      </w:r>
    </w:p>
    <w:p>
      <w:pPr>
        <w:adjustRightInd w:val="0"/>
        <w:snapToGrid w:val="0"/>
        <w:spacing w:before="62" w:beforeLines="20" w:line="440" w:lineRule="exact"/>
        <w:ind w:firstLine="420" w:firstLineChars="200"/>
        <w:rPr>
          <w:rFonts w:ascii="宋体" w:hAnsi="宋体"/>
          <w:szCs w:val="21"/>
        </w:rPr>
      </w:pPr>
      <w:r>
        <w:rPr>
          <w:rFonts w:hint="eastAsia" w:ascii="黑体" w:hAnsi="宋体" w:eastAsia="黑体"/>
          <w:szCs w:val="21"/>
        </w:rPr>
        <w:t>A4.</w:t>
      </w:r>
      <w:r>
        <w:rPr>
          <w:rFonts w:ascii="黑体" w:hAnsi="宋体" w:eastAsia="黑体"/>
          <w:szCs w:val="21"/>
        </w:rPr>
        <w:t>5</w:t>
      </w:r>
      <w:r>
        <w:rPr>
          <w:rFonts w:hint="eastAsia" w:ascii="黑体" w:hAnsi="宋体" w:eastAsia="黑体"/>
          <w:szCs w:val="21"/>
        </w:rPr>
        <w:t xml:space="preserve">.2 </w:t>
      </w:r>
      <w:r>
        <w:rPr>
          <w:rFonts w:hint="eastAsia" w:ascii="宋体" w:hAnsi="宋体"/>
          <w:szCs w:val="21"/>
        </w:rPr>
        <w:t>按照评标办法前附表中规定的方法，分别计算各个分项投标报价“评标基准价”。</w:t>
      </w:r>
    </w:p>
    <w:p>
      <w:pPr>
        <w:adjustRightInd w:val="0"/>
        <w:snapToGrid w:val="0"/>
        <w:spacing w:before="62" w:beforeLines="20" w:line="440" w:lineRule="exact"/>
        <w:ind w:firstLine="420" w:firstLineChars="200"/>
        <w:rPr>
          <w:rFonts w:ascii="宋体" w:hAnsi="宋体"/>
          <w:szCs w:val="21"/>
        </w:rPr>
      </w:pPr>
      <w:r>
        <w:rPr>
          <w:rFonts w:hint="eastAsia" w:ascii="黑体" w:hAnsi="宋体" w:eastAsia="黑体"/>
          <w:szCs w:val="21"/>
        </w:rPr>
        <w:t>A4.</w:t>
      </w:r>
      <w:r>
        <w:rPr>
          <w:rFonts w:ascii="黑体" w:hAnsi="宋体" w:eastAsia="黑体"/>
          <w:szCs w:val="21"/>
        </w:rPr>
        <w:t>5</w:t>
      </w:r>
      <w:r>
        <w:rPr>
          <w:rFonts w:hint="eastAsia" w:ascii="黑体" w:hAnsi="宋体" w:eastAsia="黑体"/>
          <w:szCs w:val="21"/>
        </w:rPr>
        <w:t>.3</w:t>
      </w:r>
      <w:r>
        <w:rPr>
          <w:rFonts w:hint="eastAsia" w:ascii="宋体" w:hAnsi="宋体"/>
          <w:szCs w:val="21"/>
        </w:rPr>
        <w:t>按照评标办法前附表中规定的方法，分别计算各个分项投标报价与对应的分项投标报价评标基准价之间的偏差率。</w:t>
      </w:r>
    </w:p>
    <w:p>
      <w:pPr>
        <w:adjustRightInd w:val="0"/>
        <w:snapToGrid w:val="0"/>
        <w:spacing w:before="62" w:beforeLines="20" w:line="440" w:lineRule="exact"/>
        <w:ind w:firstLine="420" w:firstLineChars="200"/>
        <w:rPr>
          <w:rFonts w:ascii="宋体" w:hAnsi="宋体"/>
          <w:szCs w:val="21"/>
        </w:rPr>
      </w:pPr>
      <w:r>
        <w:rPr>
          <w:rFonts w:hint="eastAsia" w:ascii="黑体" w:hAnsi="宋体" w:eastAsia="黑体"/>
          <w:szCs w:val="21"/>
        </w:rPr>
        <w:t>A4.</w:t>
      </w:r>
      <w:r>
        <w:rPr>
          <w:rFonts w:ascii="黑体" w:hAnsi="宋体" w:eastAsia="黑体"/>
          <w:szCs w:val="21"/>
        </w:rPr>
        <w:t>5</w:t>
      </w:r>
      <w:r>
        <w:rPr>
          <w:rFonts w:hint="eastAsia" w:ascii="黑体" w:hAnsi="宋体" w:eastAsia="黑体"/>
          <w:szCs w:val="21"/>
        </w:rPr>
        <w:t>.4</w:t>
      </w:r>
      <w:r>
        <w:rPr>
          <w:rFonts w:hint="eastAsia" w:ascii="宋体" w:hAnsi="宋体"/>
          <w:szCs w:val="21"/>
        </w:rPr>
        <w:t>按照评标办法前附表中规定的评分标准，对照分项投标报价的偏差率，分别对各个分项投标报价进行评分，汇总各个分项投标报价的得分，使用</w:t>
      </w:r>
      <w:r>
        <w:rPr>
          <w:rFonts w:hint="eastAsia" w:ascii="宋体" w:hAnsi="宋体"/>
          <w:b/>
          <w:szCs w:val="21"/>
        </w:rPr>
        <w:t>附表A-</w:t>
      </w:r>
      <w:r>
        <w:rPr>
          <w:rFonts w:ascii="宋体" w:hAnsi="宋体"/>
          <w:b/>
          <w:szCs w:val="21"/>
        </w:rPr>
        <w:t>5</w:t>
      </w:r>
      <w:r>
        <w:rPr>
          <w:rFonts w:hint="eastAsia" w:ascii="宋体" w:hAnsi="宋体"/>
          <w:szCs w:val="21"/>
        </w:rPr>
        <w:t>记录对各个投标报价的评分结果，投标报价的得分记录为C。</w:t>
      </w:r>
    </w:p>
    <w:p>
      <w:pPr>
        <w:adjustRightInd w:val="0"/>
        <w:snapToGrid w:val="0"/>
        <w:spacing w:line="440" w:lineRule="exact"/>
        <w:rPr>
          <w:rFonts w:ascii="宋体" w:hAnsi="宋体"/>
          <w:b/>
          <w:szCs w:val="21"/>
        </w:rPr>
      </w:pPr>
      <w:r>
        <w:rPr>
          <w:rFonts w:hint="eastAsia" w:ascii="黑体" w:hAnsi="宋体" w:eastAsia="黑体"/>
          <w:b/>
          <w:szCs w:val="21"/>
        </w:rPr>
        <w:t xml:space="preserve">A4.7  </w:t>
      </w:r>
      <w:r>
        <w:rPr>
          <w:rFonts w:hint="eastAsia" w:ascii="宋体" w:hAnsi="宋体"/>
          <w:b/>
          <w:szCs w:val="21"/>
        </w:rPr>
        <w:t>澄清、说明或补正</w:t>
      </w:r>
    </w:p>
    <w:p>
      <w:pPr>
        <w:adjustRightInd w:val="0"/>
        <w:snapToGrid w:val="0"/>
        <w:spacing w:line="440" w:lineRule="exact"/>
        <w:ind w:firstLine="420" w:firstLineChars="200"/>
        <w:rPr>
          <w:rFonts w:ascii="宋体" w:hAnsi="宋体"/>
          <w:szCs w:val="21"/>
        </w:rPr>
      </w:pPr>
      <w:r>
        <w:rPr>
          <w:rFonts w:hint="eastAsia" w:ascii="宋体" w:hAnsi="宋体"/>
          <w:szCs w:val="21"/>
        </w:rPr>
        <w:t>在详细评审过程中，评标委员会应当就投标文件中不明确的内容要求投标人进行澄清、说明或者补正。投标人对此以书面形式予以澄清、说明或者补正。澄清、说明或补正根据本章第3.3款的规定执行。</w:t>
      </w:r>
    </w:p>
    <w:p>
      <w:pPr>
        <w:adjustRightInd w:val="0"/>
        <w:snapToGrid w:val="0"/>
        <w:spacing w:line="440" w:lineRule="exact"/>
        <w:rPr>
          <w:rFonts w:ascii="宋体" w:hAnsi="宋体"/>
          <w:b/>
          <w:szCs w:val="21"/>
        </w:rPr>
      </w:pPr>
      <w:r>
        <w:rPr>
          <w:rFonts w:hint="eastAsia" w:ascii="黑体" w:hAnsi="宋体" w:eastAsia="黑体"/>
          <w:b/>
          <w:szCs w:val="21"/>
        </w:rPr>
        <w:t xml:space="preserve">A4.8  </w:t>
      </w:r>
      <w:r>
        <w:rPr>
          <w:rFonts w:hint="eastAsia" w:ascii="宋体" w:hAnsi="宋体"/>
          <w:b/>
          <w:szCs w:val="21"/>
        </w:rPr>
        <w:t>汇总评分结果</w:t>
      </w:r>
    </w:p>
    <w:p>
      <w:pPr>
        <w:adjustRightInd w:val="0"/>
        <w:snapToGrid w:val="0"/>
        <w:spacing w:line="440" w:lineRule="exact"/>
        <w:ind w:firstLine="420" w:firstLineChars="200"/>
        <w:rPr>
          <w:rFonts w:ascii="宋体" w:hAnsi="宋体"/>
          <w:szCs w:val="21"/>
        </w:rPr>
      </w:pPr>
      <w:r>
        <w:rPr>
          <w:rFonts w:ascii="宋体" w:hAnsi="宋体"/>
          <w:szCs w:val="21"/>
        </w:rPr>
        <w:t>由电子评标系统辅助完成汇总并按得分高低排序。</w:t>
      </w:r>
    </w:p>
    <w:p>
      <w:pPr>
        <w:adjustRightInd w:val="0"/>
        <w:snapToGrid w:val="0"/>
        <w:spacing w:before="62" w:beforeLines="20" w:line="440" w:lineRule="exact"/>
        <w:rPr>
          <w:rFonts w:ascii="宋体" w:hAnsi="宋体"/>
          <w:b/>
          <w:szCs w:val="21"/>
        </w:rPr>
      </w:pPr>
      <w:r>
        <w:rPr>
          <w:rFonts w:hint="eastAsia" w:ascii="黑体" w:hAnsi="宋体" w:eastAsia="黑体"/>
          <w:b/>
          <w:szCs w:val="21"/>
        </w:rPr>
        <w:t xml:space="preserve">A5. </w:t>
      </w:r>
      <w:r>
        <w:rPr>
          <w:rFonts w:hint="eastAsia" w:ascii="宋体" w:hAnsi="宋体"/>
          <w:b/>
          <w:szCs w:val="21"/>
        </w:rPr>
        <w:t xml:space="preserve"> 推荐中标候选人或者直接确定中标人</w:t>
      </w:r>
    </w:p>
    <w:p>
      <w:pPr>
        <w:adjustRightInd w:val="0"/>
        <w:snapToGrid w:val="0"/>
        <w:spacing w:line="440" w:lineRule="exact"/>
        <w:rPr>
          <w:rFonts w:ascii="宋体" w:hAnsi="宋体"/>
          <w:b/>
          <w:szCs w:val="21"/>
        </w:rPr>
      </w:pPr>
      <w:r>
        <w:rPr>
          <w:rFonts w:hint="eastAsia" w:ascii="黑体" w:hAnsi="宋体" w:eastAsia="黑体"/>
          <w:b/>
          <w:szCs w:val="21"/>
        </w:rPr>
        <w:t xml:space="preserve">A5.1  </w:t>
      </w:r>
      <w:r>
        <w:rPr>
          <w:rFonts w:hint="eastAsia" w:ascii="宋体" w:hAnsi="宋体"/>
          <w:b/>
          <w:szCs w:val="21"/>
        </w:rPr>
        <w:t>推荐中标候选人</w:t>
      </w:r>
    </w:p>
    <w:p>
      <w:pPr>
        <w:adjustRightInd w:val="0"/>
        <w:snapToGrid w:val="0"/>
        <w:spacing w:line="440" w:lineRule="exact"/>
        <w:ind w:firstLine="420" w:firstLineChars="200"/>
        <w:rPr>
          <w:rFonts w:ascii="宋体" w:hAnsi="宋体"/>
          <w:szCs w:val="21"/>
        </w:rPr>
      </w:pPr>
      <w:r>
        <w:rPr>
          <w:rFonts w:hint="eastAsia" w:ascii="黑体" w:hAnsi="宋体" w:eastAsia="黑体"/>
          <w:szCs w:val="21"/>
        </w:rPr>
        <w:t>A5.1.1</w:t>
      </w:r>
      <w:r>
        <w:rPr>
          <w:rFonts w:hint="eastAsia" w:ascii="宋体" w:hAnsi="宋体"/>
          <w:szCs w:val="21"/>
        </w:rPr>
        <w:t xml:space="preserve">  除第二章“投标人须知”前附表第7．1款授权直接确定中标人外，评标委员会在推荐中标候选人时，应遵照以下原则:</w:t>
      </w:r>
    </w:p>
    <w:p>
      <w:pPr>
        <w:ind w:firstLine="420" w:firstLineChars="200"/>
      </w:pPr>
      <w:r>
        <w:rPr>
          <w:rFonts w:hint="eastAsia"/>
        </w:rPr>
        <w:t>(1)  评标委员会按照最终得分由高至低的次序排列，并根据第二章“投标人须知”前附表第7.1款规定的中标候选人数量，将排序在前的投标人推荐为中标候选人。</w:t>
      </w:r>
    </w:p>
    <w:p>
      <w:pPr>
        <w:ind w:firstLine="420" w:firstLineChars="200"/>
      </w:pPr>
      <w:r>
        <w:rPr>
          <w:rFonts w:hint="eastAsia"/>
        </w:rPr>
        <w:t>(2)  如果评标委员会根据本章的规定作废标处理后，有效投标不足三个，且少于第二章“投标人须知”前附表第7.1款规定的中标候选人数量的，则评标委员会可以将所有有效投标按最终得分由高至低的次序作为中标候选人向招标人推荐。如果因有效投标不足三个使得投标明显缺乏竞争的，评标委员会可以建议招标人重新招标。</w:t>
      </w:r>
    </w:p>
    <w:p>
      <w:pPr>
        <w:adjustRightInd w:val="0"/>
        <w:snapToGrid w:val="0"/>
        <w:spacing w:line="441" w:lineRule="exact"/>
        <w:ind w:firstLine="420" w:firstLineChars="200"/>
        <w:rPr>
          <w:rFonts w:ascii="宋体" w:hAnsi="宋体"/>
          <w:szCs w:val="21"/>
        </w:rPr>
      </w:pPr>
      <w:r>
        <w:rPr>
          <w:rFonts w:hint="eastAsia" w:ascii="黑体" w:hAnsi="宋体" w:eastAsia="黑体"/>
          <w:szCs w:val="21"/>
        </w:rPr>
        <w:t xml:space="preserve">A5.2.2  </w:t>
      </w:r>
      <w:r>
        <w:rPr>
          <w:rFonts w:hint="eastAsia" w:ascii="宋体" w:hAnsi="宋体"/>
          <w:szCs w:val="21"/>
        </w:rPr>
        <w:t>投标人数量少于三个或者所有投标被否决的，招标人应当依法重新招标。</w:t>
      </w:r>
    </w:p>
    <w:p>
      <w:pPr>
        <w:adjustRightInd w:val="0"/>
        <w:snapToGrid w:val="0"/>
        <w:spacing w:before="62" w:beforeLines="20" w:after="62" w:afterLines="20" w:line="441" w:lineRule="exact"/>
        <w:rPr>
          <w:rFonts w:ascii="宋体" w:hAnsi="宋体"/>
          <w:b/>
          <w:szCs w:val="21"/>
        </w:rPr>
      </w:pPr>
      <w:r>
        <w:rPr>
          <w:rFonts w:hint="eastAsia" w:ascii="黑体" w:hAnsi="宋体" w:eastAsia="黑体"/>
          <w:b/>
          <w:szCs w:val="21"/>
        </w:rPr>
        <w:t>A5.2</w:t>
      </w:r>
      <w:r>
        <w:rPr>
          <w:rFonts w:hint="eastAsia" w:ascii="宋体" w:hAnsi="宋体"/>
          <w:b/>
          <w:szCs w:val="21"/>
        </w:rPr>
        <w:t>直接确定中标人</w:t>
      </w:r>
    </w:p>
    <w:p>
      <w:pPr>
        <w:adjustRightInd w:val="0"/>
        <w:snapToGrid w:val="0"/>
        <w:spacing w:line="441" w:lineRule="exact"/>
        <w:ind w:firstLine="420" w:firstLineChars="200"/>
        <w:rPr>
          <w:rFonts w:ascii="宋体" w:hAnsi="宋体"/>
          <w:szCs w:val="21"/>
        </w:rPr>
      </w:pPr>
      <w:r>
        <w:rPr>
          <w:rFonts w:hint="eastAsia" w:ascii="宋体" w:hAnsi="宋体"/>
          <w:szCs w:val="21"/>
        </w:rPr>
        <w:t>第二章“投标人须知”前附表授权评标委员会直接确定中标人的，评标委员会按照最终得分由高至低的次序排列，并确定排名第一的投标人为中标人。</w:t>
      </w:r>
    </w:p>
    <w:p>
      <w:pPr>
        <w:adjustRightInd w:val="0"/>
        <w:snapToGrid w:val="0"/>
        <w:spacing w:before="62" w:beforeLines="20" w:after="62" w:afterLines="20" w:line="441" w:lineRule="exact"/>
        <w:rPr>
          <w:rFonts w:ascii="宋体" w:hAnsi="宋体"/>
          <w:b/>
          <w:szCs w:val="21"/>
        </w:rPr>
      </w:pPr>
      <w:r>
        <w:rPr>
          <w:rFonts w:hint="eastAsia" w:ascii="黑体" w:hAnsi="宋体" w:eastAsia="黑体"/>
          <w:b/>
          <w:szCs w:val="21"/>
        </w:rPr>
        <w:t>A5．3</w:t>
      </w:r>
      <w:r>
        <w:rPr>
          <w:rFonts w:hint="eastAsia" w:ascii="宋体" w:hAnsi="宋体"/>
          <w:b/>
          <w:szCs w:val="21"/>
        </w:rPr>
        <w:t>编制评标报告</w:t>
      </w:r>
    </w:p>
    <w:p>
      <w:pPr>
        <w:adjustRightInd w:val="0"/>
        <w:snapToGrid w:val="0"/>
        <w:spacing w:line="441" w:lineRule="exact"/>
        <w:ind w:firstLine="420" w:firstLineChars="200"/>
        <w:rPr>
          <w:rFonts w:ascii="宋体" w:hAnsi="宋体"/>
          <w:szCs w:val="21"/>
        </w:rPr>
      </w:pPr>
      <w:r>
        <w:rPr>
          <w:rFonts w:hint="eastAsia" w:ascii="宋体" w:hAnsi="宋体"/>
          <w:szCs w:val="21"/>
        </w:rPr>
        <w:t>评标委员会根据本章第3.4.2项的规定向招标人提交评标报告。评标报告应当由全体评标委员会成员签字，并于评标结束时抄送有关行政监督部门。评标报告应当包括以下内容：</w:t>
      </w:r>
    </w:p>
    <w:p>
      <w:pPr>
        <w:adjustRightInd w:val="0"/>
        <w:snapToGrid w:val="0"/>
        <w:spacing w:before="93" w:beforeLines="30" w:line="441" w:lineRule="exact"/>
        <w:ind w:firstLine="420" w:firstLineChars="200"/>
        <w:rPr>
          <w:rFonts w:ascii="宋体" w:hAnsi="宋体"/>
          <w:szCs w:val="21"/>
        </w:rPr>
      </w:pPr>
      <w:r>
        <w:rPr>
          <w:rFonts w:hint="eastAsia" w:ascii="宋体" w:hAnsi="宋体"/>
          <w:szCs w:val="21"/>
        </w:rPr>
        <w:t>（</w:t>
      </w:r>
      <w:r>
        <w:rPr>
          <w:rFonts w:hint="eastAsia" w:ascii="黑体" w:hAnsi="宋体" w:eastAsia="黑体"/>
          <w:szCs w:val="21"/>
        </w:rPr>
        <w:t>1</w:t>
      </w:r>
      <w:r>
        <w:rPr>
          <w:rFonts w:hint="eastAsia" w:ascii="宋体" w:hAnsi="宋体"/>
          <w:szCs w:val="21"/>
        </w:rPr>
        <w:t>）基本情况和数据表；</w:t>
      </w:r>
    </w:p>
    <w:p>
      <w:pPr>
        <w:adjustRightInd w:val="0"/>
        <w:snapToGrid w:val="0"/>
        <w:spacing w:before="93" w:beforeLines="30" w:line="441" w:lineRule="exact"/>
        <w:ind w:firstLine="420" w:firstLineChars="200"/>
        <w:rPr>
          <w:rFonts w:ascii="宋体" w:hAnsi="宋体"/>
          <w:szCs w:val="21"/>
        </w:rPr>
      </w:pPr>
      <w:r>
        <w:rPr>
          <w:rFonts w:hint="eastAsia" w:ascii="宋体" w:hAnsi="宋体"/>
          <w:szCs w:val="21"/>
        </w:rPr>
        <w:t>（</w:t>
      </w:r>
      <w:r>
        <w:rPr>
          <w:rFonts w:hint="eastAsia" w:ascii="黑体" w:hAnsi="宋体" w:eastAsia="黑体"/>
          <w:szCs w:val="21"/>
        </w:rPr>
        <w:t>2</w:t>
      </w:r>
      <w:r>
        <w:rPr>
          <w:rFonts w:hint="eastAsia" w:ascii="宋体" w:hAnsi="宋体"/>
          <w:szCs w:val="21"/>
        </w:rPr>
        <w:t>）评标委员会成员名单；</w:t>
      </w:r>
    </w:p>
    <w:p>
      <w:pPr>
        <w:adjustRightInd w:val="0"/>
        <w:snapToGrid w:val="0"/>
        <w:spacing w:before="93" w:beforeLines="30" w:line="441" w:lineRule="exact"/>
        <w:ind w:firstLine="420" w:firstLineChars="200"/>
        <w:rPr>
          <w:rFonts w:ascii="宋体" w:hAnsi="宋体"/>
          <w:szCs w:val="21"/>
        </w:rPr>
      </w:pPr>
      <w:r>
        <w:rPr>
          <w:rFonts w:hint="eastAsia" w:ascii="宋体" w:hAnsi="宋体"/>
          <w:szCs w:val="21"/>
        </w:rPr>
        <w:t>（</w:t>
      </w:r>
      <w:r>
        <w:rPr>
          <w:rFonts w:hint="eastAsia" w:ascii="黑体" w:hAnsi="宋体" w:eastAsia="黑体"/>
          <w:szCs w:val="21"/>
        </w:rPr>
        <w:t>3</w:t>
      </w:r>
      <w:r>
        <w:rPr>
          <w:rFonts w:hint="eastAsia" w:ascii="宋体" w:hAnsi="宋体"/>
          <w:szCs w:val="21"/>
        </w:rPr>
        <w:t>）开标记录；</w:t>
      </w:r>
    </w:p>
    <w:p>
      <w:pPr>
        <w:adjustRightInd w:val="0"/>
        <w:snapToGrid w:val="0"/>
        <w:spacing w:before="93" w:beforeLines="30" w:line="441" w:lineRule="exact"/>
        <w:ind w:firstLine="420" w:firstLineChars="200"/>
        <w:rPr>
          <w:rFonts w:ascii="宋体" w:hAnsi="宋体"/>
          <w:szCs w:val="21"/>
        </w:rPr>
      </w:pPr>
      <w:r>
        <w:rPr>
          <w:rFonts w:hint="eastAsia" w:ascii="宋体" w:hAnsi="宋体"/>
          <w:szCs w:val="21"/>
        </w:rPr>
        <w:t>（</w:t>
      </w:r>
      <w:r>
        <w:rPr>
          <w:rFonts w:hint="eastAsia" w:ascii="黑体" w:hAnsi="宋体" w:eastAsia="黑体"/>
          <w:szCs w:val="21"/>
        </w:rPr>
        <w:t>4</w:t>
      </w:r>
      <w:r>
        <w:rPr>
          <w:rFonts w:hint="eastAsia" w:ascii="宋体" w:hAnsi="宋体"/>
          <w:szCs w:val="21"/>
        </w:rPr>
        <w:t>）符合要求的投标一览表；</w:t>
      </w:r>
    </w:p>
    <w:p>
      <w:pPr>
        <w:adjustRightInd w:val="0"/>
        <w:snapToGrid w:val="0"/>
        <w:spacing w:before="93" w:beforeLines="30" w:line="441" w:lineRule="exact"/>
        <w:ind w:firstLine="420" w:firstLineChars="200"/>
        <w:rPr>
          <w:rFonts w:ascii="宋体" w:hAnsi="宋体"/>
          <w:szCs w:val="21"/>
        </w:rPr>
      </w:pPr>
      <w:r>
        <w:rPr>
          <w:rFonts w:hint="eastAsia" w:ascii="宋体" w:hAnsi="宋体"/>
          <w:szCs w:val="21"/>
        </w:rPr>
        <w:t>（</w:t>
      </w:r>
      <w:r>
        <w:rPr>
          <w:rFonts w:hint="eastAsia" w:ascii="黑体" w:hAnsi="宋体" w:eastAsia="黑体"/>
          <w:szCs w:val="21"/>
        </w:rPr>
        <w:t>5</w:t>
      </w:r>
      <w:r>
        <w:rPr>
          <w:rFonts w:hint="eastAsia" w:ascii="宋体" w:hAnsi="宋体"/>
          <w:szCs w:val="21"/>
        </w:rPr>
        <w:t>）废标情况说明；</w:t>
      </w:r>
    </w:p>
    <w:p>
      <w:pPr>
        <w:adjustRightInd w:val="0"/>
        <w:snapToGrid w:val="0"/>
        <w:spacing w:before="93" w:beforeLines="30" w:line="441" w:lineRule="exact"/>
        <w:ind w:firstLine="420" w:firstLineChars="200"/>
        <w:rPr>
          <w:rFonts w:ascii="宋体" w:hAnsi="宋体"/>
          <w:szCs w:val="21"/>
        </w:rPr>
      </w:pPr>
      <w:r>
        <w:rPr>
          <w:rFonts w:hint="eastAsia" w:ascii="宋体" w:hAnsi="宋体"/>
          <w:szCs w:val="21"/>
        </w:rPr>
        <w:t>（</w:t>
      </w:r>
      <w:r>
        <w:rPr>
          <w:rFonts w:hint="eastAsia" w:ascii="黑体" w:hAnsi="宋体" w:eastAsia="黑体"/>
          <w:szCs w:val="21"/>
        </w:rPr>
        <w:t>6</w:t>
      </w:r>
      <w:r>
        <w:rPr>
          <w:rFonts w:hint="eastAsia" w:ascii="宋体" w:hAnsi="宋体"/>
          <w:szCs w:val="21"/>
        </w:rPr>
        <w:t>）评标标准、评标方法或者评标因素一览表；</w:t>
      </w:r>
    </w:p>
    <w:p>
      <w:pPr>
        <w:adjustRightInd w:val="0"/>
        <w:snapToGrid w:val="0"/>
        <w:spacing w:before="93" w:beforeLines="30" w:line="441" w:lineRule="exact"/>
        <w:ind w:firstLine="420" w:firstLineChars="200"/>
        <w:rPr>
          <w:rFonts w:ascii="宋体" w:hAnsi="宋体"/>
          <w:szCs w:val="21"/>
        </w:rPr>
      </w:pPr>
      <w:r>
        <w:rPr>
          <w:rFonts w:hint="eastAsia" w:ascii="宋体" w:hAnsi="宋体"/>
          <w:szCs w:val="21"/>
        </w:rPr>
        <w:t>（</w:t>
      </w:r>
      <w:r>
        <w:rPr>
          <w:rFonts w:hint="eastAsia" w:ascii="黑体" w:hAnsi="宋体" w:eastAsia="黑体"/>
          <w:szCs w:val="21"/>
        </w:rPr>
        <w:t>7</w:t>
      </w:r>
      <w:r>
        <w:rPr>
          <w:rFonts w:hint="eastAsia" w:ascii="宋体" w:hAnsi="宋体"/>
          <w:szCs w:val="21"/>
        </w:rPr>
        <w:t>）经评审的价格一览表(包括评标委员会在评标过程中所形成的所有记载评标结果、结论的表格、说明、记录等文件)；</w:t>
      </w:r>
    </w:p>
    <w:p>
      <w:pPr>
        <w:adjustRightInd w:val="0"/>
        <w:snapToGrid w:val="0"/>
        <w:spacing w:before="93" w:beforeLines="30" w:line="441" w:lineRule="exact"/>
        <w:ind w:firstLine="420" w:firstLineChars="200"/>
        <w:rPr>
          <w:rFonts w:ascii="宋体" w:hAnsi="宋体"/>
          <w:szCs w:val="21"/>
        </w:rPr>
      </w:pPr>
      <w:r>
        <w:rPr>
          <w:rFonts w:hint="eastAsia" w:ascii="宋体" w:hAnsi="宋体"/>
          <w:szCs w:val="21"/>
        </w:rPr>
        <w:t>（</w:t>
      </w:r>
      <w:r>
        <w:rPr>
          <w:rFonts w:hint="eastAsia" w:ascii="黑体" w:hAnsi="宋体" w:eastAsia="黑体"/>
          <w:szCs w:val="21"/>
        </w:rPr>
        <w:t>8</w:t>
      </w:r>
      <w:r>
        <w:rPr>
          <w:rFonts w:hint="eastAsia" w:ascii="宋体" w:hAnsi="宋体"/>
          <w:szCs w:val="21"/>
        </w:rPr>
        <w:t>）经评审的投标人排序；</w:t>
      </w:r>
    </w:p>
    <w:p>
      <w:pPr>
        <w:adjustRightInd w:val="0"/>
        <w:snapToGrid w:val="0"/>
        <w:spacing w:before="93" w:beforeLines="30" w:line="441" w:lineRule="exact"/>
        <w:ind w:firstLine="420" w:firstLineChars="200"/>
        <w:rPr>
          <w:rFonts w:ascii="宋体" w:hAnsi="宋体"/>
          <w:szCs w:val="21"/>
        </w:rPr>
      </w:pPr>
      <w:r>
        <w:rPr>
          <w:rFonts w:hint="eastAsia" w:ascii="宋体" w:hAnsi="宋体"/>
          <w:szCs w:val="21"/>
        </w:rPr>
        <w:t>（</w:t>
      </w:r>
      <w:r>
        <w:rPr>
          <w:rFonts w:hint="eastAsia" w:ascii="黑体" w:hAnsi="宋体" w:eastAsia="黑体"/>
          <w:szCs w:val="21"/>
        </w:rPr>
        <w:t>9</w:t>
      </w:r>
      <w:r>
        <w:rPr>
          <w:rFonts w:hint="eastAsia" w:ascii="宋体" w:hAnsi="宋体"/>
          <w:szCs w:val="21"/>
        </w:rPr>
        <w:t>）推荐的中标候选人名单(如果第二章“投标人须知”前附表授权评标委员会直接确定中标人，则为“确定的中标人”)与签订合同前要处理的事宜；</w:t>
      </w:r>
    </w:p>
    <w:p>
      <w:pPr>
        <w:adjustRightInd w:val="0"/>
        <w:snapToGrid w:val="0"/>
        <w:spacing w:before="93" w:beforeLines="30" w:line="441" w:lineRule="exact"/>
        <w:ind w:firstLine="420" w:firstLineChars="200"/>
        <w:rPr>
          <w:rFonts w:ascii="宋体" w:hAnsi="宋体"/>
          <w:szCs w:val="21"/>
        </w:rPr>
      </w:pPr>
      <w:r>
        <w:rPr>
          <w:rFonts w:hint="eastAsia" w:ascii="宋体" w:hAnsi="宋体"/>
          <w:szCs w:val="21"/>
        </w:rPr>
        <w:t>（</w:t>
      </w:r>
      <w:r>
        <w:rPr>
          <w:rFonts w:hint="eastAsia" w:ascii="黑体" w:hAnsi="宋体" w:eastAsia="黑体"/>
          <w:szCs w:val="21"/>
        </w:rPr>
        <w:t>10</w:t>
      </w:r>
      <w:r>
        <w:rPr>
          <w:rFonts w:hint="eastAsia" w:ascii="宋体" w:hAnsi="宋体"/>
          <w:szCs w:val="21"/>
        </w:rPr>
        <w:t>）澄清、说明、补正事项纪要。</w:t>
      </w:r>
    </w:p>
    <w:p>
      <w:pPr>
        <w:adjustRightInd w:val="0"/>
        <w:snapToGrid w:val="0"/>
        <w:spacing w:before="62" w:beforeLines="20" w:after="62" w:afterLines="20" w:line="441" w:lineRule="exact"/>
        <w:rPr>
          <w:rFonts w:ascii="宋体" w:hAnsi="宋体"/>
          <w:b/>
          <w:szCs w:val="21"/>
        </w:rPr>
      </w:pPr>
      <w:r>
        <w:rPr>
          <w:rFonts w:hint="eastAsia" w:ascii="黑体" w:hAnsi="宋体" w:eastAsia="黑体"/>
          <w:b/>
          <w:szCs w:val="21"/>
        </w:rPr>
        <w:t>A6．</w:t>
      </w:r>
      <w:r>
        <w:rPr>
          <w:rFonts w:hint="eastAsia" w:ascii="宋体" w:hAnsi="宋体"/>
          <w:b/>
          <w:szCs w:val="21"/>
        </w:rPr>
        <w:t>特殊情况的处置程序</w:t>
      </w:r>
    </w:p>
    <w:p>
      <w:pPr>
        <w:adjustRightInd w:val="0"/>
        <w:snapToGrid w:val="0"/>
        <w:spacing w:before="62" w:beforeLines="20" w:after="62" w:afterLines="20" w:line="440" w:lineRule="exact"/>
        <w:rPr>
          <w:rFonts w:ascii="宋体" w:hAnsi="宋体"/>
          <w:b/>
          <w:szCs w:val="21"/>
        </w:rPr>
      </w:pPr>
      <w:r>
        <w:rPr>
          <w:rFonts w:hint="eastAsia" w:ascii="黑体" w:hAnsi="宋体" w:eastAsia="黑体"/>
          <w:b/>
          <w:szCs w:val="21"/>
        </w:rPr>
        <w:t>A6.</w:t>
      </w:r>
      <w:r>
        <w:rPr>
          <w:rFonts w:ascii="黑体" w:hAnsi="宋体" w:eastAsia="黑体"/>
          <w:b/>
          <w:szCs w:val="21"/>
        </w:rPr>
        <w:t>1</w:t>
      </w:r>
      <w:r>
        <w:rPr>
          <w:rFonts w:hint="eastAsia" w:ascii="宋体" w:hAnsi="宋体"/>
          <w:b/>
          <w:szCs w:val="21"/>
        </w:rPr>
        <w:t>关于评标活动暂停</w:t>
      </w:r>
    </w:p>
    <w:p>
      <w:pPr>
        <w:adjustRightInd w:val="0"/>
        <w:snapToGrid w:val="0"/>
        <w:spacing w:line="440" w:lineRule="exact"/>
        <w:ind w:firstLine="420" w:firstLineChars="200"/>
        <w:rPr>
          <w:rFonts w:ascii="宋体" w:hAnsi="宋体"/>
          <w:szCs w:val="21"/>
        </w:rPr>
      </w:pPr>
      <w:r>
        <w:rPr>
          <w:rFonts w:hint="eastAsia" w:ascii="黑体" w:hAnsi="宋体" w:eastAsia="黑体"/>
          <w:szCs w:val="21"/>
        </w:rPr>
        <w:t>A6.</w:t>
      </w:r>
      <w:r>
        <w:rPr>
          <w:rFonts w:ascii="黑体" w:hAnsi="宋体" w:eastAsia="黑体"/>
          <w:szCs w:val="21"/>
        </w:rPr>
        <w:t>1</w:t>
      </w:r>
      <w:r>
        <w:rPr>
          <w:rFonts w:hint="eastAsia" w:ascii="黑体" w:hAnsi="宋体" w:eastAsia="黑体"/>
          <w:szCs w:val="21"/>
        </w:rPr>
        <w:t>.1</w:t>
      </w:r>
      <w:r>
        <w:rPr>
          <w:rFonts w:hint="eastAsia" w:ascii="宋体" w:hAnsi="宋体"/>
          <w:szCs w:val="21"/>
        </w:rPr>
        <w:t>评标委员会应当执行连续评标的原则，按评标办法中规定的程序、内容、方法、标准完成全部评标工作。只有发生不可抗力导致评标工作无法继续时，评标活动方可暂停。</w:t>
      </w:r>
    </w:p>
    <w:p>
      <w:pPr>
        <w:adjustRightInd w:val="0"/>
        <w:snapToGrid w:val="0"/>
        <w:spacing w:before="62" w:beforeLines="20" w:line="440" w:lineRule="exact"/>
        <w:ind w:firstLine="420" w:firstLineChars="200"/>
        <w:rPr>
          <w:rFonts w:ascii="宋体" w:hAnsi="宋体"/>
          <w:szCs w:val="21"/>
        </w:rPr>
      </w:pPr>
      <w:r>
        <w:rPr>
          <w:rFonts w:hint="eastAsia" w:ascii="黑体" w:hAnsi="宋体" w:eastAsia="黑体"/>
          <w:szCs w:val="21"/>
        </w:rPr>
        <w:t>A6.</w:t>
      </w:r>
      <w:r>
        <w:rPr>
          <w:rFonts w:ascii="黑体" w:hAnsi="宋体" w:eastAsia="黑体"/>
          <w:szCs w:val="21"/>
        </w:rPr>
        <w:t>1</w:t>
      </w:r>
      <w:r>
        <w:rPr>
          <w:rFonts w:hint="eastAsia" w:ascii="黑体" w:hAnsi="宋体" w:eastAsia="黑体"/>
          <w:szCs w:val="21"/>
        </w:rPr>
        <w:t>.2</w:t>
      </w:r>
      <w:r>
        <w:rPr>
          <w:rFonts w:hint="eastAsia" w:ascii="宋体" w:hAnsi="宋体"/>
          <w:szCs w:val="21"/>
        </w:rPr>
        <w:t>发生评标暂停情况时，评标委员会应当封存全部投标文件和评标记录，待不可抗力的影响结束且具备继续评标的条件时，由原评标委员会继续评标。</w:t>
      </w:r>
    </w:p>
    <w:p>
      <w:pPr>
        <w:adjustRightInd w:val="0"/>
        <w:snapToGrid w:val="0"/>
        <w:spacing w:line="440" w:lineRule="exact"/>
        <w:rPr>
          <w:rFonts w:ascii="宋体" w:hAnsi="宋体"/>
          <w:b/>
          <w:szCs w:val="21"/>
        </w:rPr>
      </w:pPr>
      <w:r>
        <w:rPr>
          <w:rFonts w:hint="eastAsia" w:ascii="黑体" w:hAnsi="宋体" w:eastAsia="黑体"/>
          <w:b/>
          <w:szCs w:val="21"/>
        </w:rPr>
        <w:t>A6.</w:t>
      </w:r>
      <w:r>
        <w:rPr>
          <w:rFonts w:ascii="黑体" w:hAnsi="宋体" w:eastAsia="黑体"/>
          <w:b/>
          <w:szCs w:val="21"/>
        </w:rPr>
        <w:t>2</w:t>
      </w:r>
      <w:r>
        <w:rPr>
          <w:rFonts w:hint="eastAsia" w:ascii="宋体" w:hAnsi="宋体"/>
          <w:b/>
          <w:szCs w:val="21"/>
        </w:rPr>
        <w:t xml:space="preserve">  关于评标中途更换评委</w:t>
      </w:r>
    </w:p>
    <w:p>
      <w:pPr>
        <w:adjustRightInd w:val="0"/>
        <w:snapToGrid w:val="0"/>
        <w:spacing w:line="440" w:lineRule="exact"/>
        <w:ind w:firstLine="420" w:firstLineChars="200"/>
        <w:rPr>
          <w:rFonts w:ascii="宋体" w:hAnsi="宋体"/>
          <w:szCs w:val="21"/>
        </w:rPr>
      </w:pPr>
      <w:r>
        <w:rPr>
          <w:rFonts w:hint="eastAsia" w:ascii="黑体" w:hAnsi="宋体" w:eastAsia="黑体"/>
          <w:szCs w:val="21"/>
        </w:rPr>
        <w:t>A6.</w:t>
      </w:r>
      <w:r>
        <w:rPr>
          <w:rFonts w:ascii="黑体" w:hAnsi="宋体" w:eastAsia="黑体"/>
          <w:szCs w:val="21"/>
        </w:rPr>
        <w:t>2</w:t>
      </w:r>
      <w:r>
        <w:rPr>
          <w:rFonts w:hint="eastAsia" w:ascii="黑体" w:hAnsi="宋体" w:eastAsia="黑体"/>
          <w:szCs w:val="21"/>
        </w:rPr>
        <w:t>.1</w:t>
      </w:r>
      <w:r>
        <w:rPr>
          <w:rFonts w:hint="eastAsia" w:ascii="宋体" w:hAnsi="宋体"/>
          <w:szCs w:val="21"/>
        </w:rPr>
        <w:t xml:space="preserve">  除非发生下列情况之一，评标委员会成员不得在评标中途更换：</w:t>
      </w:r>
    </w:p>
    <w:p>
      <w:pPr>
        <w:adjustRightInd w:val="0"/>
        <w:snapToGrid w:val="0"/>
        <w:spacing w:line="440" w:lineRule="exact"/>
        <w:ind w:firstLine="420" w:firstLineChars="200"/>
        <w:rPr>
          <w:rFonts w:ascii="宋体" w:hAnsi="宋体"/>
          <w:szCs w:val="21"/>
        </w:rPr>
      </w:pPr>
      <w:r>
        <w:rPr>
          <w:rFonts w:hint="eastAsia" w:ascii="宋体" w:hAnsi="宋体"/>
          <w:szCs w:val="21"/>
        </w:rPr>
        <w:t>(1) 因不可抗拒的客观原因，不能到场或需在评标中途退出评标活动。</w:t>
      </w:r>
    </w:p>
    <w:p>
      <w:pPr>
        <w:adjustRightInd w:val="0"/>
        <w:snapToGrid w:val="0"/>
        <w:spacing w:line="440" w:lineRule="exact"/>
        <w:ind w:firstLine="420" w:firstLineChars="200"/>
        <w:rPr>
          <w:rFonts w:ascii="宋体" w:hAnsi="宋体"/>
          <w:szCs w:val="21"/>
        </w:rPr>
      </w:pPr>
      <w:r>
        <w:rPr>
          <w:rFonts w:hint="eastAsia" w:ascii="宋体" w:hAnsi="宋体"/>
          <w:szCs w:val="21"/>
        </w:rPr>
        <w:t>(2) 根据法律法规规定，某个或某几个评标委员会成员需要回避。</w:t>
      </w:r>
    </w:p>
    <w:p>
      <w:pPr>
        <w:adjustRightInd w:val="0"/>
        <w:snapToGrid w:val="0"/>
        <w:spacing w:line="440" w:lineRule="exact"/>
        <w:ind w:firstLine="420" w:firstLineChars="200"/>
        <w:rPr>
          <w:rFonts w:ascii="宋体" w:hAnsi="宋体"/>
          <w:szCs w:val="21"/>
        </w:rPr>
      </w:pPr>
      <w:r>
        <w:rPr>
          <w:rFonts w:hint="eastAsia" w:ascii="黑体" w:hAnsi="宋体" w:eastAsia="黑体"/>
          <w:szCs w:val="21"/>
        </w:rPr>
        <w:t>A6.</w:t>
      </w:r>
      <w:r>
        <w:rPr>
          <w:rFonts w:ascii="黑体" w:hAnsi="宋体" w:eastAsia="黑体"/>
          <w:szCs w:val="21"/>
        </w:rPr>
        <w:t>2</w:t>
      </w:r>
      <w:r>
        <w:rPr>
          <w:rFonts w:hint="eastAsia" w:ascii="黑体" w:hAnsi="宋体" w:eastAsia="黑体"/>
          <w:szCs w:val="21"/>
        </w:rPr>
        <w:t>.2</w:t>
      </w:r>
      <w:r>
        <w:rPr>
          <w:rFonts w:hint="eastAsia" w:ascii="宋体" w:hAnsi="宋体"/>
          <w:szCs w:val="21"/>
        </w:rPr>
        <w:t>退出评标的评标委员会成员，其已完成的评标行为无效。由招标人根据本招标文件规定的评标委员会成员生产方式另行确定替代者进行评标。</w:t>
      </w:r>
    </w:p>
    <w:p>
      <w:pPr>
        <w:adjustRightInd w:val="0"/>
        <w:snapToGrid w:val="0"/>
        <w:spacing w:before="62" w:beforeLines="20" w:after="62" w:afterLines="20" w:line="440" w:lineRule="exact"/>
        <w:rPr>
          <w:rFonts w:ascii="宋体" w:hAnsi="宋体"/>
          <w:b/>
          <w:szCs w:val="21"/>
        </w:rPr>
      </w:pPr>
      <w:r>
        <w:rPr>
          <w:rFonts w:hint="eastAsia" w:ascii="黑体" w:hAnsi="宋体" w:eastAsia="黑体"/>
          <w:b/>
          <w:szCs w:val="21"/>
        </w:rPr>
        <w:t>A6.</w:t>
      </w:r>
      <w:r>
        <w:rPr>
          <w:rFonts w:ascii="黑体" w:hAnsi="宋体" w:eastAsia="黑体"/>
          <w:b/>
          <w:szCs w:val="21"/>
        </w:rPr>
        <w:t>3</w:t>
      </w:r>
      <w:r>
        <w:rPr>
          <w:rFonts w:hint="eastAsia" w:ascii="宋体" w:hAnsi="宋体"/>
          <w:b/>
          <w:szCs w:val="21"/>
        </w:rPr>
        <w:t xml:space="preserve"> 记名投票</w:t>
      </w:r>
    </w:p>
    <w:p>
      <w:pPr>
        <w:adjustRightInd w:val="0"/>
        <w:snapToGrid w:val="0"/>
        <w:spacing w:line="440" w:lineRule="exact"/>
        <w:ind w:firstLine="420" w:firstLineChars="200"/>
        <w:rPr>
          <w:rFonts w:ascii="宋体" w:hAnsi="宋体"/>
          <w:szCs w:val="21"/>
        </w:rPr>
      </w:pPr>
      <w:r>
        <w:rPr>
          <w:rFonts w:hint="eastAsia" w:ascii="宋体" w:hAnsi="宋体"/>
          <w:szCs w:val="21"/>
        </w:rPr>
        <w:t>在任何评标环节中，需评标委员会就某项定性的评审结论做出表决的，由评标委员会全体成员按照少数服从多数的原则，以记名投票方式表决。</w:t>
      </w:r>
    </w:p>
    <w:p>
      <w:pPr>
        <w:adjustRightInd w:val="0"/>
        <w:snapToGrid w:val="0"/>
        <w:spacing w:before="62" w:beforeLines="20" w:after="62" w:afterLines="20" w:line="440" w:lineRule="exact"/>
        <w:rPr>
          <w:rFonts w:ascii="宋体" w:hAnsi="宋体"/>
          <w:b/>
          <w:szCs w:val="21"/>
        </w:rPr>
      </w:pPr>
      <w:r>
        <w:rPr>
          <w:rFonts w:hint="eastAsia" w:ascii="黑体" w:hAnsi="宋体" w:eastAsia="黑体"/>
          <w:b/>
          <w:szCs w:val="21"/>
        </w:rPr>
        <w:t>A7</w:t>
      </w:r>
      <w:r>
        <w:rPr>
          <w:rFonts w:hint="eastAsia" w:ascii="宋体" w:hAnsi="宋体"/>
          <w:b/>
          <w:szCs w:val="21"/>
        </w:rPr>
        <w:t>.补充条款</w:t>
      </w:r>
    </w:p>
    <w:p>
      <w:pPr>
        <w:adjustRightInd w:val="0"/>
        <w:snapToGrid w:val="0"/>
        <w:spacing w:before="312" w:beforeLines="100" w:after="312" w:afterLines="100" w:line="440" w:lineRule="exact"/>
        <w:jc w:val="left"/>
        <w:rPr>
          <w:rFonts w:ascii="黑体" w:hAnsi="宋体" w:eastAsia="黑体"/>
          <w:sz w:val="28"/>
          <w:szCs w:val="28"/>
        </w:rPr>
      </w:pPr>
      <w:r>
        <w:rPr>
          <w:rFonts w:ascii="黑体" w:hAnsi="宋体" w:eastAsia="黑体"/>
          <w:sz w:val="28"/>
          <w:szCs w:val="28"/>
        </w:rPr>
        <w:br w:type="page"/>
      </w:r>
    </w:p>
    <w:p>
      <w:pPr>
        <w:adjustRightInd w:val="0"/>
        <w:snapToGrid w:val="0"/>
        <w:spacing w:before="312" w:beforeLines="100" w:after="312" w:afterLines="100" w:line="440" w:lineRule="exact"/>
        <w:jc w:val="left"/>
        <w:rPr>
          <w:rFonts w:ascii="黑体" w:hAnsi="宋体" w:eastAsia="黑体"/>
          <w:sz w:val="28"/>
          <w:szCs w:val="28"/>
        </w:rPr>
      </w:pPr>
      <w:r>
        <w:rPr>
          <w:rFonts w:hint="eastAsia" w:ascii="黑体" w:hAnsi="宋体" w:eastAsia="黑体"/>
          <w:sz w:val="28"/>
          <w:szCs w:val="28"/>
        </w:rPr>
        <w:t>附件B：废标条件</w:t>
      </w:r>
    </w:p>
    <w:p>
      <w:pPr>
        <w:adjustRightInd w:val="0"/>
        <w:snapToGrid w:val="0"/>
        <w:spacing w:before="312" w:beforeLines="100" w:after="312" w:afterLines="100" w:line="440" w:lineRule="exact"/>
        <w:ind w:firstLine="560" w:firstLineChars="200"/>
        <w:jc w:val="center"/>
        <w:rPr>
          <w:rFonts w:ascii="黑体" w:hAnsi="宋体" w:eastAsia="黑体"/>
          <w:sz w:val="28"/>
          <w:szCs w:val="28"/>
        </w:rPr>
      </w:pPr>
      <w:r>
        <w:rPr>
          <w:rFonts w:hint="eastAsia" w:ascii="黑体" w:hAnsi="宋体" w:eastAsia="黑体"/>
          <w:sz w:val="28"/>
          <w:szCs w:val="28"/>
        </w:rPr>
        <w:t>废标条件</w:t>
      </w:r>
    </w:p>
    <w:p>
      <w:pPr>
        <w:adjustRightInd w:val="0"/>
        <w:snapToGrid w:val="0"/>
        <w:spacing w:line="440" w:lineRule="exact"/>
        <w:rPr>
          <w:rFonts w:ascii="宋体" w:hAnsi="宋体"/>
          <w:b/>
          <w:szCs w:val="21"/>
        </w:rPr>
      </w:pPr>
      <w:r>
        <w:rPr>
          <w:b/>
          <w:szCs w:val="21"/>
        </w:rPr>
        <w:t>B0</w:t>
      </w:r>
      <w:r>
        <w:rPr>
          <w:rFonts w:hint="eastAsia" w:ascii="宋体" w:hAnsi="宋体"/>
          <w:b/>
          <w:szCs w:val="21"/>
        </w:rPr>
        <w:t>.总  则</w:t>
      </w:r>
    </w:p>
    <w:p>
      <w:pPr>
        <w:adjustRightInd w:val="0"/>
        <w:snapToGrid w:val="0"/>
        <w:spacing w:line="440" w:lineRule="exact"/>
        <w:ind w:firstLine="420" w:firstLineChars="200"/>
        <w:rPr>
          <w:rFonts w:ascii="宋体" w:hAnsi="宋体"/>
          <w:szCs w:val="21"/>
        </w:rPr>
      </w:pPr>
      <w:r>
        <w:rPr>
          <w:rFonts w:hint="eastAsia" w:ascii="宋体" w:hAnsi="宋体"/>
          <w:szCs w:val="21"/>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pPr>
        <w:adjustRightInd w:val="0"/>
        <w:snapToGrid w:val="0"/>
        <w:spacing w:line="440" w:lineRule="exact"/>
        <w:rPr>
          <w:b/>
          <w:szCs w:val="21"/>
        </w:rPr>
      </w:pPr>
      <w:r>
        <w:rPr>
          <w:b/>
          <w:szCs w:val="21"/>
        </w:rPr>
        <w:t>B</w:t>
      </w:r>
      <w:r>
        <w:rPr>
          <w:rFonts w:hint="eastAsia"/>
          <w:b/>
          <w:szCs w:val="21"/>
        </w:rPr>
        <w:t>1</w:t>
      </w:r>
      <w:r>
        <w:rPr>
          <w:rFonts w:hAnsi="宋体"/>
          <w:b/>
          <w:szCs w:val="21"/>
        </w:rPr>
        <w:t>．废标条件</w:t>
      </w:r>
    </w:p>
    <w:p>
      <w:pPr>
        <w:adjustRightInd w:val="0"/>
        <w:snapToGrid w:val="0"/>
        <w:spacing w:line="440" w:lineRule="exact"/>
        <w:ind w:firstLine="420" w:firstLineChars="200"/>
        <w:rPr>
          <w:rFonts w:ascii="宋体" w:hAnsi="宋体"/>
          <w:szCs w:val="21"/>
        </w:rPr>
      </w:pPr>
      <w:r>
        <w:rPr>
          <w:rFonts w:hint="eastAsia" w:ascii="宋体" w:hAnsi="宋体"/>
          <w:szCs w:val="21"/>
        </w:rPr>
        <w:t>投标人或其投标文件有下列情形之一的，其投标作废标处理：</w:t>
      </w:r>
    </w:p>
    <w:p>
      <w:pPr>
        <w:adjustRightInd w:val="0"/>
        <w:snapToGrid w:val="0"/>
        <w:spacing w:line="440" w:lineRule="exact"/>
        <w:ind w:firstLine="422" w:firstLineChars="200"/>
        <w:rPr>
          <w:rFonts w:ascii="宋体" w:hAnsi="宋体"/>
          <w:szCs w:val="21"/>
        </w:rPr>
      </w:pPr>
      <w:r>
        <w:rPr>
          <w:rFonts w:hint="eastAsia" w:ascii="宋体" w:hAnsi="宋体"/>
          <w:b/>
          <w:szCs w:val="21"/>
        </w:rPr>
        <w:t>B1.1</w:t>
      </w:r>
      <w:r>
        <w:rPr>
          <w:rFonts w:hint="eastAsia" w:ascii="宋体" w:hAnsi="宋体"/>
          <w:szCs w:val="21"/>
        </w:rPr>
        <w:t xml:space="preserve">  有第二章“投标人须知”第</w:t>
      </w:r>
      <w:r>
        <w:rPr>
          <w:szCs w:val="21"/>
        </w:rPr>
        <w:t>1.4.3</w:t>
      </w:r>
      <w:r>
        <w:rPr>
          <w:rFonts w:hint="eastAsia" w:ascii="宋体" w:hAnsi="宋体"/>
          <w:szCs w:val="21"/>
        </w:rPr>
        <w:t>项规定的任何一种情形的。</w:t>
      </w:r>
    </w:p>
    <w:p>
      <w:pPr>
        <w:adjustRightInd w:val="0"/>
        <w:snapToGrid w:val="0"/>
        <w:spacing w:line="440" w:lineRule="exact"/>
        <w:ind w:firstLine="422" w:firstLineChars="200"/>
        <w:rPr>
          <w:rFonts w:ascii="宋体" w:hAnsi="宋体"/>
          <w:szCs w:val="21"/>
        </w:rPr>
      </w:pPr>
      <w:r>
        <w:rPr>
          <w:rFonts w:hint="eastAsia" w:ascii="宋体" w:hAnsi="宋体"/>
          <w:b/>
          <w:szCs w:val="21"/>
        </w:rPr>
        <w:t>B1.2</w:t>
      </w:r>
      <w:r>
        <w:rPr>
          <w:rFonts w:hint="eastAsia" w:ascii="宋体" w:hAnsi="宋体"/>
          <w:szCs w:val="21"/>
        </w:rPr>
        <w:t xml:space="preserve">  有串通投标或弄虚作假或有其他违法行为的。</w:t>
      </w:r>
    </w:p>
    <w:p>
      <w:pPr>
        <w:adjustRightInd w:val="0"/>
        <w:snapToGrid w:val="0"/>
        <w:spacing w:line="440" w:lineRule="exact"/>
        <w:ind w:firstLine="422" w:firstLineChars="200"/>
        <w:rPr>
          <w:rFonts w:ascii="宋体" w:hAnsi="宋体"/>
          <w:szCs w:val="21"/>
        </w:rPr>
      </w:pPr>
      <w:r>
        <w:rPr>
          <w:rFonts w:hint="eastAsia" w:ascii="宋体" w:hAnsi="宋体"/>
          <w:b/>
          <w:szCs w:val="21"/>
        </w:rPr>
        <w:t>B1.3</w:t>
      </w:r>
      <w:r>
        <w:rPr>
          <w:rFonts w:hint="eastAsia" w:ascii="宋体" w:hAnsi="宋体"/>
          <w:szCs w:val="21"/>
        </w:rPr>
        <w:t xml:space="preserve">  不按评标委员会要求澄清、说明或补正的。</w:t>
      </w:r>
    </w:p>
    <w:p>
      <w:pPr>
        <w:adjustRightInd w:val="0"/>
        <w:snapToGrid w:val="0"/>
        <w:spacing w:line="440" w:lineRule="exact"/>
        <w:ind w:firstLine="422" w:firstLineChars="200"/>
        <w:rPr>
          <w:rFonts w:ascii="宋体" w:hAnsi="宋体"/>
          <w:szCs w:val="21"/>
        </w:rPr>
      </w:pPr>
      <w:r>
        <w:rPr>
          <w:rFonts w:hint="eastAsia" w:ascii="宋体" w:hAnsi="宋体"/>
          <w:b/>
          <w:szCs w:val="21"/>
        </w:rPr>
        <w:t>B1.4</w:t>
      </w:r>
      <w:r>
        <w:rPr>
          <w:rFonts w:hint="eastAsia" w:ascii="宋体" w:hAnsi="宋体"/>
          <w:szCs w:val="21"/>
        </w:rPr>
        <w:t xml:space="preserve">  在形式评审、资格评审(适用于未进行资格预审的)、响应性评审中，评标委员会认定投标人的投标不符合评标办法前附表中规定的任何一项评审标准的。</w:t>
      </w:r>
    </w:p>
    <w:p>
      <w:pPr>
        <w:adjustRightInd w:val="0"/>
        <w:snapToGrid w:val="0"/>
        <w:spacing w:line="440" w:lineRule="exact"/>
        <w:ind w:firstLine="422" w:firstLineChars="200"/>
        <w:rPr>
          <w:rFonts w:ascii="宋体" w:hAnsi="宋体"/>
          <w:szCs w:val="21"/>
        </w:rPr>
      </w:pPr>
      <w:r>
        <w:rPr>
          <w:rFonts w:hint="eastAsia" w:ascii="宋体" w:hAnsi="宋体"/>
          <w:b/>
          <w:szCs w:val="21"/>
        </w:rPr>
        <w:t>B1.</w:t>
      </w:r>
      <w:r>
        <w:rPr>
          <w:rFonts w:hint="eastAsia" w:ascii="宋体" w:hAnsi="宋体"/>
          <w:b/>
          <w:szCs w:val="21"/>
          <w:lang w:val="en-US" w:eastAsia="zh-CN"/>
        </w:rPr>
        <w:t>5</w:t>
      </w:r>
      <w:r>
        <w:rPr>
          <w:rFonts w:hint="eastAsia" w:ascii="宋体" w:hAnsi="宋体"/>
          <w:szCs w:val="21"/>
        </w:rPr>
        <w:t xml:space="preserve">  评标委员会认定投标人以低于成本报价竞标的。</w:t>
      </w:r>
    </w:p>
    <w:p>
      <w:pPr>
        <w:adjustRightInd w:val="0"/>
        <w:snapToGrid w:val="0"/>
        <w:spacing w:line="440" w:lineRule="exact"/>
        <w:ind w:firstLine="422" w:firstLineChars="200"/>
        <w:rPr>
          <w:rFonts w:ascii="宋体" w:hAnsi="宋体"/>
          <w:szCs w:val="21"/>
        </w:rPr>
      </w:pPr>
      <w:r>
        <w:rPr>
          <w:rFonts w:hint="eastAsia" w:ascii="宋体" w:hAnsi="宋体"/>
          <w:b/>
          <w:szCs w:val="21"/>
        </w:rPr>
        <w:t>B1.</w:t>
      </w:r>
      <w:r>
        <w:rPr>
          <w:rFonts w:hint="eastAsia" w:ascii="宋体" w:hAnsi="宋体"/>
          <w:b/>
          <w:szCs w:val="21"/>
          <w:lang w:val="en-US" w:eastAsia="zh-CN"/>
        </w:rPr>
        <w:t>6</w:t>
      </w:r>
      <w:r>
        <w:rPr>
          <w:rFonts w:ascii="宋体" w:hAnsi="宋体"/>
          <w:szCs w:val="21"/>
        </w:rPr>
        <w:t xml:space="preserve">未按招标文件规定编制各项报价的。 </w:t>
      </w:r>
    </w:p>
    <w:p>
      <w:pPr>
        <w:adjustRightInd w:val="0"/>
        <w:snapToGrid w:val="0"/>
        <w:spacing w:line="440" w:lineRule="exact"/>
        <w:ind w:firstLine="422" w:firstLineChars="200"/>
        <w:rPr>
          <w:rFonts w:ascii="宋体" w:hAnsi="宋体"/>
          <w:szCs w:val="21"/>
        </w:rPr>
      </w:pPr>
      <w:r>
        <w:rPr>
          <w:rFonts w:hint="eastAsia" w:ascii="宋体" w:hAnsi="宋体"/>
          <w:b/>
          <w:szCs w:val="21"/>
        </w:rPr>
        <w:t>B1.</w:t>
      </w:r>
      <w:r>
        <w:rPr>
          <w:rFonts w:hint="eastAsia" w:ascii="宋体" w:hAnsi="宋体"/>
          <w:b/>
          <w:szCs w:val="21"/>
          <w:lang w:val="en-US" w:eastAsia="zh-CN"/>
        </w:rPr>
        <w:t>7</w:t>
      </w:r>
      <w:r>
        <w:rPr>
          <w:rFonts w:hint="eastAsia" w:ascii="宋体" w:hAnsi="宋体"/>
          <w:b/>
          <w:szCs w:val="21"/>
          <w:lang w:eastAsia="zh-CN"/>
        </w:rPr>
        <w:t>分类分项</w:t>
      </w:r>
      <w:r>
        <w:rPr>
          <w:rFonts w:ascii="宋体" w:hAnsi="宋体"/>
          <w:szCs w:val="21"/>
        </w:rPr>
        <w:t>工程项目中的项目编码、项目名称、项目特征、计量单位和工程量与招标文件的清单不一致的。</w:t>
      </w:r>
    </w:p>
    <w:p>
      <w:pPr>
        <w:adjustRightInd w:val="0"/>
        <w:snapToGrid w:val="0"/>
        <w:spacing w:line="440" w:lineRule="exact"/>
        <w:ind w:firstLine="422" w:firstLineChars="200"/>
        <w:rPr>
          <w:rFonts w:ascii="宋体" w:hAnsi="宋体"/>
          <w:szCs w:val="21"/>
        </w:rPr>
      </w:pPr>
      <w:r>
        <w:rPr>
          <w:rFonts w:ascii="宋体" w:hAnsi="宋体"/>
          <w:b/>
          <w:szCs w:val="21"/>
        </w:rPr>
        <w:t>B1.</w:t>
      </w:r>
      <w:r>
        <w:rPr>
          <w:rFonts w:hint="eastAsia" w:ascii="宋体" w:hAnsi="宋体"/>
          <w:b/>
          <w:szCs w:val="21"/>
          <w:lang w:val="en-US" w:eastAsia="zh-CN"/>
        </w:rPr>
        <w:t>8</w:t>
      </w:r>
      <w:r>
        <w:rPr>
          <w:rFonts w:ascii="宋体" w:hAnsi="宋体"/>
          <w:szCs w:val="21"/>
        </w:rPr>
        <w:t>经评标系统识别有明显围标、串标行为</w:t>
      </w:r>
      <w:r>
        <w:rPr>
          <w:rFonts w:hint="eastAsia" w:ascii="宋体" w:hAnsi="宋体"/>
          <w:szCs w:val="21"/>
        </w:rPr>
        <w:t>（如投标文件制作机器码一致）</w:t>
      </w:r>
      <w:r>
        <w:rPr>
          <w:rFonts w:ascii="宋体" w:hAnsi="宋体"/>
          <w:szCs w:val="21"/>
        </w:rPr>
        <w:t>，经评标委员会认定</w:t>
      </w:r>
      <w:r>
        <w:rPr>
          <w:rFonts w:hint="eastAsia" w:ascii="宋体" w:hAnsi="宋体"/>
          <w:szCs w:val="21"/>
        </w:rPr>
        <w:t>的。</w:t>
      </w:r>
    </w:p>
    <w:p>
      <w:pPr>
        <w:adjustRightInd w:val="0"/>
        <w:snapToGrid w:val="0"/>
        <w:spacing w:line="440" w:lineRule="exact"/>
        <w:ind w:firstLine="422" w:firstLineChars="200"/>
        <w:rPr>
          <w:rFonts w:ascii="宋体" w:hAnsi="宋体"/>
          <w:szCs w:val="21"/>
        </w:rPr>
      </w:pPr>
      <w:r>
        <w:rPr>
          <w:rFonts w:hint="eastAsia" w:ascii="宋体" w:hAnsi="宋体"/>
          <w:b/>
          <w:szCs w:val="21"/>
        </w:rPr>
        <w:t>B1.</w:t>
      </w:r>
      <w:r>
        <w:rPr>
          <w:rFonts w:hint="eastAsia" w:ascii="宋体" w:hAnsi="宋体"/>
          <w:b/>
          <w:szCs w:val="21"/>
          <w:lang w:val="en-US" w:eastAsia="zh-CN"/>
        </w:rPr>
        <w:t>9</w:t>
      </w:r>
      <w:r>
        <w:rPr>
          <w:rFonts w:hint="eastAsia" w:ascii="宋体" w:hAnsi="宋体"/>
          <w:szCs w:val="21"/>
        </w:rPr>
        <w:t>法律</w:t>
      </w:r>
      <w:r>
        <w:rPr>
          <w:rFonts w:ascii="宋体" w:hAnsi="宋体"/>
          <w:szCs w:val="21"/>
        </w:rPr>
        <w:t>法规规定的其他废</w:t>
      </w:r>
      <w:r>
        <w:rPr>
          <w:rFonts w:hint="eastAsia" w:ascii="宋体" w:hAnsi="宋体"/>
          <w:szCs w:val="21"/>
        </w:rPr>
        <w:t>标</w:t>
      </w:r>
      <w:r>
        <w:rPr>
          <w:rFonts w:ascii="宋体" w:hAnsi="宋体"/>
          <w:szCs w:val="21"/>
        </w:rPr>
        <w:t>情形。</w:t>
      </w:r>
    </w:p>
    <w:p>
      <w:pPr>
        <w:adjustRightInd w:val="0"/>
        <w:snapToGrid w:val="0"/>
        <w:spacing w:line="440" w:lineRule="exact"/>
        <w:ind w:firstLine="420" w:firstLineChars="200"/>
        <w:rPr>
          <w:rFonts w:ascii="宋体" w:hAnsi="宋体"/>
          <w:szCs w:val="21"/>
        </w:rPr>
      </w:pPr>
      <w:r>
        <w:rPr>
          <w:rFonts w:hint="eastAsia" w:ascii="宋体" w:hAnsi="宋体"/>
          <w:szCs w:val="21"/>
        </w:rPr>
        <w:t>……</w:t>
      </w:r>
    </w:p>
    <w:p>
      <w:pPr>
        <w:adjustRightInd w:val="0"/>
        <w:snapToGrid w:val="0"/>
        <w:spacing w:line="440" w:lineRule="exact"/>
        <w:ind w:firstLine="420" w:firstLineChars="200"/>
        <w:rPr>
          <w:rFonts w:ascii="宋体" w:hAnsi="宋体"/>
          <w:szCs w:val="21"/>
        </w:rPr>
      </w:pPr>
      <w:r>
        <w:rPr>
          <w:rFonts w:hint="eastAsia" w:ascii="宋体" w:hAnsi="宋体"/>
          <w:szCs w:val="21"/>
        </w:rPr>
        <w:t>备注：如果工程所在地管理规定要求评标委员会对判定为废标的投标文件说明废标情况的，应增加“废标情况说明表”格式，废标情况说明应当对照招标文件规定的废标条件以及投标文件存在的具体问题。</w:t>
      </w:r>
    </w:p>
    <w:p>
      <w:pPr>
        <w:adjustRightInd w:val="0"/>
        <w:snapToGrid w:val="0"/>
        <w:spacing w:line="440" w:lineRule="exact"/>
        <w:ind w:firstLine="420" w:firstLineChars="200"/>
        <w:rPr>
          <w:rFonts w:ascii="宋体" w:hAnsi="宋体"/>
          <w:szCs w:val="21"/>
        </w:rPr>
      </w:pPr>
      <w:r>
        <w:rPr>
          <w:rFonts w:hint="eastAsia" w:ascii="宋体" w:hAnsi="宋体"/>
          <w:szCs w:val="21"/>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40" w:lineRule="exact"/>
        <w:rPr>
          <w:rFonts w:ascii="宋体" w:hAnsi="宋体"/>
          <w:b/>
          <w:szCs w:val="21"/>
        </w:rPr>
        <w:sectPr>
          <w:pgSz w:w="11906" w:h="16838"/>
          <w:pgMar w:top="1418" w:right="1701" w:bottom="1588" w:left="1701" w:header="851" w:footer="851" w:gutter="0"/>
          <w:cols w:space="720" w:num="1"/>
          <w:docGrid w:type="lines" w:linePitch="312" w:charSpace="0"/>
        </w:sectPr>
      </w:pPr>
    </w:p>
    <w:p>
      <w:pPr>
        <w:spacing w:line="440" w:lineRule="exact"/>
        <w:rPr>
          <w:rFonts w:ascii="宋体" w:hAnsi="宋体"/>
          <w:b/>
        </w:rPr>
      </w:pPr>
      <w:r>
        <w:rPr>
          <w:rFonts w:hint="eastAsia" w:ascii="宋体" w:hAnsi="宋体"/>
          <w:b/>
        </w:rPr>
        <w:t>附表A－1：评标委员会签到表</w:t>
      </w:r>
    </w:p>
    <w:p>
      <w:pPr>
        <w:spacing w:before="120" w:beforeLines="50" w:after="120" w:afterLines="50" w:line="440" w:lineRule="exact"/>
        <w:jc w:val="center"/>
        <w:rPr>
          <w:rFonts w:ascii="黑体" w:hAnsi="宋体" w:eastAsia="黑体"/>
          <w:sz w:val="28"/>
          <w:szCs w:val="28"/>
        </w:rPr>
      </w:pPr>
      <w:r>
        <w:rPr>
          <w:rFonts w:hint="eastAsia" w:ascii="黑体" w:hAnsi="宋体" w:eastAsia="黑体"/>
          <w:sz w:val="28"/>
          <w:szCs w:val="28"/>
        </w:rPr>
        <w:t>评标委员会签到表</w:t>
      </w:r>
    </w:p>
    <w:p>
      <w:pPr>
        <w:spacing w:after="72" w:afterLines="30" w:line="440" w:lineRule="exact"/>
        <w:ind w:firstLine="1470" w:firstLineChars="700"/>
        <w:rPr>
          <w:rFonts w:ascii="宋体" w:hAnsi="宋体"/>
        </w:rPr>
      </w:pPr>
      <w:r>
        <w:rPr>
          <w:rFonts w:hint="eastAsia" w:ascii="宋体" w:hAnsi="宋体"/>
        </w:rPr>
        <w:t>工程名称：(项目名称)标段                                      评标时间：      年      月      日</w:t>
      </w:r>
    </w:p>
    <w:tbl>
      <w:tblPr>
        <w:tblStyle w:val="44"/>
        <w:tblW w:w="13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559"/>
        <w:gridCol w:w="1984"/>
        <w:gridCol w:w="3271"/>
        <w:gridCol w:w="1701"/>
        <w:gridCol w:w="1696"/>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88" w:type="dxa"/>
            <w:vAlign w:val="center"/>
          </w:tcPr>
          <w:p>
            <w:pPr>
              <w:spacing w:line="440" w:lineRule="exact"/>
              <w:jc w:val="center"/>
              <w:rPr>
                <w:rFonts w:ascii="宋体" w:hAnsi="宋体"/>
              </w:rPr>
            </w:pPr>
            <w:r>
              <w:rPr>
                <w:rFonts w:hint="eastAsia" w:ascii="宋体" w:hAnsi="宋体"/>
              </w:rPr>
              <w:t>序号</w:t>
            </w:r>
          </w:p>
        </w:tc>
        <w:tc>
          <w:tcPr>
            <w:tcW w:w="1559" w:type="dxa"/>
            <w:vAlign w:val="center"/>
          </w:tcPr>
          <w:p>
            <w:pPr>
              <w:spacing w:line="440" w:lineRule="exact"/>
              <w:jc w:val="center"/>
              <w:rPr>
                <w:rFonts w:ascii="宋体" w:hAnsi="宋体"/>
              </w:rPr>
            </w:pPr>
            <w:r>
              <w:rPr>
                <w:rFonts w:hint="eastAsia" w:ascii="宋体" w:hAnsi="宋体"/>
              </w:rPr>
              <w:t>姓名</w:t>
            </w:r>
          </w:p>
        </w:tc>
        <w:tc>
          <w:tcPr>
            <w:tcW w:w="1984" w:type="dxa"/>
            <w:vAlign w:val="center"/>
          </w:tcPr>
          <w:p>
            <w:pPr>
              <w:spacing w:line="440" w:lineRule="exact"/>
              <w:jc w:val="center"/>
              <w:rPr>
                <w:rFonts w:ascii="宋体" w:hAnsi="宋体"/>
              </w:rPr>
            </w:pPr>
            <w:r>
              <w:rPr>
                <w:rFonts w:hint="eastAsia" w:ascii="宋体" w:hAnsi="宋体"/>
              </w:rPr>
              <w:t>职称</w:t>
            </w:r>
          </w:p>
        </w:tc>
        <w:tc>
          <w:tcPr>
            <w:tcW w:w="3271" w:type="dxa"/>
            <w:vAlign w:val="center"/>
          </w:tcPr>
          <w:p>
            <w:pPr>
              <w:spacing w:line="440" w:lineRule="exact"/>
              <w:jc w:val="center"/>
              <w:rPr>
                <w:rFonts w:ascii="宋体" w:hAnsi="宋体"/>
              </w:rPr>
            </w:pPr>
            <w:r>
              <w:rPr>
                <w:rFonts w:hint="eastAsia" w:ascii="宋体" w:hAnsi="宋体"/>
              </w:rPr>
              <w:t>工作单位</w:t>
            </w:r>
          </w:p>
        </w:tc>
        <w:tc>
          <w:tcPr>
            <w:tcW w:w="1701" w:type="dxa"/>
            <w:vAlign w:val="center"/>
          </w:tcPr>
          <w:p>
            <w:pPr>
              <w:spacing w:line="440" w:lineRule="exact"/>
              <w:jc w:val="center"/>
              <w:rPr>
                <w:rFonts w:ascii="宋体" w:hAnsi="宋体"/>
              </w:rPr>
            </w:pPr>
            <w:r>
              <w:rPr>
                <w:rFonts w:hint="eastAsia" w:ascii="宋体" w:hAnsi="宋体"/>
              </w:rPr>
              <w:t>专家验证码</w:t>
            </w:r>
          </w:p>
        </w:tc>
        <w:tc>
          <w:tcPr>
            <w:tcW w:w="1696" w:type="dxa"/>
            <w:vAlign w:val="center"/>
          </w:tcPr>
          <w:p>
            <w:pPr>
              <w:spacing w:line="440" w:lineRule="exact"/>
              <w:jc w:val="center"/>
              <w:rPr>
                <w:rFonts w:ascii="宋体" w:hAnsi="宋体"/>
              </w:rPr>
            </w:pPr>
            <w:r>
              <w:rPr>
                <w:rFonts w:hint="eastAsia" w:ascii="宋体" w:hAnsi="宋体"/>
              </w:rPr>
              <w:t>联系电话</w:t>
            </w:r>
          </w:p>
        </w:tc>
        <w:tc>
          <w:tcPr>
            <w:tcW w:w="1842" w:type="dxa"/>
            <w:vAlign w:val="center"/>
          </w:tcPr>
          <w:p>
            <w:pPr>
              <w:spacing w:line="440" w:lineRule="exact"/>
              <w:jc w:val="center"/>
              <w:rPr>
                <w:rFonts w:ascii="宋体" w:hAnsi="宋体"/>
              </w:rPr>
            </w:pPr>
            <w:r>
              <w:rPr>
                <w:rFonts w:hint="eastAsia" w:ascii="宋体" w:hAnsi="宋体"/>
              </w:rPr>
              <w:t>签到时间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88" w:type="dxa"/>
            <w:vAlign w:val="center"/>
          </w:tcPr>
          <w:p>
            <w:pPr>
              <w:spacing w:line="440" w:lineRule="exact"/>
              <w:jc w:val="center"/>
              <w:rPr>
                <w:rFonts w:ascii="黑体" w:hAnsi="宋体" w:eastAsia="黑体"/>
              </w:rPr>
            </w:pPr>
            <w:r>
              <w:rPr>
                <w:rFonts w:hint="eastAsia" w:ascii="黑体" w:hAnsi="宋体" w:eastAsia="黑体"/>
              </w:rPr>
              <w:t>1</w:t>
            </w:r>
          </w:p>
        </w:tc>
        <w:tc>
          <w:tcPr>
            <w:tcW w:w="1559" w:type="dxa"/>
            <w:vAlign w:val="center"/>
          </w:tcPr>
          <w:p>
            <w:pPr>
              <w:spacing w:line="440" w:lineRule="exact"/>
              <w:jc w:val="center"/>
              <w:rPr>
                <w:rFonts w:ascii="宋体" w:hAnsi="宋体"/>
              </w:rPr>
            </w:pPr>
          </w:p>
        </w:tc>
        <w:tc>
          <w:tcPr>
            <w:tcW w:w="1984" w:type="dxa"/>
            <w:vAlign w:val="center"/>
          </w:tcPr>
          <w:p>
            <w:pPr>
              <w:spacing w:line="440" w:lineRule="exact"/>
              <w:jc w:val="center"/>
              <w:rPr>
                <w:rFonts w:ascii="宋体" w:hAnsi="宋体"/>
              </w:rPr>
            </w:pPr>
          </w:p>
        </w:tc>
        <w:tc>
          <w:tcPr>
            <w:tcW w:w="3271" w:type="dxa"/>
            <w:vAlign w:val="center"/>
          </w:tcPr>
          <w:p>
            <w:pPr>
              <w:spacing w:line="440" w:lineRule="exact"/>
              <w:jc w:val="center"/>
              <w:rPr>
                <w:rFonts w:ascii="宋体" w:hAnsi="宋体"/>
              </w:rPr>
            </w:pPr>
          </w:p>
        </w:tc>
        <w:tc>
          <w:tcPr>
            <w:tcW w:w="1701" w:type="dxa"/>
            <w:vAlign w:val="center"/>
          </w:tcPr>
          <w:p>
            <w:pPr>
              <w:spacing w:line="440" w:lineRule="exact"/>
              <w:jc w:val="center"/>
              <w:rPr>
                <w:rFonts w:ascii="宋体" w:hAnsi="宋体"/>
              </w:rPr>
            </w:pPr>
          </w:p>
        </w:tc>
        <w:tc>
          <w:tcPr>
            <w:tcW w:w="1696" w:type="dxa"/>
            <w:vAlign w:val="center"/>
          </w:tcPr>
          <w:p>
            <w:pPr>
              <w:spacing w:line="440" w:lineRule="exact"/>
              <w:jc w:val="center"/>
              <w:rPr>
                <w:rFonts w:ascii="宋体" w:hAnsi="宋体"/>
              </w:rPr>
            </w:pPr>
          </w:p>
        </w:tc>
        <w:tc>
          <w:tcPr>
            <w:tcW w:w="1842"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88" w:type="dxa"/>
            <w:vAlign w:val="center"/>
          </w:tcPr>
          <w:p>
            <w:pPr>
              <w:spacing w:line="440" w:lineRule="exact"/>
              <w:jc w:val="center"/>
              <w:rPr>
                <w:rFonts w:ascii="黑体" w:hAnsi="宋体" w:eastAsia="黑体"/>
              </w:rPr>
            </w:pPr>
            <w:r>
              <w:rPr>
                <w:rFonts w:hint="eastAsia" w:ascii="黑体" w:hAnsi="宋体" w:eastAsia="黑体"/>
              </w:rPr>
              <w:t>2</w:t>
            </w:r>
          </w:p>
        </w:tc>
        <w:tc>
          <w:tcPr>
            <w:tcW w:w="1559" w:type="dxa"/>
            <w:vAlign w:val="center"/>
          </w:tcPr>
          <w:p>
            <w:pPr>
              <w:spacing w:line="440" w:lineRule="exact"/>
              <w:jc w:val="center"/>
              <w:rPr>
                <w:rFonts w:ascii="宋体" w:hAnsi="宋体"/>
              </w:rPr>
            </w:pPr>
          </w:p>
        </w:tc>
        <w:tc>
          <w:tcPr>
            <w:tcW w:w="1984" w:type="dxa"/>
            <w:vAlign w:val="center"/>
          </w:tcPr>
          <w:p>
            <w:pPr>
              <w:spacing w:line="440" w:lineRule="exact"/>
              <w:jc w:val="center"/>
              <w:rPr>
                <w:rFonts w:ascii="宋体" w:hAnsi="宋体"/>
              </w:rPr>
            </w:pPr>
          </w:p>
        </w:tc>
        <w:tc>
          <w:tcPr>
            <w:tcW w:w="3271" w:type="dxa"/>
            <w:vAlign w:val="center"/>
          </w:tcPr>
          <w:p>
            <w:pPr>
              <w:spacing w:line="440" w:lineRule="exact"/>
              <w:jc w:val="center"/>
              <w:rPr>
                <w:rFonts w:ascii="宋体" w:hAnsi="宋体"/>
              </w:rPr>
            </w:pPr>
          </w:p>
        </w:tc>
        <w:tc>
          <w:tcPr>
            <w:tcW w:w="1701" w:type="dxa"/>
            <w:vAlign w:val="center"/>
          </w:tcPr>
          <w:p>
            <w:pPr>
              <w:spacing w:line="440" w:lineRule="exact"/>
              <w:jc w:val="center"/>
              <w:rPr>
                <w:rFonts w:ascii="宋体" w:hAnsi="宋体"/>
              </w:rPr>
            </w:pPr>
          </w:p>
        </w:tc>
        <w:tc>
          <w:tcPr>
            <w:tcW w:w="1696" w:type="dxa"/>
            <w:vAlign w:val="center"/>
          </w:tcPr>
          <w:p>
            <w:pPr>
              <w:spacing w:line="440" w:lineRule="exact"/>
              <w:jc w:val="center"/>
              <w:rPr>
                <w:rFonts w:ascii="宋体" w:hAnsi="宋体"/>
              </w:rPr>
            </w:pPr>
          </w:p>
        </w:tc>
        <w:tc>
          <w:tcPr>
            <w:tcW w:w="1842"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88" w:type="dxa"/>
            <w:vAlign w:val="center"/>
          </w:tcPr>
          <w:p>
            <w:pPr>
              <w:spacing w:line="440" w:lineRule="exact"/>
              <w:jc w:val="center"/>
              <w:rPr>
                <w:rFonts w:ascii="黑体" w:hAnsi="宋体" w:eastAsia="黑体"/>
              </w:rPr>
            </w:pPr>
            <w:r>
              <w:rPr>
                <w:rFonts w:hint="eastAsia" w:ascii="黑体" w:hAnsi="宋体" w:eastAsia="黑体"/>
              </w:rPr>
              <w:t>3</w:t>
            </w:r>
          </w:p>
        </w:tc>
        <w:tc>
          <w:tcPr>
            <w:tcW w:w="1559" w:type="dxa"/>
            <w:vAlign w:val="center"/>
          </w:tcPr>
          <w:p>
            <w:pPr>
              <w:spacing w:line="440" w:lineRule="exact"/>
              <w:jc w:val="center"/>
              <w:rPr>
                <w:rFonts w:ascii="宋体" w:hAnsi="宋体"/>
              </w:rPr>
            </w:pPr>
          </w:p>
        </w:tc>
        <w:tc>
          <w:tcPr>
            <w:tcW w:w="1984" w:type="dxa"/>
            <w:vAlign w:val="center"/>
          </w:tcPr>
          <w:p>
            <w:pPr>
              <w:spacing w:line="440" w:lineRule="exact"/>
              <w:jc w:val="center"/>
              <w:rPr>
                <w:rFonts w:ascii="宋体" w:hAnsi="宋体"/>
              </w:rPr>
            </w:pPr>
          </w:p>
        </w:tc>
        <w:tc>
          <w:tcPr>
            <w:tcW w:w="3271" w:type="dxa"/>
            <w:vAlign w:val="center"/>
          </w:tcPr>
          <w:p>
            <w:pPr>
              <w:spacing w:line="440" w:lineRule="exact"/>
              <w:jc w:val="center"/>
              <w:rPr>
                <w:rFonts w:ascii="宋体" w:hAnsi="宋体"/>
              </w:rPr>
            </w:pPr>
          </w:p>
        </w:tc>
        <w:tc>
          <w:tcPr>
            <w:tcW w:w="1701" w:type="dxa"/>
            <w:vAlign w:val="center"/>
          </w:tcPr>
          <w:p>
            <w:pPr>
              <w:spacing w:line="440" w:lineRule="exact"/>
              <w:jc w:val="center"/>
              <w:rPr>
                <w:rFonts w:ascii="宋体" w:hAnsi="宋体"/>
              </w:rPr>
            </w:pPr>
          </w:p>
        </w:tc>
        <w:tc>
          <w:tcPr>
            <w:tcW w:w="1696" w:type="dxa"/>
            <w:vAlign w:val="center"/>
          </w:tcPr>
          <w:p>
            <w:pPr>
              <w:spacing w:line="440" w:lineRule="exact"/>
              <w:jc w:val="center"/>
              <w:rPr>
                <w:rFonts w:ascii="宋体" w:hAnsi="宋体"/>
              </w:rPr>
            </w:pPr>
          </w:p>
        </w:tc>
        <w:tc>
          <w:tcPr>
            <w:tcW w:w="1842"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88" w:type="dxa"/>
            <w:vAlign w:val="center"/>
          </w:tcPr>
          <w:p>
            <w:pPr>
              <w:spacing w:line="440" w:lineRule="exact"/>
              <w:jc w:val="center"/>
              <w:rPr>
                <w:rFonts w:ascii="黑体" w:hAnsi="宋体" w:eastAsia="黑体"/>
              </w:rPr>
            </w:pPr>
            <w:r>
              <w:rPr>
                <w:rFonts w:hint="eastAsia" w:ascii="黑体" w:hAnsi="宋体" w:eastAsia="黑体"/>
              </w:rPr>
              <w:t>4</w:t>
            </w:r>
          </w:p>
        </w:tc>
        <w:tc>
          <w:tcPr>
            <w:tcW w:w="1559" w:type="dxa"/>
            <w:vAlign w:val="center"/>
          </w:tcPr>
          <w:p>
            <w:pPr>
              <w:spacing w:line="440" w:lineRule="exact"/>
              <w:jc w:val="center"/>
              <w:rPr>
                <w:rFonts w:ascii="宋体" w:hAnsi="宋体"/>
              </w:rPr>
            </w:pPr>
          </w:p>
        </w:tc>
        <w:tc>
          <w:tcPr>
            <w:tcW w:w="1984" w:type="dxa"/>
            <w:vAlign w:val="center"/>
          </w:tcPr>
          <w:p>
            <w:pPr>
              <w:spacing w:line="440" w:lineRule="exact"/>
              <w:jc w:val="center"/>
              <w:rPr>
                <w:rFonts w:ascii="宋体" w:hAnsi="宋体"/>
              </w:rPr>
            </w:pPr>
          </w:p>
        </w:tc>
        <w:tc>
          <w:tcPr>
            <w:tcW w:w="3271" w:type="dxa"/>
            <w:vAlign w:val="center"/>
          </w:tcPr>
          <w:p>
            <w:pPr>
              <w:spacing w:line="440" w:lineRule="exact"/>
              <w:jc w:val="center"/>
              <w:rPr>
                <w:rFonts w:ascii="宋体" w:hAnsi="宋体"/>
              </w:rPr>
            </w:pPr>
          </w:p>
        </w:tc>
        <w:tc>
          <w:tcPr>
            <w:tcW w:w="1701" w:type="dxa"/>
            <w:vAlign w:val="center"/>
          </w:tcPr>
          <w:p>
            <w:pPr>
              <w:spacing w:line="440" w:lineRule="exact"/>
              <w:jc w:val="center"/>
              <w:rPr>
                <w:rFonts w:ascii="宋体" w:hAnsi="宋体"/>
              </w:rPr>
            </w:pPr>
          </w:p>
        </w:tc>
        <w:tc>
          <w:tcPr>
            <w:tcW w:w="1696" w:type="dxa"/>
            <w:vAlign w:val="center"/>
          </w:tcPr>
          <w:p>
            <w:pPr>
              <w:spacing w:line="440" w:lineRule="exact"/>
              <w:jc w:val="center"/>
              <w:rPr>
                <w:rFonts w:ascii="宋体" w:hAnsi="宋体"/>
              </w:rPr>
            </w:pPr>
          </w:p>
        </w:tc>
        <w:tc>
          <w:tcPr>
            <w:tcW w:w="1842"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88" w:type="dxa"/>
            <w:vAlign w:val="center"/>
          </w:tcPr>
          <w:p>
            <w:pPr>
              <w:spacing w:line="440" w:lineRule="exact"/>
              <w:jc w:val="center"/>
              <w:rPr>
                <w:rFonts w:ascii="黑体" w:hAnsi="宋体" w:eastAsia="黑体"/>
              </w:rPr>
            </w:pPr>
            <w:r>
              <w:rPr>
                <w:rFonts w:hint="eastAsia" w:ascii="黑体" w:hAnsi="宋体" w:eastAsia="黑体"/>
              </w:rPr>
              <w:t>5</w:t>
            </w:r>
          </w:p>
        </w:tc>
        <w:tc>
          <w:tcPr>
            <w:tcW w:w="1559" w:type="dxa"/>
            <w:vAlign w:val="center"/>
          </w:tcPr>
          <w:p>
            <w:pPr>
              <w:spacing w:line="440" w:lineRule="exact"/>
              <w:jc w:val="center"/>
              <w:rPr>
                <w:rFonts w:ascii="宋体" w:hAnsi="宋体"/>
              </w:rPr>
            </w:pPr>
          </w:p>
        </w:tc>
        <w:tc>
          <w:tcPr>
            <w:tcW w:w="1984" w:type="dxa"/>
            <w:vAlign w:val="center"/>
          </w:tcPr>
          <w:p>
            <w:pPr>
              <w:spacing w:line="440" w:lineRule="exact"/>
              <w:jc w:val="center"/>
              <w:rPr>
                <w:rFonts w:ascii="宋体" w:hAnsi="宋体"/>
              </w:rPr>
            </w:pPr>
          </w:p>
        </w:tc>
        <w:tc>
          <w:tcPr>
            <w:tcW w:w="3271" w:type="dxa"/>
            <w:vAlign w:val="center"/>
          </w:tcPr>
          <w:p>
            <w:pPr>
              <w:spacing w:line="440" w:lineRule="exact"/>
              <w:jc w:val="center"/>
              <w:rPr>
                <w:rFonts w:ascii="宋体" w:hAnsi="宋体"/>
              </w:rPr>
            </w:pPr>
          </w:p>
        </w:tc>
        <w:tc>
          <w:tcPr>
            <w:tcW w:w="1701" w:type="dxa"/>
            <w:vAlign w:val="center"/>
          </w:tcPr>
          <w:p>
            <w:pPr>
              <w:spacing w:line="440" w:lineRule="exact"/>
              <w:jc w:val="center"/>
              <w:rPr>
                <w:rFonts w:ascii="宋体" w:hAnsi="宋体"/>
              </w:rPr>
            </w:pPr>
          </w:p>
        </w:tc>
        <w:tc>
          <w:tcPr>
            <w:tcW w:w="1696" w:type="dxa"/>
            <w:vAlign w:val="center"/>
          </w:tcPr>
          <w:p>
            <w:pPr>
              <w:spacing w:line="440" w:lineRule="exact"/>
              <w:jc w:val="center"/>
              <w:rPr>
                <w:rFonts w:ascii="宋体" w:hAnsi="宋体"/>
              </w:rPr>
            </w:pPr>
          </w:p>
        </w:tc>
        <w:tc>
          <w:tcPr>
            <w:tcW w:w="1842"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88" w:type="dxa"/>
            <w:vAlign w:val="center"/>
          </w:tcPr>
          <w:p>
            <w:pPr>
              <w:spacing w:line="440" w:lineRule="exact"/>
              <w:jc w:val="center"/>
              <w:rPr>
                <w:rFonts w:ascii="黑体" w:hAnsi="宋体" w:eastAsia="黑体"/>
              </w:rPr>
            </w:pPr>
            <w:r>
              <w:rPr>
                <w:rFonts w:hint="eastAsia" w:ascii="黑体" w:hAnsi="宋体" w:eastAsia="黑体"/>
              </w:rPr>
              <w:t>6</w:t>
            </w:r>
          </w:p>
        </w:tc>
        <w:tc>
          <w:tcPr>
            <w:tcW w:w="1559" w:type="dxa"/>
            <w:vAlign w:val="center"/>
          </w:tcPr>
          <w:p>
            <w:pPr>
              <w:spacing w:line="440" w:lineRule="exact"/>
              <w:jc w:val="center"/>
              <w:rPr>
                <w:rFonts w:ascii="宋体" w:hAnsi="宋体"/>
              </w:rPr>
            </w:pPr>
          </w:p>
        </w:tc>
        <w:tc>
          <w:tcPr>
            <w:tcW w:w="1984" w:type="dxa"/>
            <w:vAlign w:val="center"/>
          </w:tcPr>
          <w:p>
            <w:pPr>
              <w:spacing w:line="440" w:lineRule="exact"/>
              <w:jc w:val="center"/>
              <w:rPr>
                <w:rFonts w:ascii="宋体" w:hAnsi="宋体"/>
              </w:rPr>
            </w:pPr>
          </w:p>
        </w:tc>
        <w:tc>
          <w:tcPr>
            <w:tcW w:w="3271" w:type="dxa"/>
            <w:vAlign w:val="center"/>
          </w:tcPr>
          <w:p>
            <w:pPr>
              <w:spacing w:line="440" w:lineRule="exact"/>
              <w:jc w:val="center"/>
              <w:rPr>
                <w:rFonts w:ascii="宋体" w:hAnsi="宋体"/>
              </w:rPr>
            </w:pPr>
          </w:p>
        </w:tc>
        <w:tc>
          <w:tcPr>
            <w:tcW w:w="1701" w:type="dxa"/>
            <w:vAlign w:val="center"/>
          </w:tcPr>
          <w:p>
            <w:pPr>
              <w:spacing w:line="440" w:lineRule="exact"/>
              <w:jc w:val="center"/>
              <w:rPr>
                <w:rFonts w:ascii="宋体" w:hAnsi="宋体"/>
              </w:rPr>
            </w:pPr>
          </w:p>
        </w:tc>
        <w:tc>
          <w:tcPr>
            <w:tcW w:w="1696" w:type="dxa"/>
            <w:vAlign w:val="center"/>
          </w:tcPr>
          <w:p>
            <w:pPr>
              <w:spacing w:line="440" w:lineRule="exact"/>
              <w:jc w:val="center"/>
              <w:rPr>
                <w:rFonts w:ascii="宋体" w:hAnsi="宋体"/>
              </w:rPr>
            </w:pPr>
          </w:p>
        </w:tc>
        <w:tc>
          <w:tcPr>
            <w:tcW w:w="1842"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988" w:type="dxa"/>
            <w:vAlign w:val="center"/>
          </w:tcPr>
          <w:p>
            <w:pPr>
              <w:spacing w:line="440" w:lineRule="exact"/>
              <w:jc w:val="center"/>
              <w:rPr>
                <w:rFonts w:ascii="黑体" w:hAnsi="宋体" w:eastAsia="黑体"/>
              </w:rPr>
            </w:pPr>
            <w:r>
              <w:rPr>
                <w:rFonts w:hint="eastAsia" w:ascii="黑体" w:hAnsi="宋体" w:eastAsia="黑体"/>
              </w:rPr>
              <w:t>7</w:t>
            </w:r>
          </w:p>
        </w:tc>
        <w:tc>
          <w:tcPr>
            <w:tcW w:w="1559" w:type="dxa"/>
            <w:vAlign w:val="center"/>
          </w:tcPr>
          <w:p>
            <w:pPr>
              <w:spacing w:line="440" w:lineRule="exact"/>
              <w:jc w:val="center"/>
              <w:rPr>
                <w:rFonts w:ascii="宋体" w:hAnsi="宋体"/>
              </w:rPr>
            </w:pPr>
          </w:p>
        </w:tc>
        <w:tc>
          <w:tcPr>
            <w:tcW w:w="1984" w:type="dxa"/>
            <w:vAlign w:val="center"/>
          </w:tcPr>
          <w:p>
            <w:pPr>
              <w:spacing w:line="440" w:lineRule="exact"/>
              <w:jc w:val="center"/>
              <w:rPr>
                <w:rFonts w:ascii="宋体" w:hAnsi="宋体"/>
              </w:rPr>
            </w:pPr>
          </w:p>
        </w:tc>
        <w:tc>
          <w:tcPr>
            <w:tcW w:w="3271" w:type="dxa"/>
            <w:vAlign w:val="center"/>
          </w:tcPr>
          <w:p>
            <w:pPr>
              <w:spacing w:line="440" w:lineRule="exact"/>
              <w:jc w:val="center"/>
              <w:rPr>
                <w:rFonts w:ascii="宋体" w:hAnsi="宋体"/>
              </w:rPr>
            </w:pPr>
          </w:p>
        </w:tc>
        <w:tc>
          <w:tcPr>
            <w:tcW w:w="1701" w:type="dxa"/>
            <w:vAlign w:val="center"/>
          </w:tcPr>
          <w:p>
            <w:pPr>
              <w:spacing w:line="440" w:lineRule="exact"/>
              <w:jc w:val="center"/>
              <w:rPr>
                <w:rFonts w:ascii="宋体" w:hAnsi="宋体"/>
              </w:rPr>
            </w:pPr>
          </w:p>
        </w:tc>
        <w:tc>
          <w:tcPr>
            <w:tcW w:w="1696" w:type="dxa"/>
            <w:vAlign w:val="center"/>
          </w:tcPr>
          <w:p>
            <w:pPr>
              <w:spacing w:line="440" w:lineRule="exact"/>
              <w:jc w:val="center"/>
              <w:rPr>
                <w:rFonts w:ascii="宋体" w:hAnsi="宋体"/>
              </w:rPr>
            </w:pPr>
          </w:p>
        </w:tc>
        <w:tc>
          <w:tcPr>
            <w:tcW w:w="1842" w:type="dxa"/>
            <w:vAlign w:val="center"/>
          </w:tcPr>
          <w:p>
            <w:pPr>
              <w:spacing w:line="440" w:lineRule="exact"/>
              <w:jc w:val="center"/>
              <w:rPr>
                <w:rFonts w:ascii="宋体" w:hAnsi="宋体"/>
              </w:rPr>
            </w:pPr>
          </w:p>
        </w:tc>
      </w:tr>
    </w:tbl>
    <w:p>
      <w:pPr>
        <w:spacing w:line="440" w:lineRule="exact"/>
        <w:rPr>
          <w:rFonts w:ascii="宋体" w:hAnsi="宋体"/>
          <w:b/>
        </w:rPr>
      </w:pPr>
    </w:p>
    <w:p>
      <w:pPr>
        <w:widowControl/>
        <w:jc w:val="left"/>
        <w:rPr>
          <w:rFonts w:ascii="宋体" w:hAnsi="宋体"/>
          <w:b/>
        </w:rPr>
      </w:pPr>
      <w:r>
        <w:rPr>
          <w:rFonts w:ascii="宋体" w:hAnsi="宋体"/>
          <w:b/>
        </w:rPr>
        <w:br w:type="page"/>
      </w:r>
    </w:p>
    <w:p>
      <w:pPr>
        <w:spacing w:line="440" w:lineRule="exact"/>
        <w:rPr>
          <w:rFonts w:ascii="宋体" w:hAnsi="宋体"/>
          <w:b/>
        </w:rPr>
      </w:pPr>
    </w:p>
    <w:p>
      <w:pPr>
        <w:spacing w:line="440" w:lineRule="exact"/>
        <w:rPr>
          <w:rFonts w:ascii="宋体" w:hAnsi="宋体"/>
          <w:b/>
        </w:rPr>
      </w:pPr>
      <w:r>
        <w:rPr>
          <w:rFonts w:hint="eastAsia" w:ascii="宋体" w:hAnsi="宋体"/>
          <w:b/>
        </w:rPr>
        <w:t>附表A-2：形式评审记录表</w:t>
      </w:r>
    </w:p>
    <w:p>
      <w:pPr>
        <w:spacing w:line="440" w:lineRule="exact"/>
        <w:jc w:val="center"/>
        <w:rPr>
          <w:rFonts w:ascii="宋体" w:hAnsi="宋体"/>
          <w:b/>
        </w:rPr>
      </w:pPr>
      <w:r>
        <w:rPr>
          <w:rFonts w:hint="eastAsia" w:ascii="宋体" w:hAnsi="宋体"/>
          <w:b/>
        </w:rPr>
        <w:t>形式评审记录表</w:t>
      </w:r>
    </w:p>
    <w:p>
      <w:pPr>
        <w:spacing w:line="440" w:lineRule="exact"/>
        <w:ind w:firstLine="1265" w:firstLineChars="600"/>
        <w:rPr>
          <w:rFonts w:ascii="宋体" w:hAnsi="宋体"/>
          <w:b/>
        </w:rPr>
      </w:pPr>
      <w:r>
        <w:rPr>
          <w:rFonts w:hint="eastAsia" w:ascii="宋体" w:hAnsi="宋体"/>
          <w:b/>
        </w:rPr>
        <w:t>工程名称：             (项目名称)    标段</w:t>
      </w:r>
    </w:p>
    <w:tbl>
      <w:tblPr>
        <w:tblStyle w:val="44"/>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12" w:type="dxa"/>
            <w:vMerge w:val="restart"/>
            <w:vAlign w:val="center"/>
          </w:tcPr>
          <w:p>
            <w:pPr>
              <w:spacing w:line="440" w:lineRule="exact"/>
              <w:rPr>
                <w:rFonts w:ascii="宋体" w:hAnsi="宋体"/>
                <w:b/>
              </w:rPr>
            </w:pPr>
            <w:r>
              <w:rPr>
                <w:rFonts w:hint="eastAsia" w:ascii="宋体" w:hAnsi="宋体"/>
                <w:b/>
              </w:rPr>
              <w:t>序号</w:t>
            </w:r>
          </w:p>
        </w:tc>
        <w:tc>
          <w:tcPr>
            <w:tcW w:w="2156" w:type="dxa"/>
            <w:vMerge w:val="restart"/>
            <w:vAlign w:val="center"/>
          </w:tcPr>
          <w:p>
            <w:pPr>
              <w:spacing w:line="440" w:lineRule="exact"/>
              <w:rPr>
                <w:rFonts w:ascii="宋体" w:hAnsi="宋体"/>
                <w:b/>
              </w:rPr>
            </w:pPr>
            <w:r>
              <w:rPr>
                <w:rFonts w:hint="eastAsia" w:ascii="宋体" w:hAnsi="宋体"/>
                <w:b/>
              </w:rPr>
              <w:t>评审因素</w:t>
            </w:r>
          </w:p>
        </w:tc>
        <w:tc>
          <w:tcPr>
            <w:tcW w:w="10776" w:type="dxa"/>
            <w:gridSpan w:val="9"/>
            <w:vAlign w:val="center"/>
          </w:tcPr>
          <w:p>
            <w:pPr>
              <w:spacing w:line="440" w:lineRule="exact"/>
              <w:rPr>
                <w:rFonts w:ascii="宋体" w:hAnsi="宋体"/>
                <w:b/>
              </w:rPr>
            </w:pPr>
            <w:r>
              <w:rPr>
                <w:rFonts w:hint="eastAsia" w:ascii="宋体" w:hAnsi="宋体"/>
                <w:b/>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Merge w:val="continue"/>
            <w:vAlign w:val="center"/>
          </w:tcPr>
          <w:p>
            <w:pPr>
              <w:spacing w:line="440" w:lineRule="exact"/>
              <w:rPr>
                <w:rFonts w:ascii="宋体" w:hAnsi="宋体"/>
                <w:b/>
              </w:rPr>
            </w:pPr>
          </w:p>
        </w:tc>
        <w:tc>
          <w:tcPr>
            <w:tcW w:w="2156" w:type="dxa"/>
            <w:vMerge w:val="continue"/>
            <w:vAlign w:val="center"/>
          </w:tcPr>
          <w:p>
            <w:pPr>
              <w:spacing w:line="440" w:lineRule="exact"/>
              <w:rPr>
                <w:rFonts w:ascii="宋体" w:hAnsi="宋体"/>
                <w:b/>
              </w:rPr>
            </w:pPr>
          </w:p>
        </w:tc>
        <w:tc>
          <w:tcPr>
            <w:tcW w:w="1197" w:type="dxa"/>
            <w:vAlign w:val="center"/>
          </w:tcPr>
          <w:p>
            <w:pPr>
              <w:spacing w:line="440" w:lineRule="exact"/>
              <w:rPr>
                <w:rFonts w:ascii="宋体" w:hAnsi="宋体"/>
                <w:b/>
              </w:rPr>
            </w:pPr>
          </w:p>
        </w:tc>
        <w:tc>
          <w:tcPr>
            <w:tcW w:w="1197" w:type="dxa"/>
            <w:vAlign w:val="center"/>
          </w:tcPr>
          <w:p>
            <w:pPr>
              <w:spacing w:line="440" w:lineRule="exact"/>
              <w:rPr>
                <w:rFonts w:ascii="宋体" w:hAnsi="宋体"/>
                <w:b/>
              </w:rPr>
            </w:pPr>
          </w:p>
        </w:tc>
        <w:tc>
          <w:tcPr>
            <w:tcW w:w="1198" w:type="dxa"/>
            <w:vAlign w:val="center"/>
          </w:tcPr>
          <w:p>
            <w:pPr>
              <w:spacing w:line="440" w:lineRule="exact"/>
              <w:rPr>
                <w:rFonts w:ascii="宋体" w:hAnsi="宋体"/>
                <w:b/>
              </w:rPr>
            </w:pPr>
          </w:p>
        </w:tc>
        <w:tc>
          <w:tcPr>
            <w:tcW w:w="1197" w:type="dxa"/>
            <w:vAlign w:val="center"/>
          </w:tcPr>
          <w:p>
            <w:pPr>
              <w:spacing w:line="440" w:lineRule="exact"/>
              <w:rPr>
                <w:rFonts w:ascii="宋体" w:hAnsi="宋体"/>
                <w:b/>
              </w:rPr>
            </w:pPr>
          </w:p>
        </w:tc>
        <w:tc>
          <w:tcPr>
            <w:tcW w:w="1197" w:type="dxa"/>
            <w:vAlign w:val="center"/>
          </w:tcPr>
          <w:p>
            <w:pPr>
              <w:spacing w:line="440" w:lineRule="exact"/>
              <w:rPr>
                <w:rFonts w:ascii="宋体" w:hAnsi="宋体"/>
                <w:b/>
              </w:rPr>
            </w:pPr>
          </w:p>
        </w:tc>
        <w:tc>
          <w:tcPr>
            <w:tcW w:w="1198" w:type="dxa"/>
            <w:vAlign w:val="center"/>
          </w:tcPr>
          <w:p>
            <w:pPr>
              <w:spacing w:line="440" w:lineRule="exact"/>
              <w:rPr>
                <w:rFonts w:ascii="宋体" w:hAnsi="宋体"/>
                <w:b/>
              </w:rPr>
            </w:pPr>
          </w:p>
        </w:tc>
        <w:tc>
          <w:tcPr>
            <w:tcW w:w="1197" w:type="dxa"/>
            <w:vAlign w:val="center"/>
          </w:tcPr>
          <w:p>
            <w:pPr>
              <w:spacing w:line="440" w:lineRule="exact"/>
              <w:rPr>
                <w:rFonts w:ascii="宋体" w:hAnsi="宋体"/>
                <w:b/>
              </w:rPr>
            </w:pPr>
          </w:p>
        </w:tc>
        <w:tc>
          <w:tcPr>
            <w:tcW w:w="1197" w:type="dxa"/>
            <w:vAlign w:val="center"/>
          </w:tcPr>
          <w:p>
            <w:pPr>
              <w:spacing w:line="440" w:lineRule="exact"/>
              <w:rPr>
                <w:rFonts w:ascii="宋体" w:hAnsi="宋体"/>
                <w:b/>
              </w:rPr>
            </w:pPr>
          </w:p>
        </w:tc>
        <w:tc>
          <w:tcPr>
            <w:tcW w:w="1198" w:type="dxa"/>
            <w:vAlign w:val="center"/>
          </w:tcPr>
          <w:p>
            <w:pPr>
              <w:spacing w:line="440" w:lineRule="exact"/>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spacing w:line="440" w:lineRule="exact"/>
              <w:rPr>
                <w:rFonts w:ascii="宋体" w:hAnsi="宋体"/>
                <w:b/>
              </w:rPr>
            </w:pPr>
            <w:r>
              <w:rPr>
                <w:rFonts w:hint="eastAsia" w:ascii="宋体" w:hAnsi="宋体"/>
                <w:b/>
              </w:rPr>
              <w:t>1</w:t>
            </w:r>
          </w:p>
        </w:tc>
        <w:tc>
          <w:tcPr>
            <w:tcW w:w="2156" w:type="dxa"/>
            <w:vAlign w:val="center"/>
          </w:tcPr>
          <w:p>
            <w:pPr>
              <w:spacing w:line="440" w:lineRule="exact"/>
              <w:rPr>
                <w:rFonts w:ascii="宋体" w:hAnsi="宋体"/>
                <w:b/>
              </w:rPr>
            </w:pPr>
            <w:r>
              <w:rPr>
                <w:rFonts w:hint="eastAsia" w:ascii="宋体" w:hAnsi="宋体"/>
                <w:b/>
              </w:rPr>
              <w:t>投标人名称</w:t>
            </w:r>
          </w:p>
        </w:tc>
        <w:tc>
          <w:tcPr>
            <w:tcW w:w="1197" w:type="dxa"/>
            <w:vAlign w:val="center"/>
          </w:tcPr>
          <w:p>
            <w:pPr>
              <w:spacing w:line="440" w:lineRule="exact"/>
              <w:rPr>
                <w:rFonts w:ascii="宋体" w:hAnsi="宋体"/>
                <w:b/>
              </w:rPr>
            </w:pPr>
          </w:p>
        </w:tc>
        <w:tc>
          <w:tcPr>
            <w:tcW w:w="1197" w:type="dxa"/>
            <w:vAlign w:val="center"/>
          </w:tcPr>
          <w:p>
            <w:pPr>
              <w:spacing w:line="440" w:lineRule="exact"/>
              <w:rPr>
                <w:rFonts w:ascii="宋体" w:hAnsi="宋体"/>
                <w:b/>
              </w:rPr>
            </w:pPr>
          </w:p>
        </w:tc>
        <w:tc>
          <w:tcPr>
            <w:tcW w:w="1198" w:type="dxa"/>
            <w:vAlign w:val="center"/>
          </w:tcPr>
          <w:p>
            <w:pPr>
              <w:spacing w:line="440" w:lineRule="exact"/>
              <w:rPr>
                <w:rFonts w:ascii="宋体" w:hAnsi="宋体"/>
                <w:b/>
              </w:rPr>
            </w:pPr>
          </w:p>
        </w:tc>
        <w:tc>
          <w:tcPr>
            <w:tcW w:w="1197" w:type="dxa"/>
            <w:vAlign w:val="center"/>
          </w:tcPr>
          <w:p>
            <w:pPr>
              <w:spacing w:line="440" w:lineRule="exact"/>
              <w:rPr>
                <w:rFonts w:ascii="宋体" w:hAnsi="宋体"/>
                <w:b/>
              </w:rPr>
            </w:pPr>
          </w:p>
        </w:tc>
        <w:tc>
          <w:tcPr>
            <w:tcW w:w="1197" w:type="dxa"/>
            <w:vAlign w:val="center"/>
          </w:tcPr>
          <w:p>
            <w:pPr>
              <w:spacing w:line="440" w:lineRule="exact"/>
              <w:rPr>
                <w:rFonts w:ascii="宋体" w:hAnsi="宋体"/>
                <w:b/>
              </w:rPr>
            </w:pPr>
          </w:p>
        </w:tc>
        <w:tc>
          <w:tcPr>
            <w:tcW w:w="1198" w:type="dxa"/>
            <w:vAlign w:val="center"/>
          </w:tcPr>
          <w:p>
            <w:pPr>
              <w:spacing w:line="440" w:lineRule="exact"/>
              <w:rPr>
                <w:rFonts w:ascii="宋体" w:hAnsi="宋体"/>
                <w:b/>
              </w:rPr>
            </w:pPr>
          </w:p>
        </w:tc>
        <w:tc>
          <w:tcPr>
            <w:tcW w:w="1197" w:type="dxa"/>
            <w:vAlign w:val="center"/>
          </w:tcPr>
          <w:p>
            <w:pPr>
              <w:spacing w:line="440" w:lineRule="exact"/>
              <w:rPr>
                <w:rFonts w:ascii="宋体" w:hAnsi="宋体"/>
                <w:b/>
              </w:rPr>
            </w:pPr>
          </w:p>
        </w:tc>
        <w:tc>
          <w:tcPr>
            <w:tcW w:w="1197" w:type="dxa"/>
            <w:vAlign w:val="center"/>
          </w:tcPr>
          <w:p>
            <w:pPr>
              <w:spacing w:line="440" w:lineRule="exact"/>
              <w:rPr>
                <w:rFonts w:ascii="宋体" w:hAnsi="宋体"/>
                <w:b/>
              </w:rPr>
            </w:pPr>
          </w:p>
        </w:tc>
        <w:tc>
          <w:tcPr>
            <w:tcW w:w="1198" w:type="dxa"/>
            <w:vAlign w:val="center"/>
          </w:tcPr>
          <w:p>
            <w:pPr>
              <w:spacing w:line="440" w:lineRule="exact"/>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spacing w:line="440" w:lineRule="exact"/>
              <w:rPr>
                <w:rFonts w:ascii="宋体" w:hAnsi="宋体"/>
                <w:b/>
              </w:rPr>
            </w:pPr>
            <w:r>
              <w:rPr>
                <w:rFonts w:hint="eastAsia" w:ascii="宋体" w:hAnsi="宋体"/>
                <w:b/>
              </w:rPr>
              <w:t>2</w:t>
            </w:r>
          </w:p>
        </w:tc>
        <w:tc>
          <w:tcPr>
            <w:tcW w:w="2156" w:type="dxa"/>
            <w:vAlign w:val="center"/>
          </w:tcPr>
          <w:p>
            <w:pPr>
              <w:spacing w:line="440" w:lineRule="exact"/>
              <w:rPr>
                <w:rFonts w:ascii="宋体" w:hAnsi="宋体"/>
                <w:b/>
              </w:rPr>
            </w:pPr>
            <w:r>
              <w:rPr>
                <w:rFonts w:hint="eastAsia" w:ascii="宋体" w:hAnsi="宋体"/>
                <w:b/>
              </w:rPr>
              <w:t>投标函电子签名</w:t>
            </w:r>
          </w:p>
        </w:tc>
        <w:tc>
          <w:tcPr>
            <w:tcW w:w="1197" w:type="dxa"/>
            <w:vAlign w:val="center"/>
          </w:tcPr>
          <w:p>
            <w:pPr>
              <w:spacing w:line="440" w:lineRule="exact"/>
              <w:rPr>
                <w:rFonts w:ascii="宋体" w:hAnsi="宋体"/>
                <w:b/>
              </w:rPr>
            </w:pPr>
          </w:p>
        </w:tc>
        <w:tc>
          <w:tcPr>
            <w:tcW w:w="1197" w:type="dxa"/>
            <w:vAlign w:val="center"/>
          </w:tcPr>
          <w:p>
            <w:pPr>
              <w:spacing w:line="440" w:lineRule="exact"/>
              <w:rPr>
                <w:rFonts w:ascii="宋体" w:hAnsi="宋体"/>
                <w:b/>
              </w:rPr>
            </w:pPr>
          </w:p>
        </w:tc>
        <w:tc>
          <w:tcPr>
            <w:tcW w:w="1198" w:type="dxa"/>
            <w:vAlign w:val="center"/>
          </w:tcPr>
          <w:p>
            <w:pPr>
              <w:spacing w:line="440" w:lineRule="exact"/>
              <w:rPr>
                <w:rFonts w:ascii="宋体" w:hAnsi="宋体"/>
                <w:b/>
              </w:rPr>
            </w:pPr>
          </w:p>
        </w:tc>
        <w:tc>
          <w:tcPr>
            <w:tcW w:w="1197" w:type="dxa"/>
            <w:vAlign w:val="center"/>
          </w:tcPr>
          <w:p>
            <w:pPr>
              <w:spacing w:line="440" w:lineRule="exact"/>
              <w:rPr>
                <w:rFonts w:ascii="宋体" w:hAnsi="宋体"/>
                <w:b/>
              </w:rPr>
            </w:pPr>
          </w:p>
        </w:tc>
        <w:tc>
          <w:tcPr>
            <w:tcW w:w="1197" w:type="dxa"/>
            <w:vAlign w:val="center"/>
          </w:tcPr>
          <w:p>
            <w:pPr>
              <w:spacing w:line="440" w:lineRule="exact"/>
              <w:rPr>
                <w:rFonts w:ascii="宋体" w:hAnsi="宋体"/>
                <w:b/>
              </w:rPr>
            </w:pPr>
          </w:p>
        </w:tc>
        <w:tc>
          <w:tcPr>
            <w:tcW w:w="1198" w:type="dxa"/>
            <w:vAlign w:val="center"/>
          </w:tcPr>
          <w:p>
            <w:pPr>
              <w:spacing w:line="440" w:lineRule="exact"/>
              <w:rPr>
                <w:rFonts w:ascii="宋体" w:hAnsi="宋体"/>
                <w:b/>
              </w:rPr>
            </w:pPr>
          </w:p>
        </w:tc>
        <w:tc>
          <w:tcPr>
            <w:tcW w:w="1197" w:type="dxa"/>
            <w:vAlign w:val="center"/>
          </w:tcPr>
          <w:p>
            <w:pPr>
              <w:spacing w:line="440" w:lineRule="exact"/>
              <w:rPr>
                <w:rFonts w:ascii="宋体" w:hAnsi="宋体"/>
                <w:b/>
              </w:rPr>
            </w:pPr>
          </w:p>
        </w:tc>
        <w:tc>
          <w:tcPr>
            <w:tcW w:w="1197" w:type="dxa"/>
            <w:vAlign w:val="center"/>
          </w:tcPr>
          <w:p>
            <w:pPr>
              <w:spacing w:line="440" w:lineRule="exact"/>
              <w:rPr>
                <w:rFonts w:ascii="宋体" w:hAnsi="宋体"/>
                <w:b/>
              </w:rPr>
            </w:pPr>
          </w:p>
        </w:tc>
        <w:tc>
          <w:tcPr>
            <w:tcW w:w="1198" w:type="dxa"/>
            <w:vAlign w:val="center"/>
          </w:tcPr>
          <w:p>
            <w:pPr>
              <w:spacing w:line="440" w:lineRule="exact"/>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spacing w:line="440" w:lineRule="exact"/>
              <w:rPr>
                <w:rFonts w:ascii="宋体" w:hAnsi="宋体"/>
                <w:b/>
              </w:rPr>
            </w:pPr>
            <w:r>
              <w:rPr>
                <w:rFonts w:hint="eastAsia" w:ascii="宋体" w:hAnsi="宋体"/>
                <w:b/>
              </w:rPr>
              <w:t>3</w:t>
            </w:r>
          </w:p>
        </w:tc>
        <w:tc>
          <w:tcPr>
            <w:tcW w:w="2156" w:type="dxa"/>
            <w:vAlign w:val="center"/>
          </w:tcPr>
          <w:p>
            <w:pPr>
              <w:spacing w:line="440" w:lineRule="exact"/>
              <w:rPr>
                <w:rFonts w:ascii="宋体" w:hAnsi="宋体"/>
                <w:b/>
              </w:rPr>
            </w:pPr>
            <w:r>
              <w:rPr>
                <w:rFonts w:hint="eastAsia" w:ascii="宋体" w:hAnsi="宋体"/>
                <w:b/>
              </w:rPr>
              <w:t>投标文件格式</w:t>
            </w:r>
          </w:p>
        </w:tc>
        <w:tc>
          <w:tcPr>
            <w:tcW w:w="1197" w:type="dxa"/>
            <w:vAlign w:val="center"/>
          </w:tcPr>
          <w:p>
            <w:pPr>
              <w:spacing w:line="440" w:lineRule="exact"/>
              <w:rPr>
                <w:rFonts w:ascii="宋体" w:hAnsi="宋体"/>
                <w:b/>
              </w:rPr>
            </w:pPr>
          </w:p>
        </w:tc>
        <w:tc>
          <w:tcPr>
            <w:tcW w:w="1197" w:type="dxa"/>
            <w:vAlign w:val="center"/>
          </w:tcPr>
          <w:p>
            <w:pPr>
              <w:spacing w:line="440" w:lineRule="exact"/>
              <w:rPr>
                <w:rFonts w:ascii="宋体" w:hAnsi="宋体"/>
                <w:b/>
              </w:rPr>
            </w:pPr>
          </w:p>
        </w:tc>
        <w:tc>
          <w:tcPr>
            <w:tcW w:w="1198" w:type="dxa"/>
            <w:vAlign w:val="center"/>
          </w:tcPr>
          <w:p>
            <w:pPr>
              <w:spacing w:line="440" w:lineRule="exact"/>
              <w:rPr>
                <w:rFonts w:ascii="宋体" w:hAnsi="宋体"/>
                <w:b/>
              </w:rPr>
            </w:pPr>
          </w:p>
        </w:tc>
        <w:tc>
          <w:tcPr>
            <w:tcW w:w="1197" w:type="dxa"/>
            <w:vAlign w:val="center"/>
          </w:tcPr>
          <w:p>
            <w:pPr>
              <w:spacing w:line="440" w:lineRule="exact"/>
              <w:rPr>
                <w:rFonts w:ascii="宋体" w:hAnsi="宋体"/>
                <w:b/>
              </w:rPr>
            </w:pPr>
          </w:p>
        </w:tc>
        <w:tc>
          <w:tcPr>
            <w:tcW w:w="1197" w:type="dxa"/>
            <w:vAlign w:val="center"/>
          </w:tcPr>
          <w:p>
            <w:pPr>
              <w:spacing w:line="440" w:lineRule="exact"/>
              <w:rPr>
                <w:rFonts w:ascii="宋体" w:hAnsi="宋体"/>
                <w:b/>
              </w:rPr>
            </w:pPr>
          </w:p>
        </w:tc>
        <w:tc>
          <w:tcPr>
            <w:tcW w:w="1198" w:type="dxa"/>
            <w:vAlign w:val="center"/>
          </w:tcPr>
          <w:p>
            <w:pPr>
              <w:spacing w:line="440" w:lineRule="exact"/>
              <w:rPr>
                <w:rFonts w:ascii="宋体" w:hAnsi="宋体"/>
                <w:b/>
              </w:rPr>
            </w:pPr>
          </w:p>
        </w:tc>
        <w:tc>
          <w:tcPr>
            <w:tcW w:w="1197" w:type="dxa"/>
            <w:vAlign w:val="center"/>
          </w:tcPr>
          <w:p>
            <w:pPr>
              <w:spacing w:line="440" w:lineRule="exact"/>
              <w:rPr>
                <w:rFonts w:ascii="宋体" w:hAnsi="宋体"/>
                <w:b/>
              </w:rPr>
            </w:pPr>
          </w:p>
        </w:tc>
        <w:tc>
          <w:tcPr>
            <w:tcW w:w="1197" w:type="dxa"/>
            <w:vAlign w:val="center"/>
          </w:tcPr>
          <w:p>
            <w:pPr>
              <w:spacing w:line="440" w:lineRule="exact"/>
              <w:rPr>
                <w:rFonts w:ascii="宋体" w:hAnsi="宋体"/>
                <w:b/>
              </w:rPr>
            </w:pPr>
          </w:p>
        </w:tc>
        <w:tc>
          <w:tcPr>
            <w:tcW w:w="1198" w:type="dxa"/>
            <w:vAlign w:val="center"/>
          </w:tcPr>
          <w:p>
            <w:pPr>
              <w:spacing w:line="440" w:lineRule="exact"/>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spacing w:line="440" w:lineRule="exact"/>
              <w:rPr>
                <w:rFonts w:ascii="宋体" w:hAnsi="宋体"/>
                <w:b/>
              </w:rPr>
            </w:pPr>
            <w:r>
              <w:rPr>
                <w:rFonts w:hint="eastAsia" w:ascii="宋体" w:hAnsi="宋体"/>
                <w:b/>
              </w:rPr>
              <w:t>4</w:t>
            </w:r>
          </w:p>
        </w:tc>
        <w:tc>
          <w:tcPr>
            <w:tcW w:w="2156" w:type="dxa"/>
            <w:vAlign w:val="center"/>
          </w:tcPr>
          <w:p>
            <w:pPr>
              <w:spacing w:line="440" w:lineRule="exact"/>
              <w:rPr>
                <w:rFonts w:ascii="宋体" w:hAnsi="宋体"/>
                <w:b/>
              </w:rPr>
            </w:pPr>
            <w:r>
              <w:rPr>
                <w:rFonts w:hint="eastAsia" w:ascii="宋体" w:hAnsi="宋体"/>
                <w:b/>
              </w:rPr>
              <w:t>联合体投标人</w:t>
            </w:r>
          </w:p>
        </w:tc>
        <w:tc>
          <w:tcPr>
            <w:tcW w:w="1197" w:type="dxa"/>
            <w:vAlign w:val="center"/>
          </w:tcPr>
          <w:p>
            <w:pPr>
              <w:spacing w:line="440" w:lineRule="exact"/>
              <w:rPr>
                <w:rFonts w:ascii="宋体" w:hAnsi="宋体"/>
                <w:b/>
              </w:rPr>
            </w:pPr>
          </w:p>
        </w:tc>
        <w:tc>
          <w:tcPr>
            <w:tcW w:w="1197" w:type="dxa"/>
            <w:vAlign w:val="center"/>
          </w:tcPr>
          <w:p>
            <w:pPr>
              <w:spacing w:line="440" w:lineRule="exact"/>
              <w:rPr>
                <w:rFonts w:ascii="宋体" w:hAnsi="宋体"/>
                <w:b/>
              </w:rPr>
            </w:pPr>
          </w:p>
        </w:tc>
        <w:tc>
          <w:tcPr>
            <w:tcW w:w="1198" w:type="dxa"/>
            <w:vAlign w:val="center"/>
          </w:tcPr>
          <w:p>
            <w:pPr>
              <w:spacing w:line="440" w:lineRule="exact"/>
              <w:rPr>
                <w:rFonts w:ascii="宋体" w:hAnsi="宋体"/>
                <w:b/>
              </w:rPr>
            </w:pPr>
          </w:p>
        </w:tc>
        <w:tc>
          <w:tcPr>
            <w:tcW w:w="1197" w:type="dxa"/>
            <w:vAlign w:val="center"/>
          </w:tcPr>
          <w:p>
            <w:pPr>
              <w:spacing w:line="440" w:lineRule="exact"/>
              <w:rPr>
                <w:rFonts w:ascii="宋体" w:hAnsi="宋体"/>
                <w:b/>
              </w:rPr>
            </w:pPr>
          </w:p>
        </w:tc>
        <w:tc>
          <w:tcPr>
            <w:tcW w:w="1197" w:type="dxa"/>
            <w:vAlign w:val="center"/>
          </w:tcPr>
          <w:p>
            <w:pPr>
              <w:spacing w:line="440" w:lineRule="exact"/>
              <w:rPr>
                <w:rFonts w:ascii="宋体" w:hAnsi="宋体"/>
                <w:b/>
              </w:rPr>
            </w:pPr>
          </w:p>
        </w:tc>
        <w:tc>
          <w:tcPr>
            <w:tcW w:w="1198" w:type="dxa"/>
            <w:vAlign w:val="center"/>
          </w:tcPr>
          <w:p>
            <w:pPr>
              <w:spacing w:line="440" w:lineRule="exact"/>
              <w:rPr>
                <w:rFonts w:ascii="宋体" w:hAnsi="宋体"/>
                <w:b/>
              </w:rPr>
            </w:pPr>
          </w:p>
        </w:tc>
        <w:tc>
          <w:tcPr>
            <w:tcW w:w="1197" w:type="dxa"/>
            <w:vAlign w:val="center"/>
          </w:tcPr>
          <w:p>
            <w:pPr>
              <w:spacing w:line="440" w:lineRule="exact"/>
              <w:rPr>
                <w:rFonts w:ascii="宋体" w:hAnsi="宋体"/>
                <w:b/>
              </w:rPr>
            </w:pPr>
          </w:p>
        </w:tc>
        <w:tc>
          <w:tcPr>
            <w:tcW w:w="1197" w:type="dxa"/>
            <w:vAlign w:val="center"/>
          </w:tcPr>
          <w:p>
            <w:pPr>
              <w:spacing w:line="440" w:lineRule="exact"/>
              <w:rPr>
                <w:rFonts w:ascii="宋体" w:hAnsi="宋体"/>
                <w:b/>
              </w:rPr>
            </w:pPr>
          </w:p>
        </w:tc>
        <w:tc>
          <w:tcPr>
            <w:tcW w:w="1198" w:type="dxa"/>
            <w:vAlign w:val="center"/>
          </w:tcPr>
          <w:p>
            <w:pPr>
              <w:spacing w:line="440" w:lineRule="exact"/>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spacing w:line="440" w:lineRule="exact"/>
              <w:rPr>
                <w:rFonts w:ascii="宋体" w:hAnsi="宋体"/>
                <w:b/>
              </w:rPr>
            </w:pPr>
            <w:r>
              <w:rPr>
                <w:rFonts w:hint="eastAsia" w:ascii="宋体" w:hAnsi="宋体"/>
                <w:b/>
              </w:rPr>
              <w:t>5</w:t>
            </w:r>
          </w:p>
        </w:tc>
        <w:tc>
          <w:tcPr>
            <w:tcW w:w="2156" w:type="dxa"/>
            <w:vAlign w:val="center"/>
          </w:tcPr>
          <w:p>
            <w:pPr>
              <w:spacing w:line="440" w:lineRule="exact"/>
              <w:rPr>
                <w:rFonts w:ascii="宋体" w:hAnsi="宋体"/>
                <w:b/>
              </w:rPr>
            </w:pPr>
            <w:r>
              <w:rPr>
                <w:rFonts w:hint="eastAsia" w:ascii="宋体" w:hAnsi="宋体"/>
                <w:b/>
              </w:rPr>
              <w:t>报价唯一</w:t>
            </w:r>
          </w:p>
        </w:tc>
        <w:tc>
          <w:tcPr>
            <w:tcW w:w="1197" w:type="dxa"/>
            <w:vAlign w:val="center"/>
          </w:tcPr>
          <w:p>
            <w:pPr>
              <w:spacing w:line="440" w:lineRule="exact"/>
              <w:rPr>
                <w:rFonts w:ascii="宋体" w:hAnsi="宋体"/>
                <w:b/>
              </w:rPr>
            </w:pPr>
          </w:p>
        </w:tc>
        <w:tc>
          <w:tcPr>
            <w:tcW w:w="1197" w:type="dxa"/>
            <w:vAlign w:val="center"/>
          </w:tcPr>
          <w:p>
            <w:pPr>
              <w:spacing w:line="440" w:lineRule="exact"/>
              <w:rPr>
                <w:rFonts w:ascii="宋体" w:hAnsi="宋体"/>
                <w:b/>
              </w:rPr>
            </w:pPr>
          </w:p>
        </w:tc>
        <w:tc>
          <w:tcPr>
            <w:tcW w:w="1198" w:type="dxa"/>
            <w:vAlign w:val="center"/>
          </w:tcPr>
          <w:p>
            <w:pPr>
              <w:spacing w:line="440" w:lineRule="exact"/>
              <w:rPr>
                <w:rFonts w:ascii="宋体" w:hAnsi="宋体"/>
                <w:b/>
              </w:rPr>
            </w:pPr>
          </w:p>
        </w:tc>
        <w:tc>
          <w:tcPr>
            <w:tcW w:w="1197" w:type="dxa"/>
            <w:vAlign w:val="center"/>
          </w:tcPr>
          <w:p>
            <w:pPr>
              <w:spacing w:line="440" w:lineRule="exact"/>
              <w:rPr>
                <w:rFonts w:ascii="宋体" w:hAnsi="宋体"/>
                <w:b/>
              </w:rPr>
            </w:pPr>
          </w:p>
        </w:tc>
        <w:tc>
          <w:tcPr>
            <w:tcW w:w="1197" w:type="dxa"/>
            <w:vAlign w:val="center"/>
          </w:tcPr>
          <w:p>
            <w:pPr>
              <w:spacing w:line="440" w:lineRule="exact"/>
              <w:rPr>
                <w:rFonts w:ascii="宋体" w:hAnsi="宋体"/>
                <w:b/>
              </w:rPr>
            </w:pPr>
          </w:p>
        </w:tc>
        <w:tc>
          <w:tcPr>
            <w:tcW w:w="1198" w:type="dxa"/>
            <w:vAlign w:val="center"/>
          </w:tcPr>
          <w:p>
            <w:pPr>
              <w:spacing w:line="440" w:lineRule="exact"/>
              <w:rPr>
                <w:rFonts w:ascii="宋体" w:hAnsi="宋体"/>
                <w:b/>
              </w:rPr>
            </w:pPr>
          </w:p>
        </w:tc>
        <w:tc>
          <w:tcPr>
            <w:tcW w:w="1197" w:type="dxa"/>
            <w:vAlign w:val="center"/>
          </w:tcPr>
          <w:p>
            <w:pPr>
              <w:spacing w:line="440" w:lineRule="exact"/>
              <w:rPr>
                <w:rFonts w:ascii="宋体" w:hAnsi="宋体"/>
                <w:b/>
              </w:rPr>
            </w:pPr>
          </w:p>
        </w:tc>
        <w:tc>
          <w:tcPr>
            <w:tcW w:w="1197" w:type="dxa"/>
            <w:vAlign w:val="center"/>
          </w:tcPr>
          <w:p>
            <w:pPr>
              <w:spacing w:line="440" w:lineRule="exact"/>
              <w:rPr>
                <w:rFonts w:ascii="宋体" w:hAnsi="宋体"/>
                <w:b/>
              </w:rPr>
            </w:pPr>
          </w:p>
        </w:tc>
        <w:tc>
          <w:tcPr>
            <w:tcW w:w="1198" w:type="dxa"/>
            <w:vAlign w:val="center"/>
          </w:tcPr>
          <w:p>
            <w:pPr>
              <w:spacing w:line="440" w:lineRule="exact"/>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spacing w:line="440" w:lineRule="exact"/>
              <w:rPr>
                <w:rFonts w:ascii="宋体" w:hAnsi="宋体"/>
                <w:b/>
              </w:rPr>
            </w:pPr>
            <w:r>
              <w:rPr>
                <w:rFonts w:hint="eastAsia" w:ascii="宋体" w:hAnsi="宋体"/>
                <w:b/>
              </w:rPr>
              <w:t>6</w:t>
            </w:r>
          </w:p>
        </w:tc>
        <w:tc>
          <w:tcPr>
            <w:tcW w:w="2156" w:type="dxa"/>
            <w:vAlign w:val="center"/>
          </w:tcPr>
          <w:p>
            <w:pPr>
              <w:spacing w:line="440" w:lineRule="exact"/>
              <w:rPr>
                <w:rFonts w:ascii="宋体" w:hAnsi="宋体"/>
                <w:b/>
              </w:rPr>
            </w:pPr>
            <w:r>
              <w:rPr>
                <w:rFonts w:hint="eastAsia" w:ascii="宋体" w:hAnsi="宋体"/>
                <w:b/>
              </w:rPr>
              <w:t>……</w:t>
            </w:r>
          </w:p>
        </w:tc>
        <w:tc>
          <w:tcPr>
            <w:tcW w:w="1197" w:type="dxa"/>
            <w:vAlign w:val="center"/>
          </w:tcPr>
          <w:p>
            <w:pPr>
              <w:spacing w:line="440" w:lineRule="exact"/>
              <w:rPr>
                <w:rFonts w:ascii="宋体" w:hAnsi="宋体"/>
                <w:b/>
              </w:rPr>
            </w:pPr>
          </w:p>
        </w:tc>
        <w:tc>
          <w:tcPr>
            <w:tcW w:w="1197" w:type="dxa"/>
            <w:vAlign w:val="center"/>
          </w:tcPr>
          <w:p>
            <w:pPr>
              <w:spacing w:line="440" w:lineRule="exact"/>
              <w:rPr>
                <w:rFonts w:ascii="宋体" w:hAnsi="宋体"/>
                <w:b/>
              </w:rPr>
            </w:pPr>
          </w:p>
        </w:tc>
        <w:tc>
          <w:tcPr>
            <w:tcW w:w="1198" w:type="dxa"/>
            <w:vAlign w:val="center"/>
          </w:tcPr>
          <w:p>
            <w:pPr>
              <w:spacing w:line="440" w:lineRule="exact"/>
              <w:rPr>
                <w:rFonts w:ascii="宋体" w:hAnsi="宋体"/>
                <w:b/>
              </w:rPr>
            </w:pPr>
          </w:p>
        </w:tc>
        <w:tc>
          <w:tcPr>
            <w:tcW w:w="1197" w:type="dxa"/>
            <w:vAlign w:val="center"/>
          </w:tcPr>
          <w:p>
            <w:pPr>
              <w:spacing w:line="440" w:lineRule="exact"/>
              <w:rPr>
                <w:rFonts w:ascii="宋体" w:hAnsi="宋体"/>
                <w:b/>
              </w:rPr>
            </w:pPr>
          </w:p>
        </w:tc>
        <w:tc>
          <w:tcPr>
            <w:tcW w:w="1197" w:type="dxa"/>
            <w:vAlign w:val="center"/>
          </w:tcPr>
          <w:p>
            <w:pPr>
              <w:spacing w:line="440" w:lineRule="exact"/>
              <w:rPr>
                <w:rFonts w:ascii="宋体" w:hAnsi="宋体"/>
                <w:b/>
              </w:rPr>
            </w:pPr>
          </w:p>
        </w:tc>
        <w:tc>
          <w:tcPr>
            <w:tcW w:w="1198" w:type="dxa"/>
            <w:vAlign w:val="center"/>
          </w:tcPr>
          <w:p>
            <w:pPr>
              <w:spacing w:line="440" w:lineRule="exact"/>
              <w:rPr>
                <w:rFonts w:ascii="宋体" w:hAnsi="宋体"/>
                <w:b/>
              </w:rPr>
            </w:pPr>
          </w:p>
        </w:tc>
        <w:tc>
          <w:tcPr>
            <w:tcW w:w="1197" w:type="dxa"/>
            <w:vAlign w:val="center"/>
          </w:tcPr>
          <w:p>
            <w:pPr>
              <w:spacing w:line="440" w:lineRule="exact"/>
              <w:rPr>
                <w:rFonts w:ascii="宋体" w:hAnsi="宋体"/>
                <w:b/>
              </w:rPr>
            </w:pPr>
          </w:p>
        </w:tc>
        <w:tc>
          <w:tcPr>
            <w:tcW w:w="1197" w:type="dxa"/>
            <w:vAlign w:val="center"/>
          </w:tcPr>
          <w:p>
            <w:pPr>
              <w:spacing w:line="440" w:lineRule="exact"/>
              <w:rPr>
                <w:rFonts w:ascii="宋体" w:hAnsi="宋体"/>
                <w:b/>
              </w:rPr>
            </w:pPr>
          </w:p>
        </w:tc>
        <w:tc>
          <w:tcPr>
            <w:tcW w:w="1198" w:type="dxa"/>
            <w:vAlign w:val="center"/>
          </w:tcPr>
          <w:p>
            <w:pPr>
              <w:spacing w:line="440" w:lineRule="exact"/>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12" w:type="dxa"/>
            <w:vAlign w:val="center"/>
          </w:tcPr>
          <w:p>
            <w:pPr>
              <w:spacing w:line="440" w:lineRule="exact"/>
              <w:rPr>
                <w:rFonts w:ascii="宋体" w:hAnsi="宋体"/>
                <w:b/>
              </w:rPr>
            </w:pPr>
          </w:p>
        </w:tc>
        <w:tc>
          <w:tcPr>
            <w:tcW w:w="2156" w:type="dxa"/>
            <w:vAlign w:val="center"/>
          </w:tcPr>
          <w:p>
            <w:pPr>
              <w:spacing w:line="440" w:lineRule="exact"/>
              <w:rPr>
                <w:rFonts w:ascii="宋体" w:hAnsi="宋体"/>
                <w:b/>
              </w:rPr>
            </w:pPr>
            <w:r>
              <w:rPr>
                <w:rFonts w:hint="eastAsia" w:ascii="宋体" w:hAnsi="宋体"/>
                <w:b/>
              </w:rPr>
              <w:t>是否通过评审</w:t>
            </w:r>
          </w:p>
        </w:tc>
        <w:tc>
          <w:tcPr>
            <w:tcW w:w="1197" w:type="dxa"/>
            <w:vAlign w:val="center"/>
          </w:tcPr>
          <w:p>
            <w:pPr>
              <w:spacing w:line="440" w:lineRule="exact"/>
              <w:rPr>
                <w:rFonts w:ascii="宋体" w:hAnsi="宋体"/>
                <w:b/>
              </w:rPr>
            </w:pPr>
          </w:p>
        </w:tc>
        <w:tc>
          <w:tcPr>
            <w:tcW w:w="1197" w:type="dxa"/>
            <w:vAlign w:val="center"/>
          </w:tcPr>
          <w:p>
            <w:pPr>
              <w:spacing w:line="440" w:lineRule="exact"/>
              <w:rPr>
                <w:rFonts w:ascii="宋体" w:hAnsi="宋体"/>
                <w:b/>
              </w:rPr>
            </w:pPr>
          </w:p>
        </w:tc>
        <w:tc>
          <w:tcPr>
            <w:tcW w:w="1198" w:type="dxa"/>
            <w:vAlign w:val="center"/>
          </w:tcPr>
          <w:p>
            <w:pPr>
              <w:spacing w:line="440" w:lineRule="exact"/>
              <w:rPr>
                <w:rFonts w:ascii="宋体" w:hAnsi="宋体"/>
                <w:b/>
              </w:rPr>
            </w:pPr>
          </w:p>
        </w:tc>
        <w:tc>
          <w:tcPr>
            <w:tcW w:w="1197" w:type="dxa"/>
            <w:vAlign w:val="center"/>
          </w:tcPr>
          <w:p>
            <w:pPr>
              <w:spacing w:line="440" w:lineRule="exact"/>
              <w:rPr>
                <w:rFonts w:ascii="宋体" w:hAnsi="宋体"/>
                <w:b/>
              </w:rPr>
            </w:pPr>
          </w:p>
        </w:tc>
        <w:tc>
          <w:tcPr>
            <w:tcW w:w="1197" w:type="dxa"/>
            <w:vAlign w:val="center"/>
          </w:tcPr>
          <w:p>
            <w:pPr>
              <w:spacing w:line="440" w:lineRule="exact"/>
              <w:rPr>
                <w:rFonts w:ascii="宋体" w:hAnsi="宋体"/>
                <w:b/>
              </w:rPr>
            </w:pPr>
          </w:p>
        </w:tc>
        <w:tc>
          <w:tcPr>
            <w:tcW w:w="1198" w:type="dxa"/>
            <w:vAlign w:val="center"/>
          </w:tcPr>
          <w:p>
            <w:pPr>
              <w:spacing w:line="440" w:lineRule="exact"/>
              <w:rPr>
                <w:rFonts w:ascii="宋体" w:hAnsi="宋体"/>
                <w:b/>
              </w:rPr>
            </w:pPr>
          </w:p>
        </w:tc>
        <w:tc>
          <w:tcPr>
            <w:tcW w:w="1197" w:type="dxa"/>
            <w:vAlign w:val="center"/>
          </w:tcPr>
          <w:p>
            <w:pPr>
              <w:spacing w:line="440" w:lineRule="exact"/>
              <w:rPr>
                <w:rFonts w:ascii="宋体" w:hAnsi="宋体"/>
                <w:b/>
              </w:rPr>
            </w:pPr>
          </w:p>
        </w:tc>
        <w:tc>
          <w:tcPr>
            <w:tcW w:w="1197" w:type="dxa"/>
            <w:vAlign w:val="center"/>
          </w:tcPr>
          <w:p>
            <w:pPr>
              <w:spacing w:line="440" w:lineRule="exact"/>
              <w:rPr>
                <w:rFonts w:ascii="宋体" w:hAnsi="宋体"/>
                <w:b/>
              </w:rPr>
            </w:pPr>
          </w:p>
        </w:tc>
        <w:tc>
          <w:tcPr>
            <w:tcW w:w="1198" w:type="dxa"/>
            <w:vAlign w:val="center"/>
          </w:tcPr>
          <w:p>
            <w:pPr>
              <w:spacing w:line="440" w:lineRule="exact"/>
              <w:rPr>
                <w:rFonts w:ascii="宋体" w:hAnsi="宋体"/>
                <w:b/>
              </w:rPr>
            </w:pPr>
          </w:p>
        </w:tc>
      </w:tr>
    </w:tbl>
    <w:p>
      <w:pPr>
        <w:spacing w:line="440" w:lineRule="exact"/>
        <w:rPr>
          <w:rFonts w:ascii="宋体" w:hAnsi="宋体"/>
          <w:b/>
        </w:rPr>
      </w:pPr>
      <w:r>
        <w:rPr>
          <w:rFonts w:hint="eastAsia" w:ascii="宋体" w:hAnsi="宋体"/>
          <w:b/>
        </w:rPr>
        <w:t xml:space="preserve">评标委员会全体成员签名：  </w:t>
      </w:r>
    </w:p>
    <w:p>
      <w:pPr>
        <w:spacing w:line="440" w:lineRule="exact"/>
        <w:rPr>
          <w:rFonts w:ascii="宋体" w:hAnsi="宋体"/>
          <w:b/>
        </w:rPr>
      </w:pPr>
    </w:p>
    <w:p>
      <w:pPr>
        <w:spacing w:line="440" w:lineRule="exact"/>
        <w:jc w:val="right"/>
        <w:rPr>
          <w:rFonts w:ascii="宋体" w:hAnsi="宋体"/>
          <w:b/>
        </w:rPr>
      </w:pPr>
      <w:r>
        <w:rPr>
          <w:rFonts w:hint="eastAsia" w:ascii="宋体" w:hAnsi="宋体"/>
          <w:b/>
        </w:rPr>
        <w:t>日期：        年     月     日</w:t>
      </w:r>
    </w:p>
    <w:p>
      <w:pPr>
        <w:widowControl/>
        <w:jc w:val="left"/>
        <w:rPr>
          <w:rFonts w:ascii="宋体" w:hAnsi="宋体"/>
          <w:b/>
        </w:rPr>
      </w:pPr>
      <w:r>
        <w:rPr>
          <w:rFonts w:ascii="宋体" w:hAnsi="宋体"/>
          <w:b/>
        </w:rPr>
        <w:br w:type="page"/>
      </w:r>
    </w:p>
    <w:p>
      <w:pPr>
        <w:spacing w:line="440" w:lineRule="exact"/>
        <w:jc w:val="left"/>
        <w:rPr>
          <w:rFonts w:ascii="宋体" w:hAnsi="宋体"/>
          <w:b/>
        </w:rPr>
      </w:pPr>
      <w:r>
        <w:rPr>
          <w:rFonts w:hint="eastAsia" w:ascii="宋体" w:hAnsi="宋体"/>
          <w:b/>
        </w:rPr>
        <w:t>附表A-3：资格评审记录表(适用于未进行资格预审的)</w:t>
      </w:r>
    </w:p>
    <w:p>
      <w:pPr>
        <w:spacing w:before="120" w:beforeLines="50" w:after="120" w:afterLines="50" w:line="440" w:lineRule="exact"/>
        <w:jc w:val="center"/>
        <w:rPr>
          <w:rFonts w:ascii="黑体" w:eastAsia="黑体"/>
          <w:sz w:val="28"/>
          <w:szCs w:val="28"/>
        </w:rPr>
      </w:pPr>
      <w:r>
        <w:rPr>
          <w:rFonts w:hint="eastAsia" w:ascii="黑体" w:eastAsia="黑体"/>
          <w:sz w:val="28"/>
          <w:szCs w:val="28"/>
        </w:rPr>
        <w:t>资格评审记录表(适用于未进行资格预审的)</w:t>
      </w:r>
    </w:p>
    <w:p>
      <w:pPr>
        <w:spacing w:after="72" w:afterLines="30" w:line="440" w:lineRule="exact"/>
        <w:ind w:firstLine="1260" w:firstLineChars="600"/>
        <w:rPr>
          <w:rFonts w:ascii="宋体" w:hAnsi="宋体"/>
        </w:rPr>
      </w:pPr>
      <w:r>
        <w:rPr>
          <w:rFonts w:hint="eastAsia" w:ascii="宋体" w:hAnsi="宋体"/>
        </w:rPr>
        <w:t>工程名称：(项目名称)标段</w:t>
      </w:r>
    </w:p>
    <w:tbl>
      <w:tblPr>
        <w:tblStyle w:val="44"/>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vMerge w:val="restart"/>
            <w:vAlign w:val="center"/>
          </w:tcPr>
          <w:p>
            <w:pPr>
              <w:spacing w:line="440" w:lineRule="exact"/>
              <w:jc w:val="center"/>
              <w:rPr>
                <w:rFonts w:ascii="宋体" w:hAnsi="宋体"/>
              </w:rPr>
            </w:pPr>
            <w:r>
              <w:rPr>
                <w:rFonts w:hint="eastAsia" w:ascii="宋体" w:hAnsi="宋体"/>
              </w:rPr>
              <w:t>序号</w:t>
            </w:r>
          </w:p>
        </w:tc>
        <w:tc>
          <w:tcPr>
            <w:tcW w:w="2156" w:type="dxa"/>
            <w:vMerge w:val="restart"/>
            <w:vAlign w:val="center"/>
          </w:tcPr>
          <w:p>
            <w:pPr>
              <w:spacing w:line="440" w:lineRule="exact"/>
              <w:jc w:val="center"/>
              <w:rPr>
                <w:rFonts w:ascii="宋体" w:hAnsi="宋体"/>
              </w:rPr>
            </w:pPr>
            <w:r>
              <w:rPr>
                <w:rFonts w:hint="eastAsia" w:ascii="宋体" w:hAnsi="宋体"/>
              </w:rPr>
              <w:t>评审因素</w:t>
            </w:r>
          </w:p>
        </w:tc>
        <w:tc>
          <w:tcPr>
            <w:tcW w:w="10776" w:type="dxa"/>
            <w:gridSpan w:val="9"/>
            <w:vAlign w:val="center"/>
          </w:tcPr>
          <w:p>
            <w:pPr>
              <w:spacing w:line="440" w:lineRule="exact"/>
              <w:jc w:val="center"/>
              <w:rPr>
                <w:rFonts w:ascii="宋体" w:hAnsi="宋体"/>
              </w:rPr>
            </w:pPr>
            <w:r>
              <w:rPr>
                <w:rFonts w:hint="eastAsia"/>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continue"/>
            <w:vAlign w:val="center"/>
          </w:tcPr>
          <w:p>
            <w:pPr>
              <w:spacing w:line="440" w:lineRule="exact"/>
              <w:jc w:val="center"/>
              <w:rPr>
                <w:rFonts w:ascii="黑体" w:hAnsi="宋体" w:eastAsia="黑体"/>
              </w:rPr>
            </w:pPr>
          </w:p>
        </w:tc>
        <w:tc>
          <w:tcPr>
            <w:tcW w:w="2156" w:type="dxa"/>
            <w:vMerge w:val="continue"/>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8"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8"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8"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440" w:lineRule="exact"/>
              <w:jc w:val="center"/>
              <w:rPr>
                <w:rFonts w:ascii="黑体" w:hAnsi="宋体" w:eastAsia="黑体"/>
              </w:rPr>
            </w:pPr>
            <w:r>
              <w:rPr>
                <w:rFonts w:hint="eastAsia" w:ascii="黑体" w:hAnsi="宋体" w:eastAsia="黑体"/>
              </w:rPr>
              <w:t>1</w:t>
            </w:r>
          </w:p>
        </w:tc>
        <w:tc>
          <w:tcPr>
            <w:tcW w:w="2156" w:type="dxa"/>
            <w:vAlign w:val="center"/>
          </w:tcPr>
          <w:p>
            <w:pPr>
              <w:spacing w:line="440" w:lineRule="exact"/>
              <w:jc w:val="center"/>
              <w:rPr>
                <w:rFonts w:ascii="宋体" w:hAnsi="宋体"/>
              </w:rPr>
            </w:pPr>
            <w:r>
              <w:rPr>
                <w:rFonts w:hint="eastAsia"/>
              </w:rPr>
              <w:t>营业执照</w:t>
            </w:r>
          </w:p>
        </w:tc>
        <w:tc>
          <w:tcPr>
            <w:tcW w:w="1197"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8"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8"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8"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440" w:lineRule="exact"/>
              <w:jc w:val="center"/>
              <w:rPr>
                <w:rFonts w:ascii="黑体" w:hAnsi="宋体" w:eastAsia="黑体"/>
              </w:rPr>
            </w:pPr>
            <w:r>
              <w:rPr>
                <w:rFonts w:hint="eastAsia" w:ascii="黑体" w:hAnsi="宋体" w:eastAsia="黑体"/>
              </w:rPr>
              <w:t>2</w:t>
            </w:r>
          </w:p>
        </w:tc>
        <w:tc>
          <w:tcPr>
            <w:tcW w:w="2156" w:type="dxa"/>
            <w:vAlign w:val="center"/>
          </w:tcPr>
          <w:p>
            <w:pPr>
              <w:spacing w:line="440" w:lineRule="exact"/>
              <w:jc w:val="center"/>
            </w:pPr>
            <w:r>
              <w:rPr>
                <w:rFonts w:hint="eastAsia"/>
              </w:rPr>
              <w:t>安全生产许可证</w:t>
            </w:r>
          </w:p>
        </w:tc>
        <w:tc>
          <w:tcPr>
            <w:tcW w:w="1197"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8"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8"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8"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440" w:lineRule="exact"/>
              <w:jc w:val="center"/>
              <w:rPr>
                <w:rFonts w:ascii="黑体" w:hAnsi="宋体" w:eastAsia="黑体"/>
              </w:rPr>
            </w:pPr>
            <w:r>
              <w:rPr>
                <w:rFonts w:hint="eastAsia" w:ascii="黑体" w:hAnsi="宋体" w:eastAsia="黑体"/>
              </w:rPr>
              <w:t>3</w:t>
            </w:r>
          </w:p>
        </w:tc>
        <w:tc>
          <w:tcPr>
            <w:tcW w:w="2156" w:type="dxa"/>
            <w:vAlign w:val="center"/>
          </w:tcPr>
          <w:p>
            <w:pPr>
              <w:spacing w:line="440" w:lineRule="exact"/>
              <w:jc w:val="center"/>
            </w:pPr>
            <w:r>
              <w:rPr>
                <w:rFonts w:hint="eastAsia"/>
              </w:rPr>
              <w:t>资质等级</w:t>
            </w:r>
          </w:p>
        </w:tc>
        <w:tc>
          <w:tcPr>
            <w:tcW w:w="1197"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8"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8"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8"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440" w:lineRule="exact"/>
              <w:jc w:val="center"/>
              <w:rPr>
                <w:rFonts w:ascii="黑体" w:hAnsi="宋体" w:eastAsia="黑体"/>
              </w:rPr>
            </w:pPr>
            <w:r>
              <w:rPr>
                <w:rFonts w:hint="eastAsia" w:ascii="黑体" w:hAnsi="宋体" w:eastAsia="黑体"/>
              </w:rPr>
              <w:t>4</w:t>
            </w:r>
          </w:p>
        </w:tc>
        <w:tc>
          <w:tcPr>
            <w:tcW w:w="2156" w:type="dxa"/>
            <w:vAlign w:val="center"/>
          </w:tcPr>
          <w:p>
            <w:pPr>
              <w:spacing w:line="440" w:lineRule="exact"/>
              <w:jc w:val="center"/>
            </w:pPr>
            <w:r>
              <w:rPr>
                <w:rFonts w:hint="eastAsia"/>
              </w:rPr>
              <w:t>财务状况</w:t>
            </w:r>
          </w:p>
        </w:tc>
        <w:tc>
          <w:tcPr>
            <w:tcW w:w="1197"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8"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8"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8"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440" w:lineRule="exact"/>
              <w:jc w:val="center"/>
              <w:rPr>
                <w:rFonts w:ascii="黑体" w:hAnsi="宋体" w:eastAsia="黑体"/>
              </w:rPr>
            </w:pPr>
            <w:r>
              <w:rPr>
                <w:rFonts w:hint="eastAsia" w:ascii="黑体" w:hAnsi="宋体" w:eastAsia="黑体"/>
              </w:rPr>
              <w:t>5</w:t>
            </w:r>
          </w:p>
        </w:tc>
        <w:tc>
          <w:tcPr>
            <w:tcW w:w="2156" w:type="dxa"/>
            <w:vAlign w:val="center"/>
          </w:tcPr>
          <w:p>
            <w:pPr>
              <w:spacing w:line="440" w:lineRule="exact"/>
              <w:jc w:val="center"/>
            </w:pPr>
            <w:r>
              <w:rPr>
                <w:rFonts w:hint="eastAsia"/>
              </w:rPr>
              <w:t>类似项目业绩</w:t>
            </w:r>
          </w:p>
        </w:tc>
        <w:tc>
          <w:tcPr>
            <w:tcW w:w="1197"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8"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8"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8"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440" w:lineRule="exact"/>
              <w:jc w:val="center"/>
              <w:rPr>
                <w:rFonts w:ascii="黑体" w:hAnsi="宋体" w:eastAsia="黑体"/>
              </w:rPr>
            </w:pPr>
            <w:r>
              <w:rPr>
                <w:rFonts w:hint="eastAsia" w:ascii="黑体" w:hAnsi="宋体" w:eastAsia="黑体"/>
              </w:rPr>
              <w:t>6</w:t>
            </w:r>
          </w:p>
        </w:tc>
        <w:tc>
          <w:tcPr>
            <w:tcW w:w="2156" w:type="dxa"/>
            <w:vAlign w:val="center"/>
          </w:tcPr>
          <w:p>
            <w:pPr>
              <w:spacing w:line="440" w:lineRule="exact"/>
              <w:jc w:val="center"/>
            </w:pPr>
            <w:r>
              <w:rPr>
                <w:rFonts w:hint="eastAsia"/>
              </w:rPr>
              <w:t>信誉</w:t>
            </w:r>
          </w:p>
        </w:tc>
        <w:tc>
          <w:tcPr>
            <w:tcW w:w="1197"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8"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8"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8"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440" w:lineRule="exact"/>
              <w:jc w:val="center"/>
              <w:rPr>
                <w:rFonts w:ascii="黑体" w:hAnsi="宋体" w:eastAsia="黑体"/>
              </w:rPr>
            </w:pPr>
            <w:r>
              <w:rPr>
                <w:rFonts w:hint="eastAsia" w:ascii="黑体" w:hAnsi="宋体" w:eastAsia="黑体"/>
              </w:rPr>
              <w:t>7</w:t>
            </w:r>
          </w:p>
        </w:tc>
        <w:tc>
          <w:tcPr>
            <w:tcW w:w="2156" w:type="dxa"/>
            <w:vAlign w:val="center"/>
          </w:tcPr>
          <w:p>
            <w:pPr>
              <w:spacing w:line="440" w:lineRule="exact"/>
              <w:jc w:val="center"/>
            </w:pPr>
            <w:r>
              <w:rPr>
                <w:rFonts w:hint="eastAsia"/>
              </w:rPr>
              <w:t>项目经理</w:t>
            </w:r>
          </w:p>
        </w:tc>
        <w:tc>
          <w:tcPr>
            <w:tcW w:w="1197"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8"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8"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8"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440" w:lineRule="exact"/>
              <w:jc w:val="center"/>
              <w:rPr>
                <w:rFonts w:ascii="黑体" w:hAnsi="宋体" w:eastAsia="黑体"/>
              </w:rPr>
            </w:pPr>
            <w:r>
              <w:rPr>
                <w:rFonts w:hint="eastAsia" w:ascii="黑体" w:hAnsi="宋体" w:eastAsia="黑体"/>
              </w:rPr>
              <w:t>8</w:t>
            </w:r>
          </w:p>
        </w:tc>
        <w:tc>
          <w:tcPr>
            <w:tcW w:w="2156" w:type="dxa"/>
            <w:vAlign w:val="center"/>
          </w:tcPr>
          <w:p>
            <w:pPr>
              <w:spacing w:line="440" w:lineRule="exact"/>
              <w:jc w:val="center"/>
            </w:pPr>
            <w:r>
              <w:rPr>
                <w:rFonts w:hint="eastAsia"/>
              </w:rPr>
              <w:t>其他要求</w:t>
            </w:r>
          </w:p>
        </w:tc>
        <w:tc>
          <w:tcPr>
            <w:tcW w:w="1197"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8"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8"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8"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440" w:lineRule="exact"/>
              <w:jc w:val="center"/>
              <w:rPr>
                <w:rFonts w:ascii="黑体" w:hAnsi="宋体" w:eastAsia="黑体"/>
              </w:rPr>
            </w:pPr>
            <w:r>
              <w:rPr>
                <w:rFonts w:hint="eastAsia" w:ascii="黑体" w:hAnsi="宋体" w:eastAsia="黑体"/>
              </w:rPr>
              <w:t>9</w:t>
            </w:r>
          </w:p>
        </w:tc>
        <w:tc>
          <w:tcPr>
            <w:tcW w:w="2156" w:type="dxa"/>
            <w:vAlign w:val="center"/>
          </w:tcPr>
          <w:p>
            <w:pPr>
              <w:spacing w:line="440" w:lineRule="exact"/>
              <w:jc w:val="center"/>
            </w:pPr>
            <w:r>
              <w:rPr>
                <w:rFonts w:hint="eastAsia"/>
              </w:rPr>
              <w:t>联合体投标人</w:t>
            </w:r>
          </w:p>
        </w:tc>
        <w:tc>
          <w:tcPr>
            <w:tcW w:w="1197"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8"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8"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8"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spacing w:line="440" w:lineRule="exact"/>
              <w:jc w:val="center"/>
              <w:rPr>
                <w:rFonts w:ascii="黑体" w:hAnsi="宋体" w:eastAsia="黑体"/>
              </w:rPr>
            </w:pPr>
            <w:r>
              <w:rPr>
                <w:rFonts w:hint="eastAsia" w:ascii="黑体" w:hAnsi="宋体" w:eastAsia="黑体"/>
              </w:rPr>
              <w:t>10</w:t>
            </w:r>
          </w:p>
        </w:tc>
        <w:tc>
          <w:tcPr>
            <w:tcW w:w="2156" w:type="dxa"/>
            <w:vAlign w:val="center"/>
          </w:tcPr>
          <w:p>
            <w:pPr>
              <w:spacing w:line="440" w:lineRule="exact"/>
              <w:jc w:val="center"/>
            </w:pPr>
            <w:r>
              <w:rPr>
                <w:rFonts w:hint="eastAsia"/>
              </w:rPr>
              <w:t>……</w:t>
            </w:r>
          </w:p>
        </w:tc>
        <w:tc>
          <w:tcPr>
            <w:tcW w:w="1197"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8"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8"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8" w:type="dxa"/>
            <w:vAlign w:val="center"/>
          </w:tcPr>
          <w:p>
            <w:pPr>
              <w:spacing w:line="440" w:lineRule="exact"/>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68" w:type="dxa"/>
            <w:gridSpan w:val="2"/>
            <w:vAlign w:val="center"/>
          </w:tcPr>
          <w:p>
            <w:pPr>
              <w:spacing w:line="440" w:lineRule="exact"/>
              <w:jc w:val="center"/>
            </w:pPr>
            <w:r>
              <w:rPr>
                <w:rFonts w:hint="eastAsia"/>
              </w:rPr>
              <w:t>是否通过评审</w:t>
            </w:r>
          </w:p>
          <w:p>
            <w:pPr>
              <w:spacing w:line="440" w:lineRule="exact"/>
              <w:jc w:val="center"/>
            </w:pPr>
          </w:p>
        </w:tc>
        <w:tc>
          <w:tcPr>
            <w:tcW w:w="1197"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8"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8"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7" w:type="dxa"/>
            <w:vAlign w:val="center"/>
          </w:tcPr>
          <w:p>
            <w:pPr>
              <w:spacing w:line="440" w:lineRule="exact"/>
              <w:jc w:val="center"/>
              <w:rPr>
                <w:rFonts w:ascii="宋体" w:hAnsi="宋体"/>
              </w:rPr>
            </w:pPr>
          </w:p>
        </w:tc>
        <w:tc>
          <w:tcPr>
            <w:tcW w:w="1198" w:type="dxa"/>
            <w:vAlign w:val="center"/>
          </w:tcPr>
          <w:p>
            <w:pPr>
              <w:spacing w:line="440" w:lineRule="exact"/>
              <w:jc w:val="center"/>
              <w:rPr>
                <w:rFonts w:ascii="宋体" w:hAnsi="宋体"/>
              </w:rPr>
            </w:pPr>
          </w:p>
        </w:tc>
      </w:tr>
    </w:tbl>
    <w:p>
      <w:pPr>
        <w:spacing w:line="440" w:lineRule="exact"/>
      </w:pPr>
      <w:r>
        <w:rPr>
          <w:rFonts w:hint="eastAsia"/>
        </w:rPr>
        <w:t>评标委员会全体成员签名：日期：年月日</w:t>
      </w:r>
    </w:p>
    <w:p>
      <w:pPr>
        <w:widowControl/>
        <w:jc w:val="left"/>
        <w:rPr>
          <w:rFonts w:ascii="宋体" w:hAnsi="宋体"/>
          <w:b/>
        </w:rPr>
      </w:pPr>
      <w:r>
        <w:rPr>
          <w:rFonts w:ascii="宋体" w:hAnsi="宋体"/>
          <w:b/>
        </w:rPr>
        <w:br w:type="page"/>
      </w:r>
    </w:p>
    <w:p>
      <w:pPr>
        <w:spacing w:line="440" w:lineRule="exact"/>
        <w:rPr>
          <w:rFonts w:ascii="宋体" w:hAnsi="宋体"/>
          <w:b/>
        </w:rPr>
      </w:pPr>
      <w:r>
        <w:rPr>
          <w:rFonts w:hint="eastAsia" w:ascii="宋体" w:hAnsi="宋体"/>
          <w:b/>
        </w:rPr>
        <w:t>附表A-4：响应性评审记录表</w:t>
      </w:r>
    </w:p>
    <w:p>
      <w:pPr>
        <w:spacing w:before="120" w:beforeLines="50" w:after="120" w:afterLines="50" w:line="440" w:lineRule="exact"/>
        <w:jc w:val="center"/>
        <w:rPr>
          <w:rFonts w:ascii="黑体" w:eastAsia="黑体"/>
          <w:sz w:val="28"/>
          <w:szCs w:val="28"/>
        </w:rPr>
      </w:pPr>
      <w:r>
        <w:rPr>
          <w:rFonts w:hint="eastAsia" w:ascii="黑体" w:eastAsia="黑体"/>
          <w:sz w:val="28"/>
          <w:szCs w:val="28"/>
        </w:rPr>
        <w:t>响应性评审记录表</w:t>
      </w:r>
    </w:p>
    <w:p>
      <w:pPr>
        <w:spacing w:after="72" w:afterLines="30" w:line="440" w:lineRule="exact"/>
        <w:rPr>
          <w:rFonts w:ascii="宋体" w:hAnsi="宋体"/>
        </w:rPr>
      </w:pPr>
      <w:r>
        <w:rPr>
          <w:rFonts w:hint="eastAsia" w:ascii="宋体" w:hAnsi="宋体"/>
        </w:rPr>
        <w:t>工程名称：(项目名称)标段</w:t>
      </w:r>
    </w:p>
    <w:tbl>
      <w:tblPr>
        <w:tblStyle w:val="44"/>
        <w:tblW w:w="13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2156"/>
        <w:gridCol w:w="1197"/>
        <w:gridCol w:w="1197"/>
        <w:gridCol w:w="1198"/>
        <w:gridCol w:w="1197"/>
        <w:gridCol w:w="1197"/>
        <w:gridCol w:w="1198"/>
        <w:gridCol w:w="1197"/>
        <w:gridCol w:w="1197"/>
        <w:gridCol w:w="1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12" w:type="dxa"/>
            <w:vMerge w:val="restart"/>
            <w:vAlign w:val="center"/>
          </w:tcPr>
          <w:p>
            <w:pPr>
              <w:jc w:val="center"/>
              <w:rPr>
                <w:rFonts w:ascii="宋体" w:hAnsi="宋体"/>
              </w:rPr>
            </w:pPr>
            <w:r>
              <w:rPr>
                <w:rFonts w:hint="eastAsia" w:ascii="宋体" w:hAnsi="宋体"/>
              </w:rPr>
              <w:t>序号</w:t>
            </w:r>
          </w:p>
        </w:tc>
        <w:tc>
          <w:tcPr>
            <w:tcW w:w="2156" w:type="dxa"/>
            <w:vMerge w:val="restart"/>
            <w:vAlign w:val="center"/>
          </w:tcPr>
          <w:p>
            <w:pPr>
              <w:jc w:val="center"/>
              <w:rPr>
                <w:rFonts w:ascii="宋体" w:hAnsi="宋体"/>
              </w:rPr>
            </w:pPr>
            <w:r>
              <w:rPr>
                <w:rFonts w:hint="eastAsia" w:ascii="宋体" w:hAnsi="宋体"/>
              </w:rPr>
              <w:t>评审因素</w:t>
            </w:r>
          </w:p>
        </w:tc>
        <w:tc>
          <w:tcPr>
            <w:tcW w:w="10776" w:type="dxa"/>
            <w:gridSpan w:val="9"/>
            <w:vAlign w:val="center"/>
          </w:tcPr>
          <w:p>
            <w:pPr>
              <w:jc w:val="center"/>
              <w:rPr>
                <w:rFonts w:ascii="宋体" w:hAnsi="宋体"/>
              </w:rPr>
            </w:pPr>
            <w:r>
              <w:rPr>
                <w:rFonts w:hint="eastAsia"/>
              </w:rPr>
              <w:t>投标人名称及评审意见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Merge w:val="continue"/>
            <w:vAlign w:val="center"/>
          </w:tcPr>
          <w:p>
            <w:pPr>
              <w:jc w:val="center"/>
              <w:rPr>
                <w:rFonts w:ascii="黑体" w:hAnsi="宋体" w:eastAsia="黑体"/>
              </w:rPr>
            </w:pPr>
          </w:p>
        </w:tc>
        <w:tc>
          <w:tcPr>
            <w:tcW w:w="2156" w:type="dxa"/>
            <w:vMerge w:val="continue"/>
            <w:vAlign w:val="center"/>
          </w:tcPr>
          <w:p>
            <w:pPr>
              <w:jc w:val="center"/>
              <w:rPr>
                <w:rFonts w:ascii="宋体" w:hAnsi="宋体"/>
              </w:rPr>
            </w:pPr>
          </w:p>
        </w:tc>
        <w:tc>
          <w:tcPr>
            <w:tcW w:w="1197" w:type="dxa"/>
            <w:vAlign w:val="center"/>
          </w:tcPr>
          <w:p>
            <w:pPr>
              <w:jc w:val="center"/>
              <w:rPr>
                <w:rFonts w:ascii="宋体" w:hAnsi="宋体"/>
              </w:rPr>
            </w:pPr>
          </w:p>
        </w:tc>
        <w:tc>
          <w:tcPr>
            <w:tcW w:w="1197" w:type="dxa"/>
            <w:vAlign w:val="center"/>
          </w:tcPr>
          <w:p>
            <w:pPr>
              <w:jc w:val="center"/>
              <w:rPr>
                <w:rFonts w:ascii="宋体" w:hAnsi="宋体"/>
              </w:rPr>
            </w:pPr>
          </w:p>
        </w:tc>
        <w:tc>
          <w:tcPr>
            <w:tcW w:w="1198" w:type="dxa"/>
            <w:vAlign w:val="center"/>
          </w:tcPr>
          <w:p>
            <w:pPr>
              <w:jc w:val="center"/>
              <w:rPr>
                <w:rFonts w:ascii="宋体" w:hAnsi="宋体"/>
              </w:rPr>
            </w:pPr>
          </w:p>
        </w:tc>
        <w:tc>
          <w:tcPr>
            <w:tcW w:w="1197" w:type="dxa"/>
            <w:vAlign w:val="center"/>
          </w:tcPr>
          <w:p>
            <w:pPr>
              <w:jc w:val="center"/>
              <w:rPr>
                <w:rFonts w:ascii="宋体" w:hAnsi="宋体"/>
              </w:rPr>
            </w:pPr>
          </w:p>
        </w:tc>
        <w:tc>
          <w:tcPr>
            <w:tcW w:w="1197" w:type="dxa"/>
            <w:vAlign w:val="center"/>
          </w:tcPr>
          <w:p>
            <w:pPr>
              <w:jc w:val="center"/>
              <w:rPr>
                <w:rFonts w:ascii="宋体" w:hAnsi="宋体"/>
              </w:rPr>
            </w:pPr>
          </w:p>
        </w:tc>
        <w:tc>
          <w:tcPr>
            <w:tcW w:w="1198" w:type="dxa"/>
            <w:vAlign w:val="center"/>
          </w:tcPr>
          <w:p>
            <w:pPr>
              <w:jc w:val="center"/>
              <w:rPr>
                <w:rFonts w:ascii="宋体" w:hAnsi="宋体"/>
              </w:rPr>
            </w:pPr>
          </w:p>
        </w:tc>
        <w:tc>
          <w:tcPr>
            <w:tcW w:w="1197" w:type="dxa"/>
            <w:vAlign w:val="center"/>
          </w:tcPr>
          <w:p>
            <w:pPr>
              <w:jc w:val="center"/>
              <w:rPr>
                <w:rFonts w:ascii="宋体" w:hAnsi="宋体"/>
              </w:rPr>
            </w:pPr>
          </w:p>
        </w:tc>
        <w:tc>
          <w:tcPr>
            <w:tcW w:w="1197" w:type="dxa"/>
            <w:vAlign w:val="center"/>
          </w:tcPr>
          <w:p>
            <w:pPr>
              <w:jc w:val="center"/>
              <w:rPr>
                <w:rFonts w:ascii="宋体" w:hAnsi="宋体"/>
              </w:rPr>
            </w:pPr>
          </w:p>
        </w:tc>
        <w:tc>
          <w:tcPr>
            <w:tcW w:w="119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jc w:val="center"/>
              <w:rPr>
                <w:rFonts w:ascii="黑体" w:hAnsi="宋体" w:eastAsia="黑体"/>
              </w:rPr>
            </w:pPr>
            <w:r>
              <w:rPr>
                <w:rFonts w:hint="eastAsia" w:ascii="黑体" w:hAnsi="宋体" w:eastAsia="黑体"/>
              </w:rPr>
              <w:t>1</w:t>
            </w:r>
          </w:p>
        </w:tc>
        <w:tc>
          <w:tcPr>
            <w:tcW w:w="2156" w:type="dxa"/>
            <w:vAlign w:val="center"/>
          </w:tcPr>
          <w:p>
            <w:pPr>
              <w:jc w:val="center"/>
              <w:rPr>
                <w:rFonts w:ascii="宋体" w:hAnsi="宋体"/>
              </w:rPr>
            </w:pPr>
            <w:r>
              <w:rPr>
                <w:rFonts w:hint="eastAsia"/>
              </w:rPr>
              <w:t>投标内容</w:t>
            </w:r>
          </w:p>
        </w:tc>
        <w:tc>
          <w:tcPr>
            <w:tcW w:w="1197" w:type="dxa"/>
            <w:vAlign w:val="center"/>
          </w:tcPr>
          <w:p>
            <w:pPr>
              <w:jc w:val="center"/>
              <w:rPr>
                <w:rFonts w:ascii="宋体" w:hAnsi="宋体"/>
              </w:rPr>
            </w:pPr>
          </w:p>
        </w:tc>
        <w:tc>
          <w:tcPr>
            <w:tcW w:w="1197" w:type="dxa"/>
            <w:vAlign w:val="center"/>
          </w:tcPr>
          <w:p>
            <w:pPr>
              <w:jc w:val="center"/>
              <w:rPr>
                <w:rFonts w:ascii="宋体" w:hAnsi="宋体"/>
              </w:rPr>
            </w:pPr>
          </w:p>
        </w:tc>
        <w:tc>
          <w:tcPr>
            <w:tcW w:w="1198" w:type="dxa"/>
            <w:vAlign w:val="center"/>
          </w:tcPr>
          <w:p>
            <w:pPr>
              <w:jc w:val="center"/>
              <w:rPr>
                <w:rFonts w:ascii="宋体" w:hAnsi="宋体"/>
              </w:rPr>
            </w:pPr>
          </w:p>
        </w:tc>
        <w:tc>
          <w:tcPr>
            <w:tcW w:w="1197" w:type="dxa"/>
            <w:vAlign w:val="center"/>
          </w:tcPr>
          <w:p>
            <w:pPr>
              <w:jc w:val="center"/>
              <w:rPr>
                <w:rFonts w:ascii="宋体" w:hAnsi="宋体"/>
              </w:rPr>
            </w:pPr>
          </w:p>
        </w:tc>
        <w:tc>
          <w:tcPr>
            <w:tcW w:w="1197" w:type="dxa"/>
            <w:vAlign w:val="center"/>
          </w:tcPr>
          <w:p>
            <w:pPr>
              <w:jc w:val="center"/>
              <w:rPr>
                <w:rFonts w:ascii="宋体" w:hAnsi="宋体"/>
              </w:rPr>
            </w:pPr>
          </w:p>
        </w:tc>
        <w:tc>
          <w:tcPr>
            <w:tcW w:w="1198" w:type="dxa"/>
            <w:vAlign w:val="center"/>
          </w:tcPr>
          <w:p>
            <w:pPr>
              <w:jc w:val="center"/>
              <w:rPr>
                <w:rFonts w:ascii="宋体" w:hAnsi="宋体"/>
              </w:rPr>
            </w:pPr>
          </w:p>
        </w:tc>
        <w:tc>
          <w:tcPr>
            <w:tcW w:w="1197" w:type="dxa"/>
            <w:vAlign w:val="center"/>
          </w:tcPr>
          <w:p>
            <w:pPr>
              <w:jc w:val="center"/>
              <w:rPr>
                <w:rFonts w:ascii="宋体" w:hAnsi="宋体"/>
              </w:rPr>
            </w:pPr>
          </w:p>
        </w:tc>
        <w:tc>
          <w:tcPr>
            <w:tcW w:w="1197" w:type="dxa"/>
            <w:vAlign w:val="center"/>
          </w:tcPr>
          <w:p>
            <w:pPr>
              <w:jc w:val="center"/>
              <w:rPr>
                <w:rFonts w:ascii="宋体" w:hAnsi="宋体"/>
              </w:rPr>
            </w:pPr>
          </w:p>
        </w:tc>
        <w:tc>
          <w:tcPr>
            <w:tcW w:w="119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jc w:val="center"/>
              <w:rPr>
                <w:rFonts w:ascii="黑体" w:hAnsi="宋体" w:eastAsia="黑体"/>
              </w:rPr>
            </w:pPr>
            <w:r>
              <w:rPr>
                <w:rFonts w:hint="eastAsia" w:ascii="黑体" w:hAnsi="宋体" w:eastAsia="黑体"/>
              </w:rPr>
              <w:t>2</w:t>
            </w:r>
          </w:p>
        </w:tc>
        <w:tc>
          <w:tcPr>
            <w:tcW w:w="2156" w:type="dxa"/>
            <w:vAlign w:val="center"/>
          </w:tcPr>
          <w:p>
            <w:pPr>
              <w:jc w:val="center"/>
            </w:pPr>
            <w:r>
              <w:rPr>
                <w:rFonts w:hint="eastAsia"/>
              </w:rPr>
              <w:t>工期</w:t>
            </w:r>
          </w:p>
        </w:tc>
        <w:tc>
          <w:tcPr>
            <w:tcW w:w="1197" w:type="dxa"/>
            <w:vAlign w:val="center"/>
          </w:tcPr>
          <w:p>
            <w:pPr>
              <w:jc w:val="center"/>
              <w:rPr>
                <w:rFonts w:ascii="宋体" w:hAnsi="宋体"/>
              </w:rPr>
            </w:pPr>
          </w:p>
        </w:tc>
        <w:tc>
          <w:tcPr>
            <w:tcW w:w="1197" w:type="dxa"/>
            <w:vAlign w:val="center"/>
          </w:tcPr>
          <w:p>
            <w:pPr>
              <w:jc w:val="center"/>
              <w:rPr>
                <w:rFonts w:ascii="宋体" w:hAnsi="宋体"/>
              </w:rPr>
            </w:pPr>
          </w:p>
        </w:tc>
        <w:tc>
          <w:tcPr>
            <w:tcW w:w="1198" w:type="dxa"/>
            <w:vAlign w:val="center"/>
          </w:tcPr>
          <w:p>
            <w:pPr>
              <w:jc w:val="center"/>
              <w:rPr>
                <w:rFonts w:ascii="宋体" w:hAnsi="宋体"/>
              </w:rPr>
            </w:pPr>
          </w:p>
        </w:tc>
        <w:tc>
          <w:tcPr>
            <w:tcW w:w="1197" w:type="dxa"/>
            <w:vAlign w:val="center"/>
          </w:tcPr>
          <w:p>
            <w:pPr>
              <w:jc w:val="center"/>
              <w:rPr>
                <w:rFonts w:ascii="宋体" w:hAnsi="宋体"/>
              </w:rPr>
            </w:pPr>
          </w:p>
        </w:tc>
        <w:tc>
          <w:tcPr>
            <w:tcW w:w="1197" w:type="dxa"/>
            <w:vAlign w:val="center"/>
          </w:tcPr>
          <w:p>
            <w:pPr>
              <w:jc w:val="center"/>
              <w:rPr>
                <w:rFonts w:ascii="宋体" w:hAnsi="宋体"/>
              </w:rPr>
            </w:pPr>
          </w:p>
        </w:tc>
        <w:tc>
          <w:tcPr>
            <w:tcW w:w="1198" w:type="dxa"/>
            <w:vAlign w:val="center"/>
          </w:tcPr>
          <w:p>
            <w:pPr>
              <w:jc w:val="center"/>
              <w:rPr>
                <w:rFonts w:ascii="宋体" w:hAnsi="宋体"/>
              </w:rPr>
            </w:pPr>
          </w:p>
        </w:tc>
        <w:tc>
          <w:tcPr>
            <w:tcW w:w="1197" w:type="dxa"/>
            <w:vAlign w:val="center"/>
          </w:tcPr>
          <w:p>
            <w:pPr>
              <w:jc w:val="center"/>
              <w:rPr>
                <w:rFonts w:ascii="宋体" w:hAnsi="宋体"/>
              </w:rPr>
            </w:pPr>
          </w:p>
        </w:tc>
        <w:tc>
          <w:tcPr>
            <w:tcW w:w="1197" w:type="dxa"/>
            <w:vAlign w:val="center"/>
          </w:tcPr>
          <w:p>
            <w:pPr>
              <w:jc w:val="center"/>
              <w:rPr>
                <w:rFonts w:ascii="宋体" w:hAnsi="宋体"/>
              </w:rPr>
            </w:pPr>
          </w:p>
        </w:tc>
        <w:tc>
          <w:tcPr>
            <w:tcW w:w="119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jc w:val="center"/>
              <w:rPr>
                <w:rFonts w:ascii="黑体" w:hAnsi="宋体" w:eastAsia="黑体"/>
              </w:rPr>
            </w:pPr>
            <w:r>
              <w:rPr>
                <w:rFonts w:hint="eastAsia" w:ascii="黑体" w:hAnsi="宋体" w:eastAsia="黑体"/>
              </w:rPr>
              <w:t>3</w:t>
            </w:r>
          </w:p>
        </w:tc>
        <w:tc>
          <w:tcPr>
            <w:tcW w:w="2156" w:type="dxa"/>
            <w:vAlign w:val="center"/>
          </w:tcPr>
          <w:p>
            <w:pPr>
              <w:jc w:val="center"/>
            </w:pPr>
            <w:r>
              <w:rPr>
                <w:rFonts w:hint="eastAsia"/>
              </w:rPr>
              <w:t>工程质量</w:t>
            </w:r>
          </w:p>
        </w:tc>
        <w:tc>
          <w:tcPr>
            <w:tcW w:w="1197" w:type="dxa"/>
            <w:vAlign w:val="center"/>
          </w:tcPr>
          <w:p>
            <w:pPr>
              <w:jc w:val="center"/>
              <w:rPr>
                <w:rFonts w:ascii="宋体" w:hAnsi="宋体"/>
              </w:rPr>
            </w:pPr>
          </w:p>
        </w:tc>
        <w:tc>
          <w:tcPr>
            <w:tcW w:w="1197" w:type="dxa"/>
            <w:vAlign w:val="center"/>
          </w:tcPr>
          <w:p>
            <w:pPr>
              <w:jc w:val="center"/>
              <w:rPr>
                <w:rFonts w:ascii="宋体" w:hAnsi="宋体"/>
              </w:rPr>
            </w:pPr>
          </w:p>
        </w:tc>
        <w:tc>
          <w:tcPr>
            <w:tcW w:w="1198" w:type="dxa"/>
            <w:vAlign w:val="center"/>
          </w:tcPr>
          <w:p>
            <w:pPr>
              <w:jc w:val="center"/>
              <w:rPr>
                <w:rFonts w:ascii="宋体" w:hAnsi="宋体"/>
              </w:rPr>
            </w:pPr>
          </w:p>
        </w:tc>
        <w:tc>
          <w:tcPr>
            <w:tcW w:w="1197" w:type="dxa"/>
            <w:vAlign w:val="center"/>
          </w:tcPr>
          <w:p>
            <w:pPr>
              <w:jc w:val="center"/>
              <w:rPr>
                <w:rFonts w:ascii="宋体" w:hAnsi="宋体"/>
              </w:rPr>
            </w:pPr>
          </w:p>
        </w:tc>
        <w:tc>
          <w:tcPr>
            <w:tcW w:w="1197" w:type="dxa"/>
            <w:vAlign w:val="center"/>
          </w:tcPr>
          <w:p>
            <w:pPr>
              <w:jc w:val="center"/>
              <w:rPr>
                <w:rFonts w:ascii="宋体" w:hAnsi="宋体"/>
              </w:rPr>
            </w:pPr>
          </w:p>
        </w:tc>
        <w:tc>
          <w:tcPr>
            <w:tcW w:w="1198" w:type="dxa"/>
            <w:vAlign w:val="center"/>
          </w:tcPr>
          <w:p>
            <w:pPr>
              <w:jc w:val="center"/>
              <w:rPr>
                <w:rFonts w:ascii="宋体" w:hAnsi="宋体"/>
              </w:rPr>
            </w:pPr>
          </w:p>
        </w:tc>
        <w:tc>
          <w:tcPr>
            <w:tcW w:w="1197" w:type="dxa"/>
            <w:vAlign w:val="center"/>
          </w:tcPr>
          <w:p>
            <w:pPr>
              <w:jc w:val="center"/>
              <w:rPr>
                <w:rFonts w:ascii="宋体" w:hAnsi="宋体"/>
              </w:rPr>
            </w:pPr>
          </w:p>
        </w:tc>
        <w:tc>
          <w:tcPr>
            <w:tcW w:w="1197" w:type="dxa"/>
            <w:vAlign w:val="center"/>
          </w:tcPr>
          <w:p>
            <w:pPr>
              <w:jc w:val="center"/>
              <w:rPr>
                <w:rFonts w:ascii="宋体" w:hAnsi="宋体"/>
              </w:rPr>
            </w:pPr>
          </w:p>
        </w:tc>
        <w:tc>
          <w:tcPr>
            <w:tcW w:w="119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jc w:val="center"/>
              <w:rPr>
                <w:rFonts w:ascii="黑体" w:hAnsi="宋体" w:eastAsia="黑体"/>
              </w:rPr>
            </w:pPr>
            <w:r>
              <w:rPr>
                <w:rFonts w:hint="eastAsia" w:ascii="黑体" w:hAnsi="宋体" w:eastAsia="黑体"/>
              </w:rPr>
              <w:t>4</w:t>
            </w:r>
          </w:p>
        </w:tc>
        <w:tc>
          <w:tcPr>
            <w:tcW w:w="2156" w:type="dxa"/>
            <w:vAlign w:val="center"/>
          </w:tcPr>
          <w:p>
            <w:pPr>
              <w:jc w:val="center"/>
            </w:pPr>
            <w:r>
              <w:rPr>
                <w:rFonts w:hint="eastAsia"/>
              </w:rPr>
              <w:t>投标有效期</w:t>
            </w:r>
          </w:p>
        </w:tc>
        <w:tc>
          <w:tcPr>
            <w:tcW w:w="1197" w:type="dxa"/>
            <w:vAlign w:val="center"/>
          </w:tcPr>
          <w:p>
            <w:pPr>
              <w:jc w:val="center"/>
              <w:rPr>
                <w:rFonts w:ascii="宋体" w:hAnsi="宋体"/>
              </w:rPr>
            </w:pPr>
          </w:p>
        </w:tc>
        <w:tc>
          <w:tcPr>
            <w:tcW w:w="1197" w:type="dxa"/>
            <w:vAlign w:val="center"/>
          </w:tcPr>
          <w:p>
            <w:pPr>
              <w:jc w:val="center"/>
              <w:rPr>
                <w:rFonts w:ascii="宋体" w:hAnsi="宋体"/>
              </w:rPr>
            </w:pPr>
          </w:p>
        </w:tc>
        <w:tc>
          <w:tcPr>
            <w:tcW w:w="1198" w:type="dxa"/>
            <w:vAlign w:val="center"/>
          </w:tcPr>
          <w:p>
            <w:pPr>
              <w:jc w:val="center"/>
              <w:rPr>
                <w:rFonts w:ascii="宋体" w:hAnsi="宋体"/>
              </w:rPr>
            </w:pPr>
          </w:p>
        </w:tc>
        <w:tc>
          <w:tcPr>
            <w:tcW w:w="1197" w:type="dxa"/>
            <w:vAlign w:val="center"/>
          </w:tcPr>
          <w:p>
            <w:pPr>
              <w:jc w:val="center"/>
              <w:rPr>
                <w:rFonts w:ascii="宋体" w:hAnsi="宋体"/>
              </w:rPr>
            </w:pPr>
          </w:p>
        </w:tc>
        <w:tc>
          <w:tcPr>
            <w:tcW w:w="1197" w:type="dxa"/>
            <w:vAlign w:val="center"/>
          </w:tcPr>
          <w:p>
            <w:pPr>
              <w:jc w:val="center"/>
              <w:rPr>
                <w:rFonts w:ascii="宋体" w:hAnsi="宋体"/>
              </w:rPr>
            </w:pPr>
          </w:p>
        </w:tc>
        <w:tc>
          <w:tcPr>
            <w:tcW w:w="1198" w:type="dxa"/>
            <w:vAlign w:val="center"/>
          </w:tcPr>
          <w:p>
            <w:pPr>
              <w:jc w:val="center"/>
              <w:rPr>
                <w:rFonts w:ascii="宋体" w:hAnsi="宋体"/>
              </w:rPr>
            </w:pPr>
          </w:p>
        </w:tc>
        <w:tc>
          <w:tcPr>
            <w:tcW w:w="1197" w:type="dxa"/>
            <w:vAlign w:val="center"/>
          </w:tcPr>
          <w:p>
            <w:pPr>
              <w:jc w:val="center"/>
              <w:rPr>
                <w:rFonts w:ascii="宋体" w:hAnsi="宋体"/>
              </w:rPr>
            </w:pPr>
          </w:p>
        </w:tc>
        <w:tc>
          <w:tcPr>
            <w:tcW w:w="1197" w:type="dxa"/>
            <w:vAlign w:val="center"/>
          </w:tcPr>
          <w:p>
            <w:pPr>
              <w:jc w:val="center"/>
              <w:rPr>
                <w:rFonts w:ascii="宋体" w:hAnsi="宋体"/>
              </w:rPr>
            </w:pPr>
          </w:p>
        </w:tc>
        <w:tc>
          <w:tcPr>
            <w:tcW w:w="119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jc w:val="center"/>
              <w:rPr>
                <w:rFonts w:ascii="黑体" w:hAnsi="宋体" w:eastAsia="黑体"/>
              </w:rPr>
            </w:pPr>
            <w:r>
              <w:rPr>
                <w:rFonts w:hint="eastAsia" w:ascii="黑体" w:hAnsi="宋体" w:eastAsia="黑体"/>
              </w:rPr>
              <w:t>5</w:t>
            </w:r>
          </w:p>
        </w:tc>
        <w:tc>
          <w:tcPr>
            <w:tcW w:w="2156" w:type="dxa"/>
            <w:vAlign w:val="center"/>
          </w:tcPr>
          <w:p>
            <w:pPr>
              <w:jc w:val="center"/>
            </w:pPr>
            <w:r>
              <w:rPr>
                <w:rFonts w:hint="eastAsia"/>
              </w:rPr>
              <w:t>招标保证金</w:t>
            </w:r>
          </w:p>
        </w:tc>
        <w:tc>
          <w:tcPr>
            <w:tcW w:w="1197" w:type="dxa"/>
            <w:vAlign w:val="center"/>
          </w:tcPr>
          <w:p>
            <w:pPr>
              <w:jc w:val="center"/>
              <w:rPr>
                <w:rFonts w:ascii="宋体" w:hAnsi="宋体"/>
              </w:rPr>
            </w:pPr>
          </w:p>
        </w:tc>
        <w:tc>
          <w:tcPr>
            <w:tcW w:w="1197" w:type="dxa"/>
            <w:vAlign w:val="center"/>
          </w:tcPr>
          <w:p>
            <w:pPr>
              <w:jc w:val="center"/>
              <w:rPr>
                <w:rFonts w:ascii="宋体" w:hAnsi="宋体"/>
              </w:rPr>
            </w:pPr>
          </w:p>
        </w:tc>
        <w:tc>
          <w:tcPr>
            <w:tcW w:w="1198" w:type="dxa"/>
            <w:vAlign w:val="center"/>
          </w:tcPr>
          <w:p>
            <w:pPr>
              <w:jc w:val="center"/>
              <w:rPr>
                <w:rFonts w:ascii="宋体" w:hAnsi="宋体"/>
              </w:rPr>
            </w:pPr>
          </w:p>
        </w:tc>
        <w:tc>
          <w:tcPr>
            <w:tcW w:w="1197" w:type="dxa"/>
            <w:vAlign w:val="center"/>
          </w:tcPr>
          <w:p>
            <w:pPr>
              <w:jc w:val="center"/>
              <w:rPr>
                <w:rFonts w:ascii="宋体" w:hAnsi="宋体"/>
              </w:rPr>
            </w:pPr>
          </w:p>
        </w:tc>
        <w:tc>
          <w:tcPr>
            <w:tcW w:w="1197" w:type="dxa"/>
            <w:vAlign w:val="center"/>
          </w:tcPr>
          <w:p>
            <w:pPr>
              <w:jc w:val="center"/>
              <w:rPr>
                <w:rFonts w:ascii="宋体" w:hAnsi="宋体"/>
              </w:rPr>
            </w:pPr>
          </w:p>
        </w:tc>
        <w:tc>
          <w:tcPr>
            <w:tcW w:w="1198" w:type="dxa"/>
            <w:vAlign w:val="center"/>
          </w:tcPr>
          <w:p>
            <w:pPr>
              <w:jc w:val="center"/>
              <w:rPr>
                <w:rFonts w:ascii="宋体" w:hAnsi="宋体"/>
              </w:rPr>
            </w:pPr>
          </w:p>
        </w:tc>
        <w:tc>
          <w:tcPr>
            <w:tcW w:w="1197" w:type="dxa"/>
            <w:vAlign w:val="center"/>
          </w:tcPr>
          <w:p>
            <w:pPr>
              <w:jc w:val="center"/>
              <w:rPr>
                <w:rFonts w:ascii="宋体" w:hAnsi="宋体"/>
              </w:rPr>
            </w:pPr>
          </w:p>
        </w:tc>
        <w:tc>
          <w:tcPr>
            <w:tcW w:w="1197" w:type="dxa"/>
            <w:vAlign w:val="center"/>
          </w:tcPr>
          <w:p>
            <w:pPr>
              <w:jc w:val="center"/>
              <w:rPr>
                <w:rFonts w:ascii="宋体" w:hAnsi="宋体"/>
              </w:rPr>
            </w:pPr>
          </w:p>
        </w:tc>
        <w:tc>
          <w:tcPr>
            <w:tcW w:w="119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jc w:val="center"/>
              <w:rPr>
                <w:rFonts w:ascii="黑体" w:hAnsi="宋体" w:eastAsia="黑体"/>
              </w:rPr>
            </w:pPr>
            <w:r>
              <w:rPr>
                <w:rFonts w:hint="eastAsia" w:ascii="黑体" w:hAnsi="宋体" w:eastAsia="黑体"/>
              </w:rPr>
              <w:t>6</w:t>
            </w:r>
          </w:p>
        </w:tc>
        <w:tc>
          <w:tcPr>
            <w:tcW w:w="2156" w:type="dxa"/>
            <w:vAlign w:val="center"/>
          </w:tcPr>
          <w:p>
            <w:pPr>
              <w:jc w:val="center"/>
            </w:pPr>
            <w:r>
              <w:rPr>
                <w:rFonts w:hint="eastAsia"/>
              </w:rPr>
              <w:t>权利义务</w:t>
            </w:r>
          </w:p>
        </w:tc>
        <w:tc>
          <w:tcPr>
            <w:tcW w:w="1197" w:type="dxa"/>
            <w:vAlign w:val="center"/>
          </w:tcPr>
          <w:p>
            <w:pPr>
              <w:jc w:val="center"/>
              <w:rPr>
                <w:rFonts w:ascii="宋体" w:hAnsi="宋体"/>
              </w:rPr>
            </w:pPr>
          </w:p>
        </w:tc>
        <w:tc>
          <w:tcPr>
            <w:tcW w:w="1197" w:type="dxa"/>
            <w:vAlign w:val="center"/>
          </w:tcPr>
          <w:p>
            <w:pPr>
              <w:jc w:val="center"/>
              <w:rPr>
                <w:rFonts w:ascii="宋体" w:hAnsi="宋体"/>
              </w:rPr>
            </w:pPr>
          </w:p>
        </w:tc>
        <w:tc>
          <w:tcPr>
            <w:tcW w:w="1198" w:type="dxa"/>
            <w:vAlign w:val="center"/>
          </w:tcPr>
          <w:p>
            <w:pPr>
              <w:jc w:val="center"/>
              <w:rPr>
                <w:rFonts w:ascii="宋体" w:hAnsi="宋体"/>
              </w:rPr>
            </w:pPr>
          </w:p>
        </w:tc>
        <w:tc>
          <w:tcPr>
            <w:tcW w:w="1197" w:type="dxa"/>
            <w:vAlign w:val="center"/>
          </w:tcPr>
          <w:p>
            <w:pPr>
              <w:jc w:val="center"/>
              <w:rPr>
                <w:rFonts w:ascii="宋体" w:hAnsi="宋体"/>
              </w:rPr>
            </w:pPr>
          </w:p>
        </w:tc>
        <w:tc>
          <w:tcPr>
            <w:tcW w:w="1197" w:type="dxa"/>
            <w:vAlign w:val="center"/>
          </w:tcPr>
          <w:p>
            <w:pPr>
              <w:jc w:val="center"/>
              <w:rPr>
                <w:rFonts w:ascii="宋体" w:hAnsi="宋体"/>
              </w:rPr>
            </w:pPr>
          </w:p>
        </w:tc>
        <w:tc>
          <w:tcPr>
            <w:tcW w:w="1198" w:type="dxa"/>
            <w:vAlign w:val="center"/>
          </w:tcPr>
          <w:p>
            <w:pPr>
              <w:jc w:val="center"/>
              <w:rPr>
                <w:rFonts w:ascii="宋体" w:hAnsi="宋体"/>
              </w:rPr>
            </w:pPr>
          </w:p>
        </w:tc>
        <w:tc>
          <w:tcPr>
            <w:tcW w:w="1197" w:type="dxa"/>
            <w:vAlign w:val="center"/>
          </w:tcPr>
          <w:p>
            <w:pPr>
              <w:jc w:val="center"/>
              <w:rPr>
                <w:rFonts w:ascii="宋体" w:hAnsi="宋体"/>
              </w:rPr>
            </w:pPr>
          </w:p>
        </w:tc>
        <w:tc>
          <w:tcPr>
            <w:tcW w:w="1197" w:type="dxa"/>
            <w:vAlign w:val="center"/>
          </w:tcPr>
          <w:p>
            <w:pPr>
              <w:jc w:val="center"/>
              <w:rPr>
                <w:rFonts w:ascii="宋体" w:hAnsi="宋体"/>
              </w:rPr>
            </w:pPr>
          </w:p>
        </w:tc>
        <w:tc>
          <w:tcPr>
            <w:tcW w:w="119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jc w:val="center"/>
              <w:rPr>
                <w:rFonts w:ascii="黑体" w:hAnsi="宋体" w:eastAsia="黑体"/>
              </w:rPr>
            </w:pPr>
            <w:r>
              <w:rPr>
                <w:rFonts w:hint="eastAsia" w:ascii="黑体" w:hAnsi="宋体" w:eastAsia="黑体"/>
              </w:rPr>
              <w:t>7</w:t>
            </w:r>
          </w:p>
        </w:tc>
        <w:tc>
          <w:tcPr>
            <w:tcW w:w="2156" w:type="dxa"/>
            <w:vAlign w:val="center"/>
          </w:tcPr>
          <w:p>
            <w:pPr>
              <w:jc w:val="center"/>
            </w:pPr>
            <w:r>
              <w:rPr>
                <w:rFonts w:hint="eastAsia"/>
              </w:rPr>
              <w:t>已标价工程量清单</w:t>
            </w:r>
          </w:p>
        </w:tc>
        <w:tc>
          <w:tcPr>
            <w:tcW w:w="1197" w:type="dxa"/>
            <w:vAlign w:val="center"/>
          </w:tcPr>
          <w:p>
            <w:pPr>
              <w:jc w:val="center"/>
              <w:rPr>
                <w:rFonts w:ascii="宋体" w:hAnsi="宋体"/>
              </w:rPr>
            </w:pPr>
          </w:p>
        </w:tc>
        <w:tc>
          <w:tcPr>
            <w:tcW w:w="1197" w:type="dxa"/>
            <w:vAlign w:val="center"/>
          </w:tcPr>
          <w:p>
            <w:pPr>
              <w:jc w:val="center"/>
              <w:rPr>
                <w:rFonts w:ascii="宋体" w:hAnsi="宋体"/>
              </w:rPr>
            </w:pPr>
          </w:p>
        </w:tc>
        <w:tc>
          <w:tcPr>
            <w:tcW w:w="1198" w:type="dxa"/>
            <w:vAlign w:val="center"/>
          </w:tcPr>
          <w:p>
            <w:pPr>
              <w:jc w:val="center"/>
              <w:rPr>
                <w:rFonts w:ascii="宋体" w:hAnsi="宋体"/>
              </w:rPr>
            </w:pPr>
          </w:p>
        </w:tc>
        <w:tc>
          <w:tcPr>
            <w:tcW w:w="1197" w:type="dxa"/>
            <w:vAlign w:val="center"/>
          </w:tcPr>
          <w:p>
            <w:pPr>
              <w:jc w:val="center"/>
              <w:rPr>
                <w:rFonts w:ascii="宋体" w:hAnsi="宋体"/>
              </w:rPr>
            </w:pPr>
          </w:p>
        </w:tc>
        <w:tc>
          <w:tcPr>
            <w:tcW w:w="1197" w:type="dxa"/>
            <w:vAlign w:val="center"/>
          </w:tcPr>
          <w:p>
            <w:pPr>
              <w:jc w:val="center"/>
              <w:rPr>
                <w:rFonts w:ascii="宋体" w:hAnsi="宋体"/>
              </w:rPr>
            </w:pPr>
          </w:p>
        </w:tc>
        <w:tc>
          <w:tcPr>
            <w:tcW w:w="1198" w:type="dxa"/>
            <w:vAlign w:val="center"/>
          </w:tcPr>
          <w:p>
            <w:pPr>
              <w:jc w:val="center"/>
              <w:rPr>
                <w:rFonts w:ascii="宋体" w:hAnsi="宋体"/>
              </w:rPr>
            </w:pPr>
          </w:p>
        </w:tc>
        <w:tc>
          <w:tcPr>
            <w:tcW w:w="1197" w:type="dxa"/>
            <w:vAlign w:val="center"/>
          </w:tcPr>
          <w:p>
            <w:pPr>
              <w:jc w:val="center"/>
              <w:rPr>
                <w:rFonts w:ascii="宋体" w:hAnsi="宋体"/>
              </w:rPr>
            </w:pPr>
          </w:p>
        </w:tc>
        <w:tc>
          <w:tcPr>
            <w:tcW w:w="1197" w:type="dxa"/>
            <w:vAlign w:val="center"/>
          </w:tcPr>
          <w:p>
            <w:pPr>
              <w:jc w:val="center"/>
              <w:rPr>
                <w:rFonts w:ascii="宋体" w:hAnsi="宋体"/>
              </w:rPr>
            </w:pPr>
          </w:p>
        </w:tc>
        <w:tc>
          <w:tcPr>
            <w:tcW w:w="119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jc w:val="center"/>
              <w:rPr>
                <w:rFonts w:ascii="黑体" w:hAnsi="宋体" w:eastAsia="黑体"/>
              </w:rPr>
            </w:pPr>
            <w:r>
              <w:rPr>
                <w:rFonts w:hint="eastAsia" w:ascii="黑体" w:hAnsi="宋体" w:eastAsia="黑体"/>
              </w:rPr>
              <w:t>8</w:t>
            </w:r>
          </w:p>
        </w:tc>
        <w:tc>
          <w:tcPr>
            <w:tcW w:w="2156" w:type="dxa"/>
            <w:vAlign w:val="center"/>
          </w:tcPr>
          <w:p>
            <w:pPr>
              <w:jc w:val="center"/>
            </w:pPr>
            <w:r>
              <w:rPr>
                <w:rFonts w:hint="eastAsia"/>
              </w:rPr>
              <w:t>技术标准和要求</w:t>
            </w:r>
          </w:p>
        </w:tc>
        <w:tc>
          <w:tcPr>
            <w:tcW w:w="1197" w:type="dxa"/>
            <w:vAlign w:val="center"/>
          </w:tcPr>
          <w:p>
            <w:pPr>
              <w:jc w:val="center"/>
              <w:rPr>
                <w:rFonts w:ascii="宋体" w:hAnsi="宋体"/>
              </w:rPr>
            </w:pPr>
          </w:p>
        </w:tc>
        <w:tc>
          <w:tcPr>
            <w:tcW w:w="1197" w:type="dxa"/>
            <w:vAlign w:val="center"/>
          </w:tcPr>
          <w:p>
            <w:pPr>
              <w:jc w:val="center"/>
              <w:rPr>
                <w:rFonts w:ascii="宋体" w:hAnsi="宋体"/>
              </w:rPr>
            </w:pPr>
          </w:p>
        </w:tc>
        <w:tc>
          <w:tcPr>
            <w:tcW w:w="1198" w:type="dxa"/>
            <w:vAlign w:val="center"/>
          </w:tcPr>
          <w:p>
            <w:pPr>
              <w:jc w:val="center"/>
              <w:rPr>
                <w:rFonts w:ascii="宋体" w:hAnsi="宋体"/>
              </w:rPr>
            </w:pPr>
          </w:p>
        </w:tc>
        <w:tc>
          <w:tcPr>
            <w:tcW w:w="1197" w:type="dxa"/>
            <w:vAlign w:val="center"/>
          </w:tcPr>
          <w:p>
            <w:pPr>
              <w:jc w:val="center"/>
              <w:rPr>
                <w:rFonts w:ascii="宋体" w:hAnsi="宋体"/>
              </w:rPr>
            </w:pPr>
          </w:p>
        </w:tc>
        <w:tc>
          <w:tcPr>
            <w:tcW w:w="1197" w:type="dxa"/>
            <w:vAlign w:val="center"/>
          </w:tcPr>
          <w:p>
            <w:pPr>
              <w:jc w:val="center"/>
              <w:rPr>
                <w:rFonts w:ascii="宋体" w:hAnsi="宋体"/>
              </w:rPr>
            </w:pPr>
          </w:p>
        </w:tc>
        <w:tc>
          <w:tcPr>
            <w:tcW w:w="1198" w:type="dxa"/>
            <w:vAlign w:val="center"/>
          </w:tcPr>
          <w:p>
            <w:pPr>
              <w:jc w:val="center"/>
              <w:rPr>
                <w:rFonts w:ascii="宋体" w:hAnsi="宋体"/>
              </w:rPr>
            </w:pPr>
          </w:p>
        </w:tc>
        <w:tc>
          <w:tcPr>
            <w:tcW w:w="1197" w:type="dxa"/>
            <w:vAlign w:val="center"/>
          </w:tcPr>
          <w:p>
            <w:pPr>
              <w:jc w:val="center"/>
              <w:rPr>
                <w:rFonts w:ascii="宋体" w:hAnsi="宋体"/>
              </w:rPr>
            </w:pPr>
          </w:p>
        </w:tc>
        <w:tc>
          <w:tcPr>
            <w:tcW w:w="1197" w:type="dxa"/>
            <w:vAlign w:val="center"/>
          </w:tcPr>
          <w:p>
            <w:pPr>
              <w:jc w:val="center"/>
              <w:rPr>
                <w:rFonts w:ascii="宋体" w:hAnsi="宋体"/>
              </w:rPr>
            </w:pPr>
          </w:p>
        </w:tc>
        <w:tc>
          <w:tcPr>
            <w:tcW w:w="119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12" w:type="dxa"/>
            <w:vAlign w:val="center"/>
          </w:tcPr>
          <w:p>
            <w:pPr>
              <w:jc w:val="center"/>
              <w:rPr>
                <w:rFonts w:ascii="黑体" w:hAnsi="宋体" w:eastAsia="黑体"/>
              </w:rPr>
            </w:pPr>
            <w:r>
              <w:rPr>
                <w:rFonts w:hint="eastAsia" w:ascii="黑体" w:hAnsi="宋体" w:eastAsia="黑体"/>
              </w:rPr>
              <w:t>9</w:t>
            </w:r>
          </w:p>
        </w:tc>
        <w:tc>
          <w:tcPr>
            <w:tcW w:w="2156" w:type="dxa"/>
            <w:vAlign w:val="center"/>
          </w:tcPr>
          <w:p>
            <w:pPr>
              <w:jc w:val="center"/>
            </w:pPr>
            <w:r>
              <w:rPr>
                <w:rFonts w:hint="eastAsia"/>
              </w:rPr>
              <w:t>……</w:t>
            </w:r>
          </w:p>
        </w:tc>
        <w:tc>
          <w:tcPr>
            <w:tcW w:w="1197" w:type="dxa"/>
            <w:vAlign w:val="center"/>
          </w:tcPr>
          <w:p>
            <w:pPr>
              <w:jc w:val="center"/>
              <w:rPr>
                <w:rFonts w:ascii="宋体" w:hAnsi="宋体"/>
              </w:rPr>
            </w:pPr>
          </w:p>
        </w:tc>
        <w:tc>
          <w:tcPr>
            <w:tcW w:w="1197" w:type="dxa"/>
            <w:vAlign w:val="center"/>
          </w:tcPr>
          <w:p>
            <w:pPr>
              <w:jc w:val="center"/>
              <w:rPr>
                <w:rFonts w:ascii="宋体" w:hAnsi="宋体"/>
              </w:rPr>
            </w:pPr>
          </w:p>
        </w:tc>
        <w:tc>
          <w:tcPr>
            <w:tcW w:w="1198" w:type="dxa"/>
            <w:vAlign w:val="center"/>
          </w:tcPr>
          <w:p>
            <w:pPr>
              <w:jc w:val="center"/>
              <w:rPr>
                <w:rFonts w:ascii="宋体" w:hAnsi="宋体"/>
              </w:rPr>
            </w:pPr>
          </w:p>
        </w:tc>
        <w:tc>
          <w:tcPr>
            <w:tcW w:w="1197" w:type="dxa"/>
            <w:vAlign w:val="center"/>
          </w:tcPr>
          <w:p>
            <w:pPr>
              <w:jc w:val="center"/>
              <w:rPr>
                <w:rFonts w:ascii="宋体" w:hAnsi="宋体"/>
              </w:rPr>
            </w:pPr>
          </w:p>
        </w:tc>
        <w:tc>
          <w:tcPr>
            <w:tcW w:w="1197" w:type="dxa"/>
            <w:vAlign w:val="center"/>
          </w:tcPr>
          <w:p>
            <w:pPr>
              <w:jc w:val="center"/>
              <w:rPr>
                <w:rFonts w:ascii="宋体" w:hAnsi="宋体"/>
              </w:rPr>
            </w:pPr>
          </w:p>
        </w:tc>
        <w:tc>
          <w:tcPr>
            <w:tcW w:w="1198" w:type="dxa"/>
            <w:vAlign w:val="center"/>
          </w:tcPr>
          <w:p>
            <w:pPr>
              <w:jc w:val="center"/>
              <w:rPr>
                <w:rFonts w:ascii="宋体" w:hAnsi="宋体"/>
              </w:rPr>
            </w:pPr>
          </w:p>
        </w:tc>
        <w:tc>
          <w:tcPr>
            <w:tcW w:w="1197" w:type="dxa"/>
            <w:vAlign w:val="center"/>
          </w:tcPr>
          <w:p>
            <w:pPr>
              <w:jc w:val="center"/>
              <w:rPr>
                <w:rFonts w:ascii="宋体" w:hAnsi="宋体"/>
              </w:rPr>
            </w:pPr>
          </w:p>
        </w:tc>
        <w:tc>
          <w:tcPr>
            <w:tcW w:w="1197" w:type="dxa"/>
            <w:vAlign w:val="center"/>
          </w:tcPr>
          <w:p>
            <w:pPr>
              <w:jc w:val="center"/>
              <w:rPr>
                <w:rFonts w:ascii="宋体" w:hAnsi="宋体"/>
              </w:rPr>
            </w:pPr>
          </w:p>
        </w:tc>
        <w:tc>
          <w:tcPr>
            <w:tcW w:w="119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068" w:type="dxa"/>
            <w:gridSpan w:val="2"/>
            <w:vAlign w:val="center"/>
          </w:tcPr>
          <w:p>
            <w:pPr>
              <w:jc w:val="center"/>
            </w:pPr>
            <w:r>
              <w:rPr>
                <w:rFonts w:hint="eastAsia"/>
              </w:rPr>
              <w:t>是否通过评审</w:t>
            </w:r>
          </w:p>
        </w:tc>
        <w:tc>
          <w:tcPr>
            <w:tcW w:w="1197" w:type="dxa"/>
            <w:vAlign w:val="center"/>
          </w:tcPr>
          <w:p>
            <w:pPr>
              <w:jc w:val="center"/>
              <w:rPr>
                <w:rFonts w:ascii="宋体" w:hAnsi="宋体"/>
              </w:rPr>
            </w:pPr>
          </w:p>
        </w:tc>
        <w:tc>
          <w:tcPr>
            <w:tcW w:w="1197" w:type="dxa"/>
            <w:vAlign w:val="center"/>
          </w:tcPr>
          <w:p>
            <w:pPr>
              <w:jc w:val="center"/>
              <w:rPr>
                <w:rFonts w:ascii="宋体" w:hAnsi="宋体"/>
              </w:rPr>
            </w:pPr>
          </w:p>
        </w:tc>
        <w:tc>
          <w:tcPr>
            <w:tcW w:w="1198" w:type="dxa"/>
            <w:vAlign w:val="center"/>
          </w:tcPr>
          <w:p>
            <w:pPr>
              <w:jc w:val="center"/>
              <w:rPr>
                <w:rFonts w:ascii="宋体" w:hAnsi="宋体"/>
              </w:rPr>
            </w:pPr>
          </w:p>
        </w:tc>
        <w:tc>
          <w:tcPr>
            <w:tcW w:w="1197" w:type="dxa"/>
            <w:vAlign w:val="center"/>
          </w:tcPr>
          <w:p>
            <w:pPr>
              <w:jc w:val="center"/>
              <w:rPr>
                <w:rFonts w:ascii="宋体" w:hAnsi="宋体"/>
              </w:rPr>
            </w:pPr>
          </w:p>
        </w:tc>
        <w:tc>
          <w:tcPr>
            <w:tcW w:w="1197" w:type="dxa"/>
            <w:vAlign w:val="center"/>
          </w:tcPr>
          <w:p>
            <w:pPr>
              <w:jc w:val="center"/>
              <w:rPr>
                <w:rFonts w:ascii="宋体" w:hAnsi="宋体"/>
              </w:rPr>
            </w:pPr>
          </w:p>
        </w:tc>
        <w:tc>
          <w:tcPr>
            <w:tcW w:w="1198" w:type="dxa"/>
            <w:vAlign w:val="center"/>
          </w:tcPr>
          <w:p>
            <w:pPr>
              <w:jc w:val="center"/>
              <w:rPr>
                <w:rFonts w:ascii="宋体" w:hAnsi="宋体"/>
              </w:rPr>
            </w:pPr>
          </w:p>
        </w:tc>
        <w:tc>
          <w:tcPr>
            <w:tcW w:w="1197" w:type="dxa"/>
            <w:vAlign w:val="center"/>
          </w:tcPr>
          <w:p>
            <w:pPr>
              <w:jc w:val="center"/>
              <w:rPr>
                <w:rFonts w:ascii="宋体" w:hAnsi="宋体"/>
              </w:rPr>
            </w:pPr>
          </w:p>
        </w:tc>
        <w:tc>
          <w:tcPr>
            <w:tcW w:w="1197" w:type="dxa"/>
            <w:vAlign w:val="center"/>
          </w:tcPr>
          <w:p>
            <w:pPr>
              <w:jc w:val="center"/>
              <w:rPr>
                <w:rFonts w:ascii="宋体" w:hAnsi="宋体"/>
              </w:rPr>
            </w:pPr>
          </w:p>
        </w:tc>
        <w:tc>
          <w:tcPr>
            <w:tcW w:w="1198" w:type="dxa"/>
            <w:vAlign w:val="center"/>
          </w:tcPr>
          <w:p>
            <w:pPr>
              <w:jc w:val="center"/>
              <w:rPr>
                <w:rFonts w:ascii="宋体" w:hAnsi="宋体"/>
              </w:rPr>
            </w:pPr>
          </w:p>
        </w:tc>
      </w:tr>
    </w:tbl>
    <w:p>
      <w:pPr>
        <w:spacing w:line="440" w:lineRule="exact"/>
      </w:pPr>
      <w:r>
        <w:rPr>
          <w:rFonts w:hint="eastAsia"/>
        </w:rPr>
        <w:t>评标委员会全体成员签名：日期：年月日</w:t>
      </w:r>
    </w:p>
    <w:p>
      <w:pPr>
        <w:widowControl/>
        <w:jc w:val="left"/>
      </w:pPr>
      <w:r>
        <w:br w:type="page"/>
      </w:r>
    </w:p>
    <w:p>
      <w:pPr>
        <w:spacing w:after="240" w:afterLines="100"/>
        <w:jc w:val="center"/>
        <w:rPr>
          <w:rFonts w:ascii="宋体" w:hAnsi="宋体"/>
          <w:b/>
          <w:szCs w:val="21"/>
        </w:rPr>
      </w:pPr>
    </w:p>
    <w:p>
      <w:pPr>
        <w:spacing w:after="240" w:afterLines="100"/>
        <w:jc w:val="center"/>
        <w:rPr>
          <w:rFonts w:ascii="黑体" w:hAnsi="宋体" w:eastAsia="黑体"/>
          <w:sz w:val="36"/>
          <w:szCs w:val="36"/>
        </w:rPr>
      </w:pPr>
      <w:r>
        <w:rPr>
          <w:rFonts w:hint="eastAsia" w:ascii="宋体" w:hAnsi="宋体"/>
          <w:b/>
          <w:szCs w:val="21"/>
        </w:rPr>
        <w:t>附表A-</w:t>
      </w:r>
      <w:r>
        <w:rPr>
          <w:rFonts w:ascii="宋体" w:hAnsi="宋体"/>
          <w:b/>
          <w:szCs w:val="21"/>
        </w:rPr>
        <w:t>5</w:t>
      </w:r>
      <w:r>
        <w:rPr>
          <w:rFonts w:hint="eastAsia" w:ascii="宋体" w:hAnsi="宋体"/>
          <w:b/>
          <w:szCs w:val="21"/>
        </w:rPr>
        <w:t>：</w:t>
      </w:r>
      <w:r>
        <w:rPr>
          <w:rFonts w:hint="eastAsia" w:ascii="黑体" w:hAnsi="宋体" w:eastAsia="黑体"/>
          <w:sz w:val="36"/>
          <w:szCs w:val="36"/>
        </w:rPr>
        <w:t>综合评估法施工组织设计评审记录表</w:t>
      </w:r>
    </w:p>
    <w:p>
      <w:pPr>
        <w:spacing w:after="240" w:afterLines="100"/>
        <w:ind w:firstLine="525" w:firstLineChars="250"/>
        <w:rPr>
          <w:rFonts w:ascii="宋体" w:hAnsi="宋体"/>
          <w:szCs w:val="44"/>
        </w:rPr>
      </w:pPr>
      <w:r>
        <w:rPr>
          <w:rFonts w:hint="eastAsia" w:ascii="宋体" w:hAnsi="宋体"/>
          <w:szCs w:val="44"/>
        </w:rPr>
        <w:t>工程名称：(项目名称)标段</w:t>
      </w:r>
    </w:p>
    <w:tbl>
      <w:tblPr>
        <w:tblStyle w:val="44"/>
        <w:tblW w:w="14048" w:type="dxa"/>
        <w:tblInd w:w="6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2701"/>
        <w:gridCol w:w="1080"/>
        <w:gridCol w:w="1180"/>
        <w:gridCol w:w="1180"/>
        <w:gridCol w:w="1180"/>
        <w:gridCol w:w="1180"/>
        <w:gridCol w:w="1180"/>
        <w:gridCol w:w="1180"/>
        <w:gridCol w:w="1180"/>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27" w:type="dxa"/>
            <w:vMerge w:val="restart"/>
            <w:vAlign w:val="center"/>
          </w:tcPr>
          <w:p>
            <w:pPr>
              <w:jc w:val="center"/>
              <w:rPr>
                <w:rFonts w:ascii="宋体" w:hAnsi="宋体"/>
                <w:szCs w:val="44"/>
              </w:rPr>
            </w:pPr>
            <w:r>
              <w:rPr>
                <w:rFonts w:hint="eastAsia" w:ascii="宋体" w:hAnsi="宋体"/>
                <w:szCs w:val="44"/>
              </w:rPr>
              <w:t>序号</w:t>
            </w:r>
          </w:p>
        </w:tc>
        <w:tc>
          <w:tcPr>
            <w:tcW w:w="2701" w:type="dxa"/>
            <w:vMerge w:val="restart"/>
            <w:vAlign w:val="center"/>
          </w:tcPr>
          <w:p>
            <w:pPr>
              <w:jc w:val="center"/>
              <w:rPr>
                <w:rFonts w:ascii="宋体" w:hAnsi="宋体"/>
                <w:szCs w:val="44"/>
              </w:rPr>
            </w:pPr>
            <w:r>
              <w:rPr>
                <w:rFonts w:hint="eastAsia" w:ascii="宋体" w:hAnsi="宋体"/>
                <w:szCs w:val="44"/>
              </w:rPr>
              <w:t>评分项目</w:t>
            </w:r>
          </w:p>
        </w:tc>
        <w:tc>
          <w:tcPr>
            <w:tcW w:w="1080" w:type="dxa"/>
            <w:vMerge w:val="restart"/>
            <w:vAlign w:val="center"/>
          </w:tcPr>
          <w:p>
            <w:pPr>
              <w:jc w:val="center"/>
              <w:rPr>
                <w:rFonts w:ascii="宋体" w:hAnsi="宋体"/>
                <w:szCs w:val="44"/>
              </w:rPr>
            </w:pPr>
            <w:r>
              <w:rPr>
                <w:rFonts w:hint="eastAsia" w:ascii="宋体" w:hAnsi="宋体"/>
                <w:szCs w:val="44"/>
              </w:rPr>
              <w:t>标准分</w:t>
            </w:r>
          </w:p>
        </w:tc>
        <w:tc>
          <w:tcPr>
            <w:tcW w:w="9440" w:type="dxa"/>
            <w:gridSpan w:val="8"/>
            <w:vAlign w:val="center"/>
          </w:tcPr>
          <w:p>
            <w:pPr>
              <w:jc w:val="center"/>
              <w:rPr>
                <w:rFonts w:ascii="宋体" w:hAnsi="宋体"/>
                <w:szCs w:val="44"/>
              </w:rPr>
            </w:pPr>
            <w:r>
              <w:rPr>
                <w:rFonts w:hint="eastAsia" w:ascii="宋体" w:hAnsi="宋体"/>
                <w:szCs w:val="44"/>
              </w:rPr>
              <w:t>投标人代码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27" w:type="dxa"/>
            <w:vMerge w:val="continue"/>
            <w:vAlign w:val="center"/>
          </w:tcPr>
          <w:p>
            <w:pPr>
              <w:jc w:val="center"/>
              <w:rPr>
                <w:rFonts w:ascii="宋体" w:hAnsi="宋体"/>
                <w:szCs w:val="44"/>
              </w:rPr>
            </w:pPr>
          </w:p>
        </w:tc>
        <w:tc>
          <w:tcPr>
            <w:tcW w:w="2701" w:type="dxa"/>
            <w:vMerge w:val="continue"/>
            <w:vAlign w:val="center"/>
          </w:tcPr>
          <w:p>
            <w:pPr>
              <w:jc w:val="center"/>
              <w:rPr>
                <w:rFonts w:ascii="宋体" w:hAnsi="宋体"/>
                <w:szCs w:val="44"/>
              </w:rPr>
            </w:pPr>
          </w:p>
        </w:tc>
        <w:tc>
          <w:tcPr>
            <w:tcW w:w="1080" w:type="dxa"/>
            <w:vMerge w:val="continue"/>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27" w:type="dxa"/>
            <w:vAlign w:val="center"/>
          </w:tcPr>
          <w:p>
            <w:pPr>
              <w:jc w:val="center"/>
              <w:rPr>
                <w:rFonts w:ascii="黑体" w:hAnsi="宋体" w:eastAsia="黑体"/>
                <w:szCs w:val="44"/>
              </w:rPr>
            </w:pPr>
            <w:r>
              <w:rPr>
                <w:rFonts w:hint="eastAsia" w:ascii="黑体" w:hAnsi="宋体" w:eastAsia="黑体"/>
                <w:szCs w:val="44"/>
              </w:rPr>
              <w:t>1</w:t>
            </w:r>
          </w:p>
        </w:tc>
        <w:tc>
          <w:tcPr>
            <w:tcW w:w="2701" w:type="dxa"/>
            <w:vAlign w:val="center"/>
          </w:tcPr>
          <w:p>
            <w:pPr>
              <w:rPr>
                <w:rFonts w:ascii="宋体" w:hAnsi="宋体"/>
                <w:szCs w:val="21"/>
              </w:rPr>
            </w:pPr>
            <w:r>
              <w:rPr>
                <w:rFonts w:hint="eastAsia"/>
                <w:szCs w:val="21"/>
              </w:rPr>
              <w:t>内容完整性</w:t>
            </w:r>
          </w:p>
        </w:tc>
        <w:tc>
          <w:tcPr>
            <w:tcW w:w="10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827" w:type="dxa"/>
            <w:vAlign w:val="center"/>
          </w:tcPr>
          <w:p>
            <w:pPr>
              <w:jc w:val="center"/>
              <w:rPr>
                <w:rFonts w:ascii="黑体" w:hAnsi="宋体" w:eastAsia="黑体"/>
                <w:szCs w:val="44"/>
              </w:rPr>
            </w:pPr>
            <w:r>
              <w:rPr>
                <w:rFonts w:hint="eastAsia" w:ascii="黑体" w:hAnsi="宋体" w:eastAsia="黑体"/>
                <w:szCs w:val="44"/>
              </w:rPr>
              <w:t>2</w:t>
            </w:r>
          </w:p>
        </w:tc>
        <w:tc>
          <w:tcPr>
            <w:tcW w:w="2701" w:type="dxa"/>
            <w:vAlign w:val="center"/>
          </w:tcPr>
          <w:p>
            <w:pPr>
              <w:rPr>
                <w:rFonts w:ascii="宋体" w:hAnsi="宋体"/>
                <w:sz w:val="18"/>
                <w:szCs w:val="18"/>
              </w:rPr>
            </w:pPr>
            <w:r>
              <w:rPr>
                <w:rFonts w:hint="eastAsia"/>
                <w:szCs w:val="21"/>
              </w:rPr>
              <w:t>主要施工方案与技术措施</w:t>
            </w:r>
          </w:p>
        </w:tc>
        <w:tc>
          <w:tcPr>
            <w:tcW w:w="10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trPr>
        <w:tc>
          <w:tcPr>
            <w:tcW w:w="827" w:type="dxa"/>
            <w:vAlign w:val="center"/>
          </w:tcPr>
          <w:p>
            <w:pPr>
              <w:jc w:val="center"/>
              <w:rPr>
                <w:rFonts w:ascii="黑体" w:hAnsi="宋体" w:eastAsia="黑体"/>
                <w:szCs w:val="44"/>
              </w:rPr>
            </w:pPr>
            <w:r>
              <w:rPr>
                <w:rFonts w:hint="eastAsia" w:ascii="黑体" w:hAnsi="宋体" w:eastAsia="黑体"/>
                <w:szCs w:val="44"/>
              </w:rPr>
              <w:t>3</w:t>
            </w:r>
          </w:p>
        </w:tc>
        <w:tc>
          <w:tcPr>
            <w:tcW w:w="2701" w:type="dxa"/>
            <w:vAlign w:val="center"/>
          </w:tcPr>
          <w:p>
            <w:pPr>
              <w:rPr>
                <w:rFonts w:ascii="宋体" w:hAnsi="宋体"/>
                <w:szCs w:val="21"/>
              </w:rPr>
            </w:pPr>
            <w:r>
              <w:rPr>
                <w:rFonts w:hint="eastAsia"/>
                <w:szCs w:val="21"/>
              </w:rPr>
              <w:t>质量管理体系与措施</w:t>
            </w:r>
          </w:p>
        </w:tc>
        <w:tc>
          <w:tcPr>
            <w:tcW w:w="10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7" w:type="dxa"/>
            <w:vAlign w:val="center"/>
          </w:tcPr>
          <w:p>
            <w:pPr>
              <w:jc w:val="center"/>
              <w:rPr>
                <w:rFonts w:ascii="黑体" w:hAnsi="宋体" w:eastAsia="黑体"/>
                <w:szCs w:val="44"/>
              </w:rPr>
            </w:pPr>
            <w:r>
              <w:rPr>
                <w:rFonts w:hint="eastAsia" w:ascii="黑体" w:hAnsi="宋体" w:eastAsia="黑体"/>
                <w:szCs w:val="44"/>
              </w:rPr>
              <w:t>4</w:t>
            </w:r>
          </w:p>
        </w:tc>
        <w:tc>
          <w:tcPr>
            <w:tcW w:w="2701" w:type="dxa"/>
            <w:vAlign w:val="center"/>
          </w:tcPr>
          <w:p>
            <w:pPr>
              <w:rPr>
                <w:rFonts w:ascii="宋体" w:hAnsi="宋体"/>
                <w:szCs w:val="21"/>
              </w:rPr>
            </w:pPr>
            <w:r>
              <w:rPr>
                <w:rFonts w:hint="eastAsia"/>
                <w:szCs w:val="21"/>
              </w:rPr>
              <w:t>安全管理体系与措施</w:t>
            </w:r>
          </w:p>
        </w:tc>
        <w:tc>
          <w:tcPr>
            <w:tcW w:w="10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7" w:type="dxa"/>
            <w:vAlign w:val="center"/>
          </w:tcPr>
          <w:p>
            <w:pPr>
              <w:jc w:val="center"/>
              <w:rPr>
                <w:rFonts w:ascii="黑体" w:hAnsi="宋体" w:eastAsia="黑体"/>
                <w:szCs w:val="44"/>
              </w:rPr>
            </w:pPr>
            <w:r>
              <w:rPr>
                <w:rFonts w:hint="eastAsia" w:ascii="黑体" w:hAnsi="宋体" w:eastAsia="黑体"/>
                <w:szCs w:val="44"/>
              </w:rPr>
              <w:t>5</w:t>
            </w:r>
          </w:p>
        </w:tc>
        <w:tc>
          <w:tcPr>
            <w:tcW w:w="2701" w:type="dxa"/>
            <w:vAlign w:val="center"/>
          </w:tcPr>
          <w:p>
            <w:pPr>
              <w:rPr>
                <w:rFonts w:ascii="宋体" w:hAnsi="宋体"/>
                <w:szCs w:val="21"/>
              </w:rPr>
            </w:pPr>
            <w:r>
              <w:rPr>
                <w:rFonts w:hint="eastAsia"/>
                <w:szCs w:val="21"/>
              </w:rPr>
              <w:t>文明施工、环境保护管理体系及施工现场扬尘治理措施</w:t>
            </w:r>
          </w:p>
        </w:tc>
        <w:tc>
          <w:tcPr>
            <w:tcW w:w="10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7" w:type="dxa"/>
            <w:vAlign w:val="center"/>
          </w:tcPr>
          <w:p>
            <w:pPr>
              <w:jc w:val="center"/>
              <w:rPr>
                <w:rFonts w:ascii="黑体" w:hAnsi="宋体" w:eastAsia="黑体"/>
                <w:szCs w:val="44"/>
              </w:rPr>
            </w:pPr>
            <w:r>
              <w:rPr>
                <w:rFonts w:hint="eastAsia" w:ascii="黑体" w:hAnsi="宋体" w:eastAsia="黑体"/>
                <w:szCs w:val="44"/>
              </w:rPr>
              <w:t>6</w:t>
            </w:r>
          </w:p>
        </w:tc>
        <w:tc>
          <w:tcPr>
            <w:tcW w:w="2701" w:type="dxa"/>
            <w:vAlign w:val="center"/>
          </w:tcPr>
          <w:p>
            <w:pPr>
              <w:rPr>
                <w:rFonts w:ascii="宋体" w:hAnsi="宋体"/>
                <w:szCs w:val="21"/>
              </w:rPr>
            </w:pPr>
            <w:r>
              <w:rPr>
                <w:rFonts w:hint="eastAsia"/>
                <w:szCs w:val="21"/>
              </w:rPr>
              <w:t>工期保证措施</w:t>
            </w:r>
          </w:p>
        </w:tc>
        <w:tc>
          <w:tcPr>
            <w:tcW w:w="10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7" w:type="dxa"/>
            <w:vAlign w:val="center"/>
          </w:tcPr>
          <w:p>
            <w:pPr>
              <w:jc w:val="center"/>
              <w:rPr>
                <w:rFonts w:ascii="黑体" w:hAnsi="宋体" w:eastAsia="黑体"/>
                <w:szCs w:val="44"/>
              </w:rPr>
            </w:pPr>
            <w:r>
              <w:rPr>
                <w:rFonts w:hint="eastAsia" w:ascii="黑体" w:hAnsi="宋体" w:eastAsia="黑体"/>
                <w:szCs w:val="44"/>
              </w:rPr>
              <w:t>7</w:t>
            </w:r>
          </w:p>
        </w:tc>
        <w:tc>
          <w:tcPr>
            <w:tcW w:w="2701" w:type="dxa"/>
            <w:vAlign w:val="center"/>
          </w:tcPr>
          <w:p>
            <w:pPr>
              <w:rPr>
                <w:rFonts w:ascii="宋体" w:hAnsi="宋体"/>
                <w:b/>
                <w:bCs/>
                <w:sz w:val="18"/>
                <w:szCs w:val="18"/>
              </w:rPr>
            </w:pPr>
            <w:r>
              <w:rPr>
                <w:rFonts w:hint="eastAsia"/>
                <w:szCs w:val="21"/>
              </w:rPr>
              <w:t>拟投入资源配备计划</w:t>
            </w:r>
          </w:p>
        </w:tc>
        <w:tc>
          <w:tcPr>
            <w:tcW w:w="10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7" w:type="dxa"/>
            <w:vAlign w:val="center"/>
          </w:tcPr>
          <w:p>
            <w:pPr>
              <w:jc w:val="center"/>
              <w:rPr>
                <w:rFonts w:ascii="黑体" w:hAnsi="宋体" w:eastAsia="黑体"/>
                <w:szCs w:val="44"/>
              </w:rPr>
            </w:pPr>
            <w:r>
              <w:rPr>
                <w:rFonts w:hint="eastAsia" w:ascii="黑体" w:hAnsi="宋体" w:eastAsia="黑体"/>
                <w:szCs w:val="44"/>
              </w:rPr>
              <w:t>8</w:t>
            </w:r>
          </w:p>
        </w:tc>
        <w:tc>
          <w:tcPr>
            <w:tcW w:w="2701" w:type="dxa"/>
            <w:vAlign w:val="center"/>
          </w:tcPr>
          <w:p>
            <w:pPr>
              <w:rPr>
                <w:rFonts w:ascii="宋体" w:hAnsi="宋体"/>
                <w:b/>
                <w:bCs/>
                <w:sz w:val="18"/>
                <w:szCs w:val="18"/>
              </w:rPr>
            </w:pPr>
            <w:r>
              <w:rPr>
                <w:rFonts w:hint="eastAsia"/>
                <w:szCs w:val="21"/>
              </w:rPr>
              <w:t>施工进度表与网络计划图</w:t>
            </w:r>
          </w:p>
        </w:tc>
        <w:tc>
          <w:tcPr>
            <w:tcW w:w="10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27" w:type="dxa"/>
            <w:vAlign w:val="center"/>
          </w:tcPr>
          <w:p>
            <w:pPr>
              <w:jc w:val="center"/>
              <w:rPr>
                <w:rFonts w:ascii="黑体" w:hAnsi="宋体" w:eastAsia="黑体"/>
                <w:szCs w:val="44"/>
              </w:rPr>
            </w:pPr>
            <w:r>
              <w:rPr>
                <w:rFonts w:hint="eastAsia" w:ascii="黑体" w:hAnsi="宋体" w:eastAsia="黑体"/>
                <w:szCs w:val="44"/>
              </w:rPr>
              <w:t>9</w:t>
            </w:r>
          </w:p>
        </w:tc>
        <w:tc>
          <w:tcPr>
            <w:tcW w:w="2701" w:type="dxa"/>
            <w:vAlign w:val="center"/>
          </w:tcPr>
          <w:p>
            <w:pPr>
              <w:rPr>
                <w:rFonts w:ascii="宋体" w:hAnsi="宋体"/>
                <w:b/>
                <w:bCs/>
              </w:rPr>
            </w:pPr>
            <w:r>
              <w:rPr>
                <w:rFonts w:hint="eastAsia"/>
                <w:szCs w:val="21"/>
              </w:rPr>
              <w:t>施工总平面图布置</w:t>
            </w:r>
          </w:p>
        </w:tc>
        <w:tc>
          <w:tcPr>
            <w:tcW w:w="10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27" w:type="dxa"/>
            <w:vAlign w:val="center"/>
          </w:tcPr>
          <w:p>
            <w:pPr>
              <w:jc w:val="center"/>
              <w:rPr>
                <w:rFonts w:ascii="黑体" w:hAnsi="宋体" w:eastAsia="黑体"/>
                <w:szCs w:val="44"/>
              </w:rPr>
            </w:pPr>
            <w:r>
              <w:rPr>
                <w:rFonts w:hint="eastAsia" w:ascii="黑体" w:hAnsi="宋体" w:eastAsia="黑体"/>
                <w:szCs w:val="44"/>
              </w:rPr>
              <w:t>10</w:t>
            </w:r>
          </w:p>
        </w:tc>
        <w:tc>
          <w:tcPr>
            <w:tcW w:w="2701" w:type="dxa"/>
            <w:vAlign w:val="center"/>
          </w:tcPr>
          <w:p>
            <w:pPr>
              <w:rPr>
                <w:rFonts w:ascii="宋体" w:hAnsi="宋体"/>
                <w:b/>
                <w:bCs/>
              </w:rPr>
            </w:pPr>
            <w:r>
              <w:rPr>
                <w:rFonts w:hint="eastAsia"/>
                <w:szCs w:val="21"/>
              </w:rPr>
              <w:t>技术创新的应用实施措施</w:t>
            </w:r>
          </w:p>
        </w:tc>
        <w:tc>
          <w:tcPr>
            <w:tcW w:w="10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27" w:type="dxa"/>
            <w:vAlign w:val="center"/>
          </w:tcPr>
          <w:p>
            <w:pPr>
              <w:jc w:val="center"/>
              <w:rPr>
                <w:rFonts w:ascii="黑体" w:hAnsi="宋体" w:eastAsia="黑体"/>
                <w:szCs w:val="44"/>
              </w:rPr>
            </w:pPr>
            <w:r>
              <w:rPr>
                <w:rFonts w:hint="eastAsia" w:ascii="黑体" w:hAnsi="宋体" w:eastAsia="黑体"/>
                <w:szCs w:val="44"/>
              </w:rPr>
              <w:t>11</w:t>
            </w:r>
          </w:p>
        </w:tc>
        <w:tc>
          <w:tcPr>
            <w:tcW w:w="2701" w:type="dxa"/>
            <w:vAlign w:val="center"/>
          </w:tcPr>
          <w:p>
            <w:pPr>
              <w:rPr>
                <w:rFonts w:ascii="宋体" w:hAnsi="宋体" w:cs="宋体"/>
                <w:kern w:val="0"/>
                <w:sz w:val="18"/>
                <w:szCs w:val="18"/>
              </w:rPr>
            </w:pPr>
            <w:r>
              <w:rPr>
                <w:rFonts w:hint="eastAsia"/>
                <w:szCs w:val="21"/>
              </w:rPr>
              <w:t>采用新工艺、新技术、新设备、新材料、</w:t>
            </w:r>
            <w:r>
              <w:rPr>
                <w:szCs w:val="21"/>
              </w:rPr>
              <w:t>BIM</w:t>
            </w:r>
            <w:r>
              <w:rPr>
                <w:rFonts w:hint="eastAsia"/>
                <w:szCs w:val="21"/>
              </w:rPr>
              <w:t>等的程度</w:t>
            </w:r>
          </w:p>
        </w:tc>
        <w:tc>
          <w:tcPr>
            <w:tcW w:w="10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27" w:type="dxa"/>
            <w:vAlign w:val="center"/>
          </w:tcPr>
          <w:p>
            <w:pPr>
              <w:jc w:val="center"/>
              <w:rPr>
                <w:rFonts w:ascii="黑体" w:hAnsi="宋体" w:eastAsia="黑体"/>
              </w:rPr>
            </w:pPr>
            <w:r>
              <w:rPr>
                <w:rFonts w:hint="eastAsia" w:ascii="黑体" w:hAnsi="宋体" w:eastAsia="黑体"/>
              </w:rPr>
              <w:t>12</w:t>
            </w:r>
          </w:p>
        </w:tc>
        <w:tc>
          <w:tcPr>
            <w:tcW w:w="2701" w:type="dxa"/>
            <w:vAlign w:val="center"/>
          </w:tcPr>
          <w:p>
            <w:pPr>
              <w:rPr>
                <w:rFonts w:ascii="宋体" w:hAnsi="宋体" w:cs="宋体"/>
                <w:kern w:val="0"/>
                <w:sz w:val="18"/>
                <w:szCs w:val="18"/>
              </w:rPr>
            </w:pPr>
            <w:r>
              <w:rPr>
                <w:rFonts w:hint="eastAsia"/>
                <w:szCs w:val="21"/>
              </w:rPr>
              <w:t>施工现场实施信息化监控和数据处理</w:t>
            </w:r>
          </w:p>
        </w:tc>
        <w:tc>
          <w:tcPr>
            <w:tcW w:w="10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827" w:type="dxa"/>
            <w:vAlign w:val="center"/>
          </w:tcPr>
          <w:p>
            <w:pPr>
              <w:jc w:val="center"/>
              <w:rPr>
                <w:rFonts w:ascii="黑体" w:hAnsi="宋体" w:eastAsia="黑体"/>
              </w:rPr>
            </w:pPr>
            <w:r>
              <w:rPr>
                <w:rFonts w:hint="eastAsia" w:ascii="黑体" w:hAnsi="宋体" w:eastAsia="黑体"/>
              </w:rPr>
              <w:t>1</w:t>
            </w:r>
            <w:r>
              <w:rPr>
                <w:rFonts w:ascii="黑体" w:hAnsi="宋体" w:eastAsia="黑体"/>
              </w:rPr>
              <w:t>3</w:t>
            </w:r>
          </w:p>
        </w:tc>
        <w:tc>
          <w:tcPr>
            <w:tcW w:w="2701" w:type="dxa"/>
            <w:vAlign w:val="center"/>
          </w:tcPr>
          <w:p>
            <w:pPr>
              <w:rPr>
                <w:rFonts w:ascii="宋体" w:hAnsi="宋体" w:cs="宋体"/>
                <w:kern w:val="0"/>
                <w:sz w:val="18"/>
                <w:szCs w:val="18"/>
              </w:rPr>
            </w:pPr>
            <w:r>
              <w:rPr>
                <w:rFonts w:hint="eastAsia"/>
                <w:szCs w:val="21"/>
              </w:rPr>
              <w:t>风险管理措施</w:t>
            </w:r>
          </w:p>
        </w:tc>
        <w:tc>
          <w:tcPr>
            <w:tcW w:w="10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608" w:type="dxa"/>
            <w:gridSpan w:val="3"/>
            <w:vAlign w:val="center"/>
          </w:tcPr>
          <w:p>
            <w:pPr>
              <w:jc w:val="center"/>
              <w:rPr>
                <w:rFonts w:ascii="宋体" w:hAnsi="宋体"/>
                <w:szCs w:val="44"/>
              </w:rPr>
            </w:pPr>
            <w:r>
              <w:rPr>
                <w:rFonts w:hint="eastAsia" w:ascii="宋体" w:hAnsi="宋体"/>
                <w:szCs w:val="44"/>
              </w:rPr>
              <w:t>施工组织设计得分合计A(满分</w:t>
            </w:r>
            <w:r>
              <w:rPr>
                <w:rFonts w:ascii="宋体" w:hAnsi="宋体"/>
                <w:szCs w:val="44"/>
                <w:u w:val="single"/>
              </w:rPr>
              <w:t>25</w:t>
            </w:r>
            <w:r>
              <w:rPr>
                <w:rFonts w:hint="eastAsia" w:ascii="宋体" w:hAnsi="宋体"/>
                <w:szCs w:val="44"/>
                <w:u w:val="single"/>
              </w:rPr>
              <w:t xml:space="preserve">分 </w:t>
            </w:r>
            <w:r>
              <w:rPr>
                <w:rFonts w:hint="eastAsia" w:ascii="宋体" w:hAnsi="宋体"/>
                <w:szCs w:val="44"/>
              </w:rPr>
              <w:t>)</w:t>
            </w: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c>
          <w:tcPr>
            <w:tcW w:w="1180" w:type="dxa"/>
            <w:vAlign w:val="center"/>
          </w:tcPr>
          <w:p>
            <w:pPr>
              <w:jc w:val="center"/>
              <w:rPr>
                <w:rFonts w:ascii="宋体" w:hAnsi="宋体"/>
                <w:szCs w:val="44"/>
              </w:rPr>
            </w:pPr>
          </w:p>
        </w:tc>
      </w:tr>
    </w:tbl>
    <w:p>
      <w:pPr>
        <w:ind w:firstLine="525" w:firstLineChars="250"/>
      </w:pPr>
      <w:r>
        <w:rPr>
          <w:rFonts w:hint="eastAsia"/>
        </w:rPr>
        <w:t>评标委员会成员签名：</w:t>
      </w:r>
    </w:p>
    <w:p>
      <w:r>
        <w:rPr>
          <w:rFonts w:hint="eastAsia"/>
        </w:rPr>
        <w:t>日期：　　年月　日</w:t>
      </w:r>
    </w:p>
    <w:p>
      <w:pPr>
        <w:spacing w:after="240" w:afterLines="100"/>
        <w:rPr>
          <w:rFonts w:ascii="宋体" w:hAnsi="宋体"/>
          <w:b/>
          <w:szCs w:val="21"/>
        </w:rPr>
      </w:pPr>
      <w:r>
        <w:rPr>
          <w:rFonts w:hint="eastAsia" w:ascii="黑体" w:eastAsia="黑体"/>
          <w:sz w:val="24"/>
        </w:rPr>
        <w:br w:type="page"/>
      </w:r>
      <w:r>
        <w:rPr>
          <w:rFonts w:hint="eastAsia" w:ascii="宋体" w:hAnsi="宋体"/>
          <w:b/>
          <w:szCs w:val="21"/>
        </w:rPr>
        <w:t>附表A-</w:t>
      </w:r>
      <w:r>
        <w:rPr>
          <w:rFonts w:ascii="宋体" w:hAnsi="宋体"/>
          <w:b/>
          <w:szCs w:val="21"/>
        </w:rPr>
        <w:t>6</w:t>
      </w:r>
      <w:r>
        <w:rPr>
          <w:rFonts w:hint="eastAsia" w:ascii="宋体" w:hAnsi="宋体"/>
          <w:b/>
          <w:szCs w:val="21"/>
        </w:rPr>
        <w:t>：资信标评审记录表</w:t>
      </w:r>
    </w:p>
    <w:p>
      <w:pPr>
        <w:spacing w:after="240" w:afterLines="100"/>
        <w:jc w:val="center"/>
        <w:rPr>
          <w:rFonts w:ascii="黑体" w:eastAsia="黑体"/>
          <w:sz w:val="28"/>
          <w:szCs w:val="28"/>
        </w:rPr>
      </w:pPr>
      <w:r>
        <w:rPr>
          <w:rFonts w:hint="eastAsia" w:ascii="黑体" w:eastAsia="黑体"/>
          <w:sz w:val="28"/>
          <w:szCs w:val="28"/>
        </w:rPr>
        <w:t>资信标评审记录表</w:t>
      </w:r>
    </w:p>
    <w:p>
      <w:pPr>
        <w:spacing w:after="240" w:afterLines="100"/>
        <w:ind w:firstLine="630" w:firstLineChars="300"/>
        <w:rPr>
          <w:rFonts w:ascii="宋体" w:hAnsi="宋体"/>
          <w:szCs w:val="44"/>
        </w:rPr>
      </w:pPr>
      <w:r>
        <w:rPr>
          <w:rFonts w:hint="eastAsia" w:ascii="宋体" w:hAnsi="宋体"/>
          <w:szCs w:val="44"/>
        </w:rPr>
        <w:t>工程名称：(项目名称)标段</w:t>
      </w:r>
    </w:p>
    <w:tbl>
      <w:tblPr>
        <w:tblStyle w:val="44"/>
        <w:tblW w:w="14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120"/>
        <w:gridCol w:w="1080"/>
        <w:gridCol w:w="1271"/>
        <w:gridCol w:w="1271"/>
        <w:gridCol w:w="1272"/>
        <w:gridCol w:w="1271"/>
        <w:gridCol w:w="1272"/>
        <w:gridCol w:w="1271"/>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48" w:type="dxa"/>
            <w:vMerge w:val="restart"/>
            <w:vAlign w:val="center"/>
          </w:tcPr>
          <w:p>
            <w:pPr>
              <w:jc w:val="center"/>
              <w:rPr>
                <w:rFonts w:ascii="宋体" w:hAnsi="宋体"/>
                <w:szCs w:val="44"/>
              </w:rPr>
            </w:pPr>
            <w:r>
              <w:rPr>
                <w:rFonts w:hint="eastAsia" w:ascii="宋体" w:hAnsi="宋体"/>
                <w:szCs w:val="44"/>
              </w:rPr>
              <w:t>序号</w:t>
            </w:r>
          </w:p>
        </w:tc>
        <w:tc>
          <w:tcPr>
            <w:tcW w:w="3120" w:type="dxa"/>
            <w:vMerge w:val="restart"/>
            <w:vAlign w:val="center"/>
          </w:tcPr>
          <w:p>
            <w:pPr>
              <w:jc w:val="center"/>
              <w:rPr>
                <w:rFonts w:ascii="宋体" w:hAnsi="宋体"/>
                <w:szCs w:val="44"/>
              </w:rPr>
            </w:pPr>
            <w:r>
              <w:rPr>
                <w:rFonts w:hint="eastAsia" w:ascii="宋体" w:hAnsi="宋体"/>
                <w:szCs w:val="44"/>
              </w:rPr>
              <w:t>评分项目</w:t>
            </w:r>
          </w:p>
        </w:tc>
        <w:tc>
          <w:tcPr>
            <w:tcW w:w="1080" w:type="dxa"/>
            <w:vMerge w:val="restart"/>
            <w:vAlign w:val="center"/>
          </w:tcPr>
          <w:p>
            <w:pPr>
              <w:jc w:val="center"/>
              <w:rPr>
                <w:rFonts w:ascii="宋体" w:hAnsi="宋体"/>
                <w:szCs w:val="44"/>
              </w:rPr>
            </w:pPr>
            <w:r>
              <w:rPr>
                <w:rFonts w:hint="eastAsia" w:ascii="宋体" w:hAnsi="宋体"/>
                <w:szCs w:val="44"/>
              </w:rPr>
              <w:t>标准分</w:t>
            </w:r>
          </w:p>
        </w:tc>
        <w:tc>
          <w:tcPr>
            <w:tcW w:w="8900" w:type="dxa"/>
            <w:gridSpan w:val="7"/>
            <w:vAlign w:val="center"/>
          </w:tcPr>
          <w:p>
            <w:pPr>
              <w:jc w:val="center"/>
              <w:rPr>
                <w:rFonts w:ascii="宋体" w:hAnsi="宋体"/>
                <w:szCs w:val="44"/>
              </w:rPr>
            </w:pPr>
            <w:r>
              <w:rPr>
                <w:rFonts w:hint="eastAsia" w:ascii="宋体" w:hAnsi="宋体"/>
                <w:szCs w:val="44"/>
              </w:rPr>
              <w:t>投标人名称代码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948" w:type="dxa"/>
            <w:vMerge w:val="continue"/>
            <w:vAlign w:val="center"/>
          </w:tcPr>
          <w:p>
            <w:pPr>
              <w:jc w:val="center"/>
              <w:rPr>
                <w:rFonts w:ascii="宋体" w:hAnsi="宋体"/>
                <w:szCs w:val="44"/>
              </w:rPr>
            </w:pPr>
          </w:p>
        </w:tc>
        <w:tc>
          <w:tcPr>
            <w:tcW w:w="3120" w:type="dxa"/>
            <w:vMerge w:val="continue"/>
            <w:vAlign w:val="center"/>
          </w:tcPr>
          <w:p>
            <w:pPr>
              <w:jc w:val="center"/>
              <w:rPr>
                <w:rFonts w:ascii="宋体" w:hAnsi="宋体"/>
                <w:szCs w:val="44"/>
              </w:rPr>
            </w:pPr>
          </w:p>
        </w:tc>
        <w:tc>
          <w:tcPr>
            <w:tcW w:w="1080" w:type="dxa"/>
            <w:vMerge w:val="continue"/>
            <w:vAlign w:val="center"/>
          </w:tcPr>
          <w:p>
            <w:pPr>
              <w:jc w:val="center"/>
              <w:rPr>
                <w:rFonts w:ascii="宋体" w:hAnsi="宋体"/>
                <w:szCs w:val="44"/>
              </w:rPr>
            </w:pPr>
          </w:p>
        </w:tc>
        <w:tc>
          <w:tcPr>
            <w:tcW w:w="1271" w:type="dxa"/>
            <w:vAlign w:val="center"/>
          </w:tcPr>
          <w:p>
            <w:pPr>
              <w:jc w:val="center"/>
              <w:rPr>
                <w:rFonts w:ascii="宋体" w:hAnsi="宋体"/>
                <w:szCs w:val="44"/>
              </w:rPr>
            </w:pPr>
          </w:p>
        </w:tc>
        <w:tc>
          <w:tcPr>
            <w:tcW w:w="1271" w:type="dxa"/>
            <w:vAlign w:val="center"/>
          </w:tcPr>
          <w:p>
            <w:pPr>
              <w:jc w:val="center"/>
              <w:rPr>
                <w:rFonts w:ascii="宋体" w:hAnsi="宋体"/>
                <w:szCs w:val="44"/>
              </w:rPr>
            </w:pPr>
          </w:p>
        </w:tc>
        <w:tc>
          <w:tcPr>
            <w:tcW w:w="1272" w:type="dxa"/>
            <w:vAlign w:val="center"/>
          </w:tcPr>
          <w:p>
            <w:pPr>
              <w:jc w:val="center"/>
              <w:rPr>
                <w:rFonts w:ascii="宋体" w:hAnsi="宋体"/>
                <w:szCs w:val="44"/>
              </w:rPr>
            </w:pPr>
          </w:p>
        </w:tc>
        <w:tc>
          <w:tcPr>
            <w:tcW w:w="1271" w:type="dxa"/>
            <w:vAlign w:val="center"/>
          </w:tcPr>
          <w:p>
            <w:pPr>
              <w:jc w:val="center"/>
              <w:rPr>
                <w:rFonts w:ascii="宋体" w:hAnsi="宋体"/>
                <w:szCs w:val="44"/>
              </w:rPr>
            </w:pPr>
          </w:p>
        </w:tc>
        <w:tc>
          <w:tcPr>
            <w:tcW w:w="1272" w:type="dxa"/>
            <w:vAlign w:val="center"/>
          </w:tcPr>
          <w:p>
            <w:pPr>
              <w:jc w:val="center"/>
              <w:rPr>
                <w:rFonts w:ascii="宋体" w:hAnsi="宋体"/>
                <w:szCs w:val="44"/>
              </w:rPr>
            </w:pPr>
          </w:p>
        </w:tc>
        <w:tc>
          <w:tcPr>
            <w:tcW w:w="1271" w:type="dxa"/>
            <w:vAlign w:val="center"/>
          </w:tcPr>
          <w:p>
            <w:pPr>
              <w:jc w:val="center"/>
              <w:rPr>
                <w:rFonts w:ascii="宋体" w:hAnsi="宋体"/>
                <w:szCs w:val="44"/>
              </w:rPr>
            </w:pPr>
          </w:p>
        </w:tc>
        <w:tc>
          <w:tcPr>
            <w:tcW w:w="1272" w:type="dxa"/>
            <w:vAlign w:val="center"/>
          </w:tcPr>
          <w:p>
            <w:pPr>
              <w:jc w:val="center"/>
              <w:rPr>
                <w:rFonts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8" w:type="dxa"/>
            <w:vAlign w:val="center"/>
          </w:tcPr>
          <w:p>
            <w:pPr>
              <w:jc w:val="center"/>
              <w:rPr>
                <w:rFonts w:ascii="黑体" w:hAnsi="宋体" w:eastAsia="黑体"/>
                <w:szCs w:val="44"/>
              </w:rPr>
            </w:pPr>
            <w:r>
              <w:rPr>
                <w:rFonts w:hint="eastAsia" w:ascii="黑体" w:hAnsi="宋体" w:eastAsia="黑体"/>
                <w:szCs w:val="44"/>
              </w:rPr>
              <w:t>1</w:t>
            </w:r>
          </w:p>
        </w:tc>
        <w:tc>
          <w:tcPr>
            <w:tcW w:w="3120" w:type="dxa"/>
            <w:vAlign w:val="center"/>
          </w:tcPr>
          <w:p>
            <w:pPr>
              <w:jc w:val="center"/>
              <w:rPr>
                <w:rFonts w:ascii="宋体" w:hAnsi="宋体"/>
                <w:szCs w:val="44"/>
              </w:rPr>
            </w:pPr>
            <w:r>
              <w:rPr>
                <w:rFonts w:hint="eastAsia"/>
                <w:szCs w:val="21"/>
              </w:rPr>
              <w:t>企业业绩</w:t>
            </w:r>
          </w:p>
        </w:tc>
        <w:tc>
          <w:tcPr>
            <w:tcW w:w="1080" w:type="dxa"/>
            <w:vAlign w:val="center"/>
          </w:tcPr>
          <w:p>
            <w:pPr>
              <w:jc w:val="center"/>
              <w:rPr>
                <w:rFonts w:ascii="宋体" w:hAnsi="宋体"/>
                <w:szCs w:val="44"/>
              </w:rPr>
            </w:pPr>
          </w:p>
        </w:tc>
        <w:tc>
          <w:tcPr>
            <w:tcW w:w="1271" w:type="dxa"/>
            <w:vAlign w:val="center"/>
          </w:tcPr>
          <w:p>
            <w:pPr>
              <w:jc w:val="center"/>
              <w:rPr>
                <w:rFonts w:ascii="宋体" w:hAnsi="宋体"/>
                <w:szCs w:val="44"/>
              </w:rPr>
            </w:pPr>
          </w:p>
        </w:tc>
        <w:tc>
          <w:tcPr>
            <w:tcW w:w="1271" w:type="dxa"/>
            <w:vAlign w:val="center"/>
          </w:tcPr>
          <w:p>
            <w:pPr>
              <w:jc w:val="center"/>
              <w:rPr>
                <w:rFonts w:ascii="宋体" w:hAnsi="宋体"/>
                <w:szCs w:val="44"/>
              </w:rPr>
            </w:pPr>
          </w:p>
        </w:tc>
        <w:tc>
          <w:tcPr>
            <w:tcW w:w="1272" w:type="dxa"/>
            <w:vAlign w:val="center"/>
          </w:tcPr>
          <w:p>
            <w:pPr>
              <w:jc w:val="center"/>
              <w:rPr>
                <w:rFonts w:ascii="宋体" w:hAnsi="宋体"/>
                <w:szCs w:val="44"/>
              </w:rPr>
            </w:pPr>
          </w:p>
        </w:tc>
        <w:tc>
          <w:tcPr>
            <w:tcW w:w="1271" w:type="dxa"/>
            <w:vAlign w:val="center"/>
          </w:tcPr>
          <w:p>
            <w:pPr>
              <w:jc w:val="center"/>
              <w:rPr>
                <w:rFonts w:ascii="宋体" w:hAnsi="宋体"/>
                <w:szCs w:val="44"/>
              </w:rPr>
            </w:pPr>
          </w:p>
        </w:tc>
        <w:tc>
          <w:tcPr>
            <w:tcW w:w="1272" w:type="dxa"/>
            <w:vAlign w:val="center"/>
          </w:tcPr>
          <w:p>
            <w:pPr>
              <w:jc w:val="center"/>
              <w:rPr>
                <w:rFonts w:ascii="宋体" w:hAnsi="宋体"/>
                <w:szCs w:val="44"/>
              </w:rPr>
            </w:pPr>
          </w:p>
        </w:tc>
        <w:tc>
          <w:tcPr>
            <w:tcW w:w="1271" w:type="dxa"/>
            <w:vAlign w:val="center"/>
          </w:tcPr>
          <w:p>
            <w:pPr>
              <w:jc w:val="center"/>
              <w:rPr>
                <w:rFonts w:ascii="宋体" w:hAnsi="宋体"/>
                <w:szCs w:val="44"/>
              </w:rPr>
            </w:pPr>
          </w:p>
        </w:tc>
        <w:tc>
          <w:tcPr>
            <w:tcW w:w="1272" w:type="dxa"/>
            <w:vAlign w:val="center"/>
          </w:tcPr>
          <w:p>
            <w:pPr>
              <w:jc w:val="center"/>
              <w:rPr>
                <w:rFonts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8" w:type="dxa"/>
            <w:vAlign w:val="center"/>
          </w:tcPr>
          <w:p>
            <w:pPr>
              <w:jc w:val="center"/>
              <w:rPr>
                <w:rFonts w:ascii="黑体" w:hAnsi="宋体" w:eastAsia="黑体"/>
                <w:szCs w:val="44"/>
              </w:rPr>
            </w:pPr>
            <w:r>
              <w:rPr>
                <w:rFonts w:hint="eastAsia" w:ascii="黑体" w:hAnsi="宋体" w:eastAsia="黑体"/>
                <w:szCs w:val="44"/>
              </w:rPr>
              <w:t>2</w:t>
            </w:r>
          </w:p>
        </w:tc>
        <w:tc>
          <w:tcPr>
            <w:tcW w:w="3120" w:type="dxa"/>
            <w:vAlign w:val="center"/>
          </w:tcPr>
          <w:p>
            <w:pPr>
              <w:jc w:val="center"/>
              <w:rPr>
                <w:rFonts w:ascii="宋体" w:hAnsi="宋体"/>
                <w:szCs w:val="44"/>
              </w:rPr>
            </w:pPr>
            <w:r>
              <w:rPr>
                <w:rFonts w:hint="eastAsia"/>
                <w:szCs w:val="21"/>
              </w:rPr>
              <w:t>项目经理业绩</w:t>
            </w:r>
          </w:p>
        </w:tc>
        <w:tc>
          <w:tcPr>
            <w:tcW w:w="1080" w:type="dxa"/>
            <w:vAlign w:val="center"/>
          </w:tcPr>
          <w:p>
            <w:pPr>
              <w:jc w:val="center"/>
              <w:rPr>
                <w:rFonts w:ascii="宋体" w:hAnsi="宋体"/>
                <w:szCs w:val="44"/>
              </w:rPr>
            </w:pPr>
          </w:p>
        </w:tc>
        <w:tc>
          <w:tcPr>
            <w:tcW w:w="1271" w:type="dxa"/>
            <w:vAlign w:val="center"/>
          </w:tcPr>
          <w:p>
            <w:pPr>
              <w:jc w:val="center"/>
              <w:rPr>
                <w:rFonts w:ascii="宋体" w:hAnsi="宋体"/>
                <w:szCs w:val="44"/>
              </w:rPr>
            </w:pPr>
          </w:p>
        </w:tc>
        <w:tc>
          <w:tcPr>
            <w:tcW w:w="1271" w:type="dxa"/>
            <w:vAlign w:val="center"/>
          </w:tcPr>
          <w:p>
            <w:pPr>
              <w:jc w:val="center"/>
              <w:rPr>
                <w:rFonts w:ascii="宋体" w:hAnsi="宋体"/>
                <w:szCs w:val="44"/>
              </w:rPr>
            </w:pPr>
          </w:p>
        </w:tc>
        <w:tc>
          <w:tcPr>
            <w:tcW w:w="1272" w:type="dxa"/>
            <w:vAlign w:val="center"/>
          </w:tcPr>
          <w:p>
            <w:pPr>
              <w:jc w:val="center"/>
              <w:rPr>
                <w:rFonts w:ascii="宋体" w:hAnsi="宋体"/>
                <w:szCs w:val="44"/>
              </w:rPr>
            </w:pPr>
          </w:p>
        </w:tc>
        <w:tc>
          <w:tcPr>
            <w:tcW w:w="1271" w:type="dxa"/>
            <w:vAlign w:val="center"/>
          </w:tcPr>
          <w:p>
            <w:pPr>
              <w:jc w:val="center"/>
              <w:rPr>
                <w:rFonts w:ascii="宋体" w:hAnsi="宋体"/>
                <w:szCs w:val="44"/>
              </w:rPr>
            </w:pPr>
          </w:p>
        </w:tc>
        <w:tc>
          <w:tcPr>
            <w:tcW w:w="1272" w:type="dxa"/>
            <w:vAlign w:val="center"/>
          </w:tcPr>
          <w:p>
            <w:pPr>
              <w:jc w:val="center"/>
              <w:rPr>
                <w:rFonts w:ascii="宋体" w:hAnsi="宋体"/>
                <w:szCs w:val="44"/>
              </w:rPr>
            </w:pPr>
          </w:p>
        </w:tc>
        <w:tc>
          <w:tcPr>
            <w:tcW w:w="1271" w:type="dxa"/>
            <w:vAlign w:val="center"/>
          </w:tcPr>
          <w:p>
            <w:pPr>
              <w:jc w:val="center"/>
              <w:rPr>
                <w:rFonts w:ascii="宋体" w:hAnsi="宋体"/>
                <w:szCs w:val="44"/>
              </w:rPr>
            </w:pPr>
          </w:p>
        </w:tc>
        <w:tc>
          <w:tcPr>
            <w:tcW w:w="1272" w:type="dxa"/>
            <w:vAlign w:val="center"/>
          </w:tcPr>
          <w:p>
            <w:pPr>
              <w:jc w:val="center"/>
              <w:rPr>
                <w:rFonts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8" w:type="dxa"/>
            <w:vAlign w:val="center"/>
          </w:tcPr>
          <w:p>
            <w:pPr>
              <w:jc w:val="center"/>
              <w:rPr>
                <w:rFonts w:ascii="黑体" w:hAnsi="宋体" w:eastAsia="黑体"/>
                <w:szCs w:val="44"/>
              </w:rPr>
            </w:pPr>
            <w:r>
              <w:rPr>
                <w:rFonts w:hint="eastAsia" w:ascii="黑体" w:hAnsi="宋体" w:eastAsia="黑体"/>
                <w:szCs w:val="44"/>
              </w:rPr>
              <w:t>3</w:t>
            </w:r>
          </w:p>
        </w:tc>
        <w:tc>
          <w:tcPr>
            <w:tcW w:w="3120" w:type="dxa"/>
            <w:vAlign w:val="center"/>
          </w:tcPr>
          <w:p>
            <w:pPr>
              <w:jc w:val="center"/>
              <w:rPr>
                <w:rFonts w:ascii="宋体" w:hAnsi="宋体"/>
                <w:szCs w:val="44"/>
              </w:rPr>
            </w:pPr>
            <w:r>
              <w:rPr>
                <w:rFonts w:hint="eastAsia"/>
                <w:szCs w:val="21"/>
              </w:rPr>
              <w:t>优惠承诺</w:t>
            </w:r>
          </w:p>
        </w:tc>
        <w:tc>
          <w:tcPr>
            <w:tcW w:w="1080" w:type="dxa"/>
            <w:vAlign w:val="center"/>
          </w:tcPr>
          <w:p>
            <w:pPr>
              <w:jc w:val="center"/>
              <w:rPr>
                <w:rFonts w:ascii="宋体" w:hAnsi="宋体"/>
                <w:szCs w:val="44"/>
              </w:rPr>
            </w:pPr>
          </w:p>
        </w:tc>
        <w:tc>
          <w:tcPr>
            <w:tcW w:w="1271" w:type="dxa"/>
            <w:vAlign w:val="center"/>
          </w:tcPr>
          <w:p>
            <w:pPr>
              <w:jc w:val="center"/>
              <w:rPr>
                <w:rFonts w:ascii="宋体" w:hAnsi="宋体"/>
                <w:szCs w:val="44"/>
              </w:rPr>
            </w:pPr>
          </w:p>
        </w:tc>
        <w:tc>
          <w:tcPr>
            <w:tcW w:w="1271" w:type="dxa"/>
            <w:vAlign w:val="center"/>
          </w:tcPr>
          <w:p>
            <w:pPr>
              <w:jc w:val="center"/>
              <w:rPr>
                <w:rFonts w:ascii="宋体" w:hAnsi="宋体"/>
                <w:szCs w:val="44"/>
              </w:rPr>
            </w:pPr>
          </w:p>
        </w:tc>
        <w:tc>
          <w:tcPr>
            <w:tcW w:w="1272" w:type="dxa"/>
            <w:vAlign w:val="center"/>
          </w:tcPr>
          <w:p>
            <w:pPr>
              <w:jc w:val="center"/>
              <w:rPr>
                <w:rFonts w:ascii="宋体" w:hAnsi="宋体"/>
                <w:szCs w:val="44"/>
              </w:rPr>
            </w:pPr>
          </w:p>
        </w:tc>
        <w:tc>
          <w:tcPr>
            <w:tcW w:w="1271" w:type="dxa"/>
            <w:vAlign w:val="center"/>
          </w:tcPr>
          <w:p>
            <w:pPr>
              <w:jc w:val="center"/>
              <w:rPr>
                <w:rFonts w:ascii="宋体" w:hAnsi="宋体"/>
                <w:szCs w:val="44"/>
              </w:rPr>
            </w:pPr>
          </w:p>
        </w:tc>
        <w:tc>
          <w:tcPr>
            <w:tcW w:w="1272" w:type="dxa"/>
            <w:vAlign w:val="center"/>
          </w:tcPr>
          <w:p>
            <w:pPr>
              <w:jc w:val="center"/>
              <w:rPr>
                <w:rFonts w:ascii="宋体" w:hAnsi="宋体"/>
                <w:szCs w:val="44"/>
              </w:rPr>
            </w:pPr>
          </w:p>
        </w:tc>
        <w:tc>
          <w:tcPr>
            <w:tcW w:w="1271" w:type="dxa"/>
            <w:vAlign w:val="center"/>
          </w:tcPr>
          <w:p>
            <w:pPr>
              <w:jc w:val="center"/>
              <w:rPr>
                <w:rFonts w:ascii="宋体" w:hAnsi="宋体"/>
                <w:szCs w:val="44"/>
              </w:rPr>
            </w:pPr>
          </w:p>
        </w:tc>
        <w:tc>
          <w:tcPr>
            <w:tcW w:w="1272" w:type="dxa"/>
            <w:vAlign w:val="center"/>
          </w:tcPr>
          <w:p>
            <w:pPr>
              <w:jc w:val="center"/>
              <w:rPr>
                <w:rFonts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8" w:type="dxa"/>
            <w:vAlign w:val="center"/>
          </w:tcPr>
          <w:p>
            <w:pPr>
              <w:jc w:val="center"/>
              <w:rPr>
                <w:rFonts w:ascii="黑体" w:hAnsi="宋体" w:eastAsia="黑体"/>
                <w:szCs w:val="44"/>
              </w:rPr>
            </w:pPr>
            <w:r>
              <w:rPr>
                <w:rFonts w:hint="eastAsia" w:ascii="黑体" w:hAnsi="宋体" w:eastAsia="黑体"/>
                <w:szCs w:val="44"/>
              </w:rPr>
              <w:t>4</w:t>
            </w:r>
          </w:p>
        </w:tc>
        <w:tc>
          <w:tcPr>
            <w:tcW w:w="3120" w:type="dxa"/>
            <w:vAlign w:val="center"/>
          </w:tcPr>
          <w:p>
            <w:pPr>
              <w:jc w:val="center"/>
              <w:rPr>
                <w:rFonts w:ascii="宋体" w:hAnsi="宋体"/>
                <w:szCs w:val="44"/>
              </w:rPr>
            </w:pPr>
            <w:r>
              <w:rPr>
                <w:rFonts w:hint="eastAsia"/>
                <w:szCs w:val="21"/>
              </w:rPr>
              <w:t>履职尽责承诺</w:t>
            </w:r>
          </w:p>
        </w:tc>
        <w:tc>
          <w:tcPr>
            <w:tcW w:w="1080" w:type="dxa"/>
            <w:vAlign w:val="center"/>
          </w:tcPr>
          <w:p>
            <w:pPr>
              <w:jc w:val="center"/>
              <w:rPr>
                <w:rFonts w:ascii="宋体" w:hAnsi="宋体"/>
                <w:szCs w:val="44"/>
              </w:rPr>
            </w:pPr>
          </w:p>
        </w:tc>
        <w:tc>
          <w:tcPr>
            <w:tcW w:w="1271" w:type="dxa"/>
            <w:vAlign w:val="center"/>
          </w:tcPr>
          <w:p>
            <w:pPr>
              <w:jc w:val="center"/>
              <w:rPr>
                <w:rFonts w:ascii="宋体" w:hAnsi="宋体"/>
                <w:szCs w:val="44"/>
              </w:rPr>
            </w:pPr>
          </w:p>
        </w:tc>
        <w:tc>
          <w:tcPr>
            <w:tcW w:w="1271" w:type="dxa"/>
            <w:vAlign w:val="center"/>
          </w:tcPr>
          <w:p>
            <w:pPr>
              <w:jc w:val="center"/>
              <w:rPr>
                <w:rFonts w:ascii="宋体" w:hAnsi="宋体"/>
                <w:szCs w:val="44"/>
              </w:rPr>
            </w:pPr>
          </w:p>
        </w:tc>
        <w:tc>
          <w:tcPr>
            <w:tcW w:w="1272" w:type="dxa"/>
            <w:vAlign w:val="center"/>
          </w:tcPr>
          <w:p>
            <w:pPr>
              <w:jc w:val="center"/>
              <w:rPr>
                <w:rFonts w:ascii="宋体" w:hAnsi="宋体"/>
                <w:szCs w:val="44"/>
              </w:rPr>
            </w:pPr>
          </w:p>
        </w:tc>
        <w:tc>
          <w:tcPr>
            <w:tcW w:w="1271" w:type="dxa"/>
            <w:vAlign w:val="center"/>
          </w:tcPr>
          <w:p>
            <w:pPr>
              <w:jc w:val="center"/>
              <w:rPr>
                <w:rFonts w:ascii="宋体" w:hAnsi="宋体"/>
                <w:szCs w:val="44"/>
              </w:rPr>
            </w:pPr>
          </w:p>
        </w:tc>
        <w:tc>
          <w:tcPr>
            <w:tcW w:w="1272" w:type="dxa"/>
            <w:vAlign w:val="center"/>
          </w:tcPr>
          <w:p>
            <w:pPr>
              <w:jc w:val="center"/>
              <w:rPr>
                <w:rFonts w:ascii="宋体" w:hAnsi="宋体"/>
                <w:szCs w:val="44"/>
              </w:rPr>
            </w:pPr>
          </w:p>
        </w:tc>
        <w:tc>
          <w:tcPr>
            <w:tcW w:w="1271" w:type="dxa"/>
            <w:vAlign w:val="center"/>
          </w:tcPr>
          <w:p>
            <w:pPr>
              <w:jc w:val="center"/>
              <w:rPr>
                <w:rFonts w:ascii="宋体" w:hAnsi="宋体"/>
                <w:szCs w:val="44"/>
              </w:rPr>
            </w:pPr>
          </w:p>
        </w:tc>
        <w:tc>
          <w:tcPr>
            <w:tcW w:w="1272" w:type="dxa"/>
            <w:vAlign w:val="center"/>
          </w:tcPr>
          <w:p>
            <w:pPr>
              <w:jc w:val="center"/>
              <w:rPr>
                <w:rFonts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8" w:type="dxa"/>
            <w:vAlign w:val="center"/>
          </w:tcPr>
          <w:p>
            <w:pPr>
              <w:jc w:val="center"/>
              <w:rPr>
                <w:rFonts w:ascii="黑体" w:hAnsi="宋体" w:eastAsia="黑体"/>
                <w:szCs w:val="44"/>
              </w:rPr>
            </w:pPr>
            <w:r>
              <w:rPr>
                <w:rFonts w:hint="eastAsia" w:ascii="黑体" w:hAnsi="宋体" w:eastAsia="黑体"/>
                <w:szCs w:val="44"/>
              </w:rPr>
              <w:t>5</w:t>
            </w:r>
          </w:p>
        </w:tc>
        <w:tc>
          <w:tcPr>
            <w:tcW w:w="3120" w:type="dxa"/>
            <w:vAlign w:val="center"/>
          </w:tcPr>
          <w:p>
            <w:pPr>
              <w:jc w:val="center"/>
              <w:rPr>
                <w:szCs w:val="21"/>
              </w:rPr>
            </w:pPr>
            <w:r>
              <w:rPr>
                <w:rFonts w:hint="eastAsia"/>
                <w:szCs w:val="21"/>
              </w:rPr>
              <w:t>企业信用（含纳税诚信）</w:t>
            </w:r>
          </w:p>
        </w:tc>
        <w:tc>
          <w:tcPr>
            <w:tcW w:w="1080" w:type="dxa"/>
            <w:vAlign w:val="center"/>
          </w:tcPr>
          <w:p>
            <w:pPr>
              <w:jc w:val="center"/>
              <w:rPr>
                <w:rFonts w:ascii="宋体" w:hAnsi="宋体"/>
                <w:szCs w:val="44"/>
              </w:rPr>
            </w:pPr>
          </w:p>
        </w:tc>
        <w:tc>
          <w:tcPr>
            <w:tcW w:w="1271" w:type="dxa"/>
            <w:vAlign w:val="center"/>
          </w:tcPr>
          <w:p>
            <w:pPr>
              <w:jc w:val="center"/>
              <w:rPr>
                <w:rFonts w:ascii="宋体" w:hAnsi="宋体"/>
                <w:szCs w:val="44"/>
              </w:rPr>
            </w:pPr>
          </w:p>
        </w:tc>
        <w:tc>
          <w:tcPr>
            <w:tcW w:w="1271" w:type="dxa"/>
            <w:vAlign w:val="center"/>
          </w:tcPr>
          <w:p>
            <w:pPr>
              <w:jc w:val="center"/>
              <w:rPr>
                <w:rFonts w:ascii="宋体" w:hAnsi="宋体"/>
                <w:szCs w:val="44"/>
              </w:rPr>
            </w:pPr>
          </w:p>
        </w:tc>
        <w:tc>
          <w:tcPr>
            <w:tcW w:w="1272" w:type="dxa"/>
            <w:vAlign w:val="center"/>
          </w:tcPr>
          <w:p>
            <w:pPr>
              <w:jc w:val="center"/>
              <w:rPr>
                <w:rFonts w:ascii="宋体" w:hAnsi="宋体"/>
                <w:szCs w:val="44"/>
              </w:rPr>
            </w:pPr>
          </w:p>
        </w:tc>
        <w:tc>
          <w:tcPr>
            <w:tcW w:w="1271" w:type="dxa"/>
            <w:vAlign w:val="center"/>
          </w:tcPr>
          <w:p>
            <w:pPr>
              <w:jc w:val="center"/>
              <w:rPr>
                <w:rFonts w:ascii="宋体" w:hAnsi="宋体"/>
                <w:szCs w:val="44"/>
              </w:rPr>
            </w:pPr>
          </w:p>
        </w:tc>
        <w:tc>
          <w:tcPr>
            <w:tcW w:w="1272" w:type="dxa"/>
            <w:vAlign w:val="center"/>
          </w:tcPr>
          <w:p>
            <w:pPr>
              <w:jc w:val="center"/>
              <w:rPr>
                <w:rFonts w:ascii="宋体" w:hAnsi="宋体"/>
                <w:szCs w:val="44"/>
              </w:rPr>
            </w:pPr>
          </w:p>
        </w:tc>
        <w:tc>
          <w:tcPr>
            <w:tcW w:w="1271" w:type="dxa"/>
            <w:vAlign w:val="center"/>
          </w:tcPr>
          <w:p>
            <w:pPr>
              <w:jc w:val="center"/>
              <w:rPr>
                <w:rFonts w:ascii="宋体" w:hAnsi="宋体"/>
                <w:szCs w:val="44"/>
              </w:rPr>
            </w:pPr>
          </w:p>
        </w:tc>
        <w:tc>
          <w:tcPr>
            <w:tcW w:w="1272" w:type="dxa"/>
            <w:vAlign w:val="center"/>
          </w:tcPr>
          <w:p>
            <w:pPr>
              <w:jc w:val="center"/>
              <w:rPr>
                <w:rFonts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8" w:type="dxa"/>
            <w:vAlign w:val="center"/>
          </w:tcPr>
          <w:p>
            <w:pPr>
              <w:jc w:val="center"/>
              <w:rPr>
                <w:rFonts w:ascii="黑体" w:hAnsi="宋体" w:eastAsia="黑体"/>
                <w:szCs w:val="44"/>
              </w:rPr>
            </w:pPr>
            <w:r>
              <w:rPr>
                <w:rFonts w:hint="eastAsia" w:ascii="黑体" w:hAnsi="宋体" w:eastAsia="黑体"/>
                <w:szCs w:val="44"/>
              </w:rPr>
              <w:t>6</w:t>
            </w:r>
          </w:p>
        </w:tc>
        <w:tc>
          <w:tcPr>
            <w:tcW w:w="3120" w:type="dxa"/>
            <w:vAlign w:val="center"/>
          </w:tcPr>
          <w:p>
            <w:pPr>
              <w:jc w:val="center"/>
              <w:rPr>
                <w:szCs w:val="21"/>
              </w:rPr>
            </w:pPr>
            <w:r>
              <w:rPr>
                <w:rFonts w:hint="eastAsia"/>
                <w:szCs w:val="21"/>
              </w:rPr>
              <w:t>项目经理信用</w:t>
            </w:r>
          </w:p>
        </w:tc>
        <w:tc>
          <w:tcPr>
            <w:tcW w:w="1080" w:type="dxa"/>
            <w:vAlign w:val="center"/>
          </w:tcPr>
          <w:p>
            <w:pPr>
              <w:jc w:val="center"/>
              <w:rPr>
                <w:rFonts w:ascii="宋体" w:hAnsi="宋体"/>
                <w:szCs w:val="44"/>
              </w:rPr>
            </w:pPr>
          </w:p>
        </w:tc>
        <w:tc>
          <w:tcPr>
            <w:tcW w:w="1271" w:type="dxa"/>
            <w:vAlign w:val="center"/>
          </w:tcPr>
          <w:p>
            <w:pPr>
              <w:jc w:val="center"/>
              <w:rPr>
                <w:rFonts w:ascii="宋体" w:hAnsi="宋体"/>
                <w:szCs w:val="44"/>
              </w:rPr>
            </w:pPr>
          </w:p>
        </w:tc>
        <w:tc>
          <w:tcPr>
            <w:tcW w:w="1271" w:type="dxa"/>
            <w:vAlign w:val="center"/>
          </w:tcPr>
          <w:p>
            <w:pPr>
              <w:jc w:val="center"/>
              <w:rPr>
                <w:rFonts w:ascii="宋体" w:hAnsi="宋体"/>
                <w:szCs w:val="44"/>
              </w:rPr>
            </w:pPr>
          </w:p>
        </w:tc>
        <w:tc>
          <w:tcPr>
            <w:tcW w:w="1272" w:type="dxa"/>
            <w:vAlign w:val="center"/>
          </w:tcPr>
          <w:p>
            <w:pPr>
              <w:jc w:val="center"/>
              <w:rPr>
                <w:rFonts w:ascii="宋体" w:hAnsi="宋体"/>
                <w:szCs w:val="44"/>
              </w:rPr>
            </w:pPr>
          </w:p>
        </w:tc>
        <w:tc>
          <w:tcPr>
            <w:tcW w:w="1271" w:type="dxa"/>
            <w:vAlign w:val="center"/>
          </w:tcPr>
          <w:p>
            <w:pPr>
              <w:jc w:val="center"/>
              <w:rPr>
                <w:rFonts w:ascii="宋体" w:hAnsi="宋体"/>
                <w:szCs w:val="44"/>
              </w:rPr>
            </w:pPr>
          </w:p>
        </w:tc>
        <w:tc>
          <w:tcPr>
            <w:tcW w:w="1272" w:type="dxa"/>
            <w:vAlign w:val="center"/>
          </w:tcPr>
          <w:p>
            <w:pPr>
              <w:jc w:val="center"/>
              <w:rPr>
                <w:rFonts w:ascii="宋体" w:hAnsi="宋体"/>
                <w:szCs w:val="44"/>
              </w:rPr>
            </w:pPr>
          </w:p>
        </w:tc>
        <w:tc>
          <w:tcPr>
            <w:tcW w:w="1271" w:type="dxa"/>
            <w:vAlign w:val="center"/>
          </w:tcPr>
          <w:p>
            <w:pPr>
              <w:jc w:val="center"/>
              <w:rPr>
                <w:rFonts w:ascii="宋体" w:hAnsi="宋体"/>
                <w:szCs w:val="44"/>
              </w:rPr>
            </w:pPr>
          </w:p>
        </w:tc>
        <w:tc>
          <w:tcPr>
            <w:tcW w:w="1272" w:type="dxa"/>
            <w:vAlign w:val="center"/>
          </w:tcPr>
          <w:p>
            <w:pPr>
              <w:jc w:val="center"/>
              <w:rPr>
                <w:rFonts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48" w:type="dxa"/>
            <w:vAlign w:val="center"/>
          </w:tcPr>
          <w:p>
            <w:pPr>
              <w:jc w:val="center"/>
              <w:rPr>
                <w:rFonts w:ascii="黑体" w:hAnsi="宋体" w:eastAsia="黑体"/>
                <w:szCs w:val="44"/>
              </w:rPr>
            </w:pPr>
            <w:r>
              <w:rPr>
                <w:rFonts w:ascii="黑体" w:hAnsi="宋体" w:eastAsia="黑体"/>
                <w:szCs w:val="44"/>
              </w:rPr>
              <w:t>7</w:t>
            </w:r>
          </w:p>
        </w:tc>
        <w:tc>
          <w:tcPr>
            <w:tcW w:w="3120" w:type="dxa"/>
            <w:vAlign w:val="center"/>
          </w:tcPr>
          <w:p>
            <w:pPr>
              <w:jc w:val="center"/>
              <w:rPr>
                <w:rFonts w:ascii="宋体" w:hAnsi="宋体"/>
                <w:szCs w:val="44"/>
              </w:rPr>
            </w:pPr>
            <w:r>
              <w:rPr>
                <w:rFonts w:hint="eastAsia"/>
                <w:szCs w:val="21"/>
              </w:rPr>
              <w:t>招标人意见</w:t>
            </w:r>
          </w:p>
        </w:tc>
        <w:tc>
          <w:tcPr>
            <w:tcW w:w="1080" w:type="dxa"/>
            <w:vAlign w:val="center"/>
          </w:tcPr>
          <w:p>
            <w:pPr>
              <w:jc w:val="center"/>
              <w:rPr>
                <w:rFonts w:ascii="宋体" w:hAnsi="宋体"/>
                <w:szCs w:val="44"/>
              </w:rPr>
            </w:pPr>
          </w:p>
        </w:tc>
        <w:tc>
          <w:tcPr>
            <w:tcW w:w="1271" w:type="dxa"/>
            <w:vAlign w:val="center"/>
          </w:tcPr>
          <w:p>
            <w:pPr>
              <w:jc w:val="center"/>
              <w:rPr>
                <w:rFonts w:ascii="宋体" w:hAnsi="宋体"/>
                <w:szCs w:val="44"/>
              </w:rPr>
            </w:pPr>
          </w:p>
        </w:tc>
        <w:tc>
          <w:tcPr>
            <w:tcW w:w="1271" w:type="dxa"/>
            <w:vAlign w:val="center"/>
          </w:tcPr>
          <w:p>
            <w:pPr>
              <w:jc w:val="center"/>
              <w:rPr>
                <w:rFonts w:ascii="宋体" w:hAnsi="宋体"/>
                <w:szCs w:val="44"/>
              </w:rPr>
            </w:pPr>
          </w:p>
        </w:tc>
        <w:tc>
          <w:tcPr>
            <w:tcW w:w="1272" w:type="dxa"/>
            <w:vAlign w:val="center"/>
          </w:tcPr>
          <w:p>
            <w:pPr>
              <w:jc w:val="center"/>
              <w:rPr>
                <w:rFonts w:ascii="宋体" w:hAnsi="宋体"/>
                <w:szCs w:val="44"/>
              </w:rPr>
            </w:pPr>
          </w:p>
        </w:tc>
        <w:tc>
          <w:tcPr>
            <w:tcW w:w="1271" w:type="dxa"/>
            <w:vAlign w:val="center"/>
          </w:tcPr>
          <w:p>
            <w:pPr>
              <w:jc w:val="center"/>
              <w:rPr>
                <w:rFonts w:ascii="宋体" w:hAnsi="宋体"/>
                <w:szCs w:val="44"/>
              </w:rPr>
            </w:pPr>
          </w:p>
        </w:tc>
        <w:tc>
          <w:tcPr>
            <w:tcW w:w="1272" w:type="dxa"/>
            <w:vAlign w:val="center"/>
          </w:tcPr>
          <w:p>
            <w:pPr>
              <w:jc w:val="center"/>
              <w:rPr>
                <w:rFonts w:ascii="宋体" w:hAnsi="宋体"/>
                <w:szCs w:val="44"/>
              </w:rPr>
            </w:pPr>
          </w:p>
        </w:tc>
        <w:tc>
          <w:tcPr>
            <w:tcW w:w="1271" w:type="dxa"/>
            <w:vAlign w:val="center"/>
          </w:tcPr>
          <w:p>
            <w:pPr>
              <w:jc w:val="center"/>
              <w:rPr>
                <w:rFonts w:ascii="宋体" w:hAnsi="宋体"/>
                <w:szCs w:val="44"/>
              </w:rPr>
            </w:pPr>
          </w:p>
        </w:tc>
        <w:tc>
          <w:tcPr>
            <w:tcW w:w="1272" w:type="dxa"/>
            <w:vAlign w:val="center"/>
          </w:tcPr>
          <w:p>
            <w:pPr>
              <w:jc w:val="center"/>
              <w:rPr>
                <w:rFonts w:ascii="宋体" w:hAnsi="宋体"/>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148" w:type="dxa"/>
            <w:gridSpan w:val="3"/>
            <w:vAlign w:val="center"/>
          </w:tcPr>
          <w:p>
            <w:pPr>
              <w:jc w:val="center"/>
              <w:rPr>
                <w:rFonts w:ascii="宋体" w:hAnsi="宋体"/>
                <w:szCs w:val="44"/>
              </w:rPr>
            </w:pPr>
            <w:r>
              <w:rPr>
                <w:rFonts w:hint="eastAsia" w:ascii="宋体" w:hAnsi="宋体"/>
                <w:szCs w:val="44"/>
              </w:rPr>
              <w:t>资信标得分合计B</w:t>
            </w:r>
          </w:p>
        </w:tc>
        <w:tc>
          <w:tcPr>
            <w:tcW w:w="1271" w:type="dxa"/>
            <w:vAlign w:val="center"/>
          </w:tcPr>
          <w:p>
            <w:pPr>
              <w:jc w:val="center"/>
              <w:rPr>
                <w:rFonts w:ascii="宋体" w:hAnsi="宋体"/>
                <w:szCs w:val="44"/>
              </w:rPr>
            </w:pPr>
          </w:p>
        </w:tc>
        <w:tc>
          <w:tcPr>
            <w:tcW w:w="1271" w:type="dxa"/>
            <w:vAlign w:val="center"/>
          </w:tcPr>
          <w:p>
            <w:pPr>
              <w:jc w:val="center"/>
              <w:rPr>
                <w:rFonts w:ascii="宋体" w:hAnsi="宋体"/>
                <w:szCs w:val="44"/>
              </w:rPr>
            </w:pPr>
          </w:p>
        </w:tc>
        <w:tc>
          <w:tcPr>
            <w:tcW w:w="1272" w:type="dxa"/>
            <w:vAlign w:val="center"/>
          </w:tcPr>
          <w:p>
            <w:pPr>
              <w:jc w:val="center"/>
              <w:rPr>
                <w:rFonts w:ascii="宋体" w:hAnsi="宋体"/>
                <w:szCs w:val="44"/>
              </w:rPr>
            </w:pPr>
          </w:p>
        </w:tc>
        <w:tc>
          <w:tcPr>
            <w:tcW w:w="1271" w:type="dxa"/>
            <w:vAlign w:val="center"/>
          </w:tcPr>
          <w:p>
            <w:pPr>
              <w:jc w:val="center"/>
              <w:rPr>
                <w:rFonts w:ascii="宋体" w:hAnsi="宋体"/>
                <w:szCs w:val="44"/>
              </w:rPr>
            </w:pPr>
          </w:p>
        </w:tc>
        <w:tc>
          <w:tcPr>
            <w:tcW w:w="1272" w:type="dxa"/>
            <w:vAlign w:val="center"/>
          </w:tcPr>
          <w:p>
            <w:pPr>
              <w:jc w:val="center"/>
              <w:rPr>
                <w:rFonts w:ascii="宋体" w:hAnsi="宋体"/>
                <w:szCs w:val="44"/>
              </w:rPr>
            </w:pPr>
          </w:p>
        </w:tc>
        <w:tc>
          <w:tcPr>
            <w:tcW w:w="1271" w:type="dxa"/>
            <w:vAlign w:val="center"/>
          </w:tcPr>
          <w:p>
            <w:pPr>
              <w:jc w:val="center"/>
              <w:rPr>
                <w:rFonts w:ascii="宋体" w:hAnsi="宋体"/>
                <w:szCs w:val="44"/>
              </w:rPr>
            </w:pPr>
          </w:p>
        </w:tc>
        <w:tc>
          <w:tcPr>
            <w:tcW w:w="1272" w:type="dxa"/>
            <w:vAlign w:val="center"/>
          </w:tcPr>
          <w:p>
            <w:pPr>
              <w:jc w:val="center"/>
              <w:rPr>
                <w:rFonts w:ascii="宋体" w:hAnsi="宋体"/>
                <w:szCs w:val="44"/>
              </w:rPr>
            </w:pPr>
          </w:p>
        </w:tc>
      </w:tr>
    </w:tbl>
    <w:p>
      <w:pPr>
        <w:rPr>
          <w:rFonts w:ascii="宋体" w:hAnsi="宋体"/>
          <w:szCs w:val="44"/>
        </w:rPr>
      </w:pPr>
    </w:p>
    <w:p>
      <w:pPr>
        <w:ind w:firstLine="630" w:firstLineChars="300"/>
      </w:pPr>
      <w:r>
        <w:rPr>
          <w:rFonts w:hint="eastAsia"/>
        </w:rPr>
        <w:t>评标委员会成员签名：</w:t>
      </w:r>
    </w:p>
    <w:p/>
    <w:p/>
    <w:p/>
    <w:p/>
    <w:p>
      <w:r>
        <w:rPr>
          <w:rFonts w:hint="eastAsia"/>
        </w:rPr>
        <w:t>日期：年月日</w:t>
      </w:r>
    </w:p>
    <w:p>
      <w:pPr>
        <w:spacing w:after="240" w:afterLines="100"/>
        <w:rPr>
          <w:rFonts w:ascii="宋体" w:hAnsi="宋体"/>
          <w:b/>
          <w:szCs w:val="21"/>
        </w:rPr>
      </w:pPr>
      <w:r>
        <w:br w:type="page"/>
      </w:r>
      <w:r>
        <w:rPr>
          <w:rFonts w:hint="eastAsia" w:ascii="宋体" w:hAnsi="宋体"/>
          <w:b/>
          <w:szCs w:val="21"/>
        </w:rPr>
        <w:t>附表A-</w:t>
      </w:r>
      <w:r>
        <w:rPr>
          <w:rFonts w:ascii="宋体" w:hAnsi="宋体"/>
          <w:b/>
          <w:szCs w:val="21"/>
        </w:rPr>
        <w:t>7</w:t>
      </w:r>
      <w:r>
        <w:rPr>
          <w:rFonts w:hint="eastAsia" w:ascii="宋体" w:hAnsi="宋体"/>
          <w:b/>
          <w:szCs w:val="21"/>
        </w:rPr>
        <w:t>：商务标评分记录表</w:t>
      </w:r>
    </w:p>
    <w:p>
      <w:pPr>
        <w:spacing w:after="240" w:afterLines="100"/>
        <w:jc w:val="center"/>
        <w:rPr>
          <w:rFonts w:ascii="黑体" w:eastAsia="黑体"/>
          <w:sz w:val="28"/>
          <w:szCs w:val="28"/>
        </w:rPr>
      </w:pPr>
      <w:r>
        <w:rPr>
          <w:rFonts w:hint="eastAsia" w:ascii="黑体" w:eastAsia="黑体"/>
          <w:sz w:val="28"/>
          <w:szCs w:val="28"/>
        </w:rPr>
        <w:t>商务标评分记录表</w:t>
      </w:r>
    </w:p>
    <w:p>
      <w:pPr>
        <w:spacing w:after="240" w:afterLines="100"/>
        <w:ind w:firstLine="630" w:firstLineChars="300"/>
      </w:pPr>
      <w:r>
        <w:rPr>
          <w:rFonts w:hint="eastAsia" w:ascii="宋体" w:hAnsi="宋体"/>
          <w:szCs w:val="44"/>
        </w:rPr>
        <w:t>工程名称：(项目名称)标段      　　　　　　　　　　　　　　　　　　　　　</w:t>
      </w:r>
      <w:r>
        <w:rPr>
          <w:rFonts w:hint="eastAsia"/>
        </w:rPr>
        <w:t>单位：人民币元</w:t>
      </w:r>
    </w:p>
    <w:tbl>
      <w:tblPr>
        <w:tblStyle w:val="44"/>
        <w:tblW w:w="14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1756"/>
        <w:gridCol w:w="1756"/>
        <w:gridCol w:w="1756"/>
        <w:gridCol w:w="1756"/>
        <w:gridCol w:w="1756"/>
        <w:gridCol w:w="1792"/>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56" w:type="dxa"/>
            <w:vMerge w:val="restart"/>
            <w:vAlign w:val="center"/>
          </w:tcPr>
          <w:p>
            <w:pPr>
              <w:jc w:val="center"/>
            </w:pPr>
            <w:r>
              <w:rPr>
                <w:rFonts w:hint="eastAsia"/>
              </w:rPr>
              <w:t>项目</w:t>
            </w:r>
          </w:p>
        </w:tc>
        <w:tc>
          <w:tcPr>
            <w:tcW w:w="10572" w:type="dxa"/>
            <w:gridSpan w:val="6"/>
            <w:vAlign w:val="center"/>
          </w:tcPr>
          <w:p>
            <w:pPr>
              <w:jc w:val="center"/>
            </w:pPr>
            <w:r>
              <w:rPr>
                <w:rFonts w:hint="eastAsia"/>
              </w:rPr>
              <w:t>投标人名称</w:t>
            </w:r>
          </w:p>
        </w:tc>
        <w:tc>
          <w:tcPr>
            <w:tcW w:w="1720" w:type="dxa"/>
            <w:vMerge w:val="restart"/>
            <w:vAlign w:val="center"/>
          </w:tcPr>
          <w:p>
            <w:pPr>
              <w:jc w:val="center"/>
            </w:pPr>
            <w:r>
              <w:rPr>
                <w:rFonts w:hint="eastAsia"/>
              </w:rPr>
              <w:t>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1756" w:type="dxa"/>
            <w:vMerge w:val="continue"/>
            <w:vAlign w:val="center"/>
          </w:tcPr>
          <w:p>
            <w:pPr>
              <w:jc w:val="center"/>
            </w:pPr>
          </w:p>
        </w:tc>
        <w:tc>
          <w:tcPr>
            <w:tcW w:w="1756" w:type="dxa"/>
            <w:vAlign w:val="center"/>
          </w:tcPr>
          <w:p>
            <w:pPr>
              <w:jc w:val="center"/>
            </w:pPr>
          </w:p>
        </w:tc>
        <w:tc>
          <w:tcPr>
            <w:tcW w:w="1756" w:type="dxa"/>
            <w:vAlign w:val="center"/>
          </w:tcPr>
          <w:p>
            <w:pPr>
              <w:jc w:val="center"/>
            </w:pPr>
          </w:p>
        </w:tc>
        <w:tc>
          <w:tcPr>
            <w:tcW w:w="1756" w:type="dxa"/>
            <w:vAlign w:val="center"/>
          </w:tcPr>
          <w:p>
            <w:pPr>
              <w:jc w:val="center"/>
            </w:pPr>
          </w:p>
        </w:tc>
        <w:tc>
          <w:tcPr>
            <w:tcW w:w="1756" w:type="dxa"/>
            <w:vAlign w:val="center"/>
          </w:tcPr>
          <w:p>
            <w:pPr>
              <w:jc w:val="center"/>
            </w:pPr>
          </w:p>
        </w:tc>
        <w:tc>
          <w:tcPr>
            <w:tcW w:w="1756" w:type="dxa"/>
            <w:vAlign w:val="center"/>
          </w:tcPr>
          <w:p>
            <w:pPr>
              <w:jc w:val="center"/>
            </w:pPr>
          </w:p>
        </w:tc>
        <w:tc>
          <w:tcPr>
            <w:tcW w:w="1792" w:type="dxa"/>
            <w:vAlign w:val="center"/>
          </w:tcPr>
          <w:p>
            <w:pPr>
              <w:jc w:val="center"/>
            </w:pPr>
          </w:p>
        </w:tc>
        <w:tc>
          <w:tcPr>
            <w:tcW w:w="1720"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1756" w:type="dxa"/>
            <w:vAlign w:val="center"/>
          </w:tcPr>
          <w:p>
            <w:pPr>
              <w:jc w:val="center"/>
            </w:pPr>
            <w:r>
              <w:rPr>
                <w:rFonts w:hint="eastAsia"/>
              </w:rPr>
              <w:t>投标报价</w:t>
            </w:r>
          </w:p>
        </w:tc>
        <w:tc>
          <w:tcPr>
            <w:tcW w:w="1756" w:type="dxa"/>
            <w:vAlign w:val="center"/>
          </w:tcPr>
          <w:p>
            <w:pPr>
              <w:jc w:val="center"/>
            </w:pPr>
          </w:p>
        </w:tc>
        <w:tc>
          <w:tcPr>
            <w:tcW w:w="1756" w:type="dxa"/>
            <w:vAlign w:val="center"/>
          </w:tcPr>
          <w:p>
            <w:pPr>
              <w:jc w:val="center"/>
            </w:pPr>
          </w:p>
        </w:tc>
        <w:tc>
          <w:tcPr>
            <w:tcW w:w="1756" w:type="dxa"/>
            <w:vAlign w:val="center"/>
          </w:tcPr>
          <w:p>
            <w:pPr>
              <w:jc w:val="center"/>
            </w:pPr>
          </w:p>
        </w:tc>
        <w:tc>
          <w:tcPr>
            <w:tcW w:w="1756" w:type="dxa"/>
            <w:vAlign w:val="center"/>
          </w:tcPr>
          <w:p>
            <w:pPr>
              <w:jc w:val="center"/>
            </w:pPr>
          </w:p>
        </w:tc>
        <w:tc>
          <w:tcPr>
            <w:tcW w:w="1756" w:type="dxa"/>
            <w:vAlign w:val="center"/>
          </w:tcPr>
          <w:p>
            <w:pPr>
              <w:jc w:val="center"/>
            </w:pPr>
          </w:p>
        </w:tc>
        <w:tc>
          <w:tcPr>
            <w:tcW w:w="1792" w:type="dxa"/>
            <w:vAlign w:val="center"/>
          </w:tcPr>
          <w:p>
            <w:pPr>
              <w:jc w:val="center"/>
            </w:pPr>
          </w:p>
        </w:tc>
        <w:tc>
          <w:tcPr>
            <w:tcW w:w="172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756" w:type="dxa"/>
            <w:vAlign w:val="center"/>
          </w:tcPr>
          <w:p>
            <w:pPr>
              <w:jc w:val="center"/>
            </w:pPr>
            <w:r>
              <w:rPr>
                <w:rFonts w:hint="eastAsia"/>
              </w:rPr>
              <w:t>分部分项</w:t>
            </w:r>
          </w:p>
        </w:tc>
        <w:tc>
          <w:tcPr>
            <w:tcW w:w="1756" w:type="dxa"/>
            <w:vAlign w:val="center"/>
          </w:tcPr>
          <w:p>
            <w:pPr>
              <w:jc w:val="center"/>
            </w:pPr>
          </w:p>
        </w:tc>
        <w:tc>
          <w:tcPr>
            <w:tcW w:w="1756" w:type="dxa"/>
            <w:vAlign w:val="center"/>
          </w:tcPr>
          <w:p>
            <w:pPr>
              <w:jc w:val="center"/>
            </w:pPr>
          </w:p>
        </w:tc>
        <w:tc>
          <w:tcPr>
            <w:tcW w:w="1756" w:type="dxa"/>
            <w:vAlign w:val="center"/>
          </w:tcPr>
          <w:p>
            <w:pPr>
              <w:jc w:val="center"/>
            </w:pPr>
          </w:p>
        </w:tc>
        <w:tc>
          <w:tcPr>
            <w:tcW w:w="1756" w:type="dxa"/>
            <w:vAlign w:val="center"/>
          </w:tcPr>
          <w:p>
            <w:pPr>
              <w:jc w:val="center"/>
            </w:pPr>
          </w:p>
        </w:tc>
        <w:tc>
          <w:tcPr>
            <w:tcW w:w="1756" w:type="dxa"/>
            <w:vAlign w:val="center"/>
          </w:tcPr>
          <w:p>
            <w:pPr>
              <w:jc w:val="center"/>
            </w:pPr>
          </w:p>
        </w:tc>
        <w:tc>
          <w:tcPr>
            <w:tcW w:w="1792" w:type="dxa"/>
            <w:vAlign w:val="center"/>
          </w:tcPr>
          <w:p>
            <w:pPr>
              <w:jc w:val="center"/>
            </w:pPr>
          </w:p>
        </w:tc>
        <w:tc>
          <w:tcPr>
            <w:tcW w:w="172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1756" w:type="dxa"/>
            <w:vAlign w:val="center"/>
          </w:tcPr>
          <w:p>
            <w:pPr>
              <w:jc w:val="center"/>
            </w:pPr>
            <w:r>
              <w:rPr>
                <w:rFonts w:hint="eastAsia"/>
              </w:rPr>
              <w:t>措施项目费</w:t>
            </w:r>
          </w:p>
        </w:tc>
        <w:tc>
          <w:tcPr>
            <w:tcW w:w="1756" w:type="dxa"/>
            <w:vAlign w:val="center"/>
          </w:tcPr>
          <w:p>
            <w:pPr>
              <w:jc w:val="center"/>
            </w:pPr>
          </w:p>
        </w:tc>
        <w:tc>
          <w:tcPr>
            <w:tcW w:w="1756" w:type="dxa"/>
            <w:vAlign w:val="center"/>
          </w:tcPr>
          <w:p>
            <w:pPr>
              <w:jc w:val="center"/>
            </w:pPr>
          </w:p>
        </w:tc>
        <w:tc>
          <w:tcPr>
            <w:tcW w:w="1756" w:type="dxa"/>
            <w:vAlign w:val="center"/>
          </w:tcPr>
          <w:p>
            <w:pPr>
              <w:jc w:val="center"/>
            </w:pPr>
          </w:p>
        </w:tc>
        <w:tc>
          <w:tcPr>
            <w:tcW w:w="1756" w:type="dxa"/>
            <w:vAlign w:val="center"/>
          </w:tcPr>
          <w:p>
            <w:pPr>
              <w:jc w:val="center"/>
            </w:pPr>
          </w:p>
        </w:tc>
        <w:tc>
          <w:tcPr>
            <w:tcW w:w="1756" w:type="dxa"/>
            <w:vAlign w:val="center"/>
          </w:tcPr>
          <w:p>
            <w:pPr>
              <w:jc w:val="center"/>
            </w:pPr>
          </w:p>
        </w:tc>
        <w:tc>
          <w:tcPr>
            <w:tcW w:w="1792" w:type="dxa"/>
            <w:vAlign w:val="center"/>
          </w:tcPr>
          <w:p>
            <w:pPr>
              <w:jc w:val="center"/>
            </w:pPr>
          </w:p>
        </w:tc>
        <w:tc>
          <w:tcPr>
            <w:tcW w:w="172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1756" w:type="dxa"/>
            <w:vAlign w:val="center"/>
          </w:tcPr>
          <w:p>
            <w:pPr>
              <w:jc w:val="center"/>
            </w:pPr>
            <w:r>
              <w:rPr>
                <w:rFonts w:hint="eastAsia"/>
              </w:rPr>
              <w:t>主材</w:t>
            </w:r>
          </w:p>
        </w:tc>
        <w:tc>
          <w:tcPr>
            <w:tcW w:w="1756" w:type="dxa"/>
            <w:vAlign w:val="center"/>
          </w:tcPr>
          <w:p>
            <w:pPr>
              <w:jc w:val="center"/>
            </w:pPr>
          </w:p>
        </w:tc>
        <w:tc>
          <w:tcPr>
            <w:tcW w:w="1756" w:type="dxa"/>
            <w:vAlign w:val="center"/>
          </w:tcPr>
          <w:p>
            <w:pPr>
              <w:jc w:val="center"/>
            </w:pPr>
          </w:p>
        </w:tc>
        <w:tc>
          <w:tcPr>
            <w:tcW w:w="1756" w:type="dxa"/>
            <w:vAlign w:val="center"/>
          </w:tcPr>
          <w:p>
            <w:pPr>
              <w:jc w:val="center"/>
            </w:pPr>
          </w:p>
        </w:tc>
        <w:tc>
          <w:tcPr>
            <w:tcW w:w="1756" w:type="dxa"/>
            <w:vAlign w:val="center"/>
          </w:tcPr>
          <w:p>
            <w:pPr>
              <w:jc w:val="center"/>
            </w:pPr>
          </w:p>
        </w:tc>
        <w:tc>
          <w:tcPr>
            <w:tcW w:w="1756" w:type="dxa"/>
            <w:vAlign w:val="center"/>
          </w:tcPr>
          <w:p>
            <w:pPr>
              <w:jc w:val="center"/>
            </w:pPr>
          </w:p>
        </w:tc>
        <w:tc>
          <w:tcPr>
            <w:tcW w:w="1792" w:type="dxa"/>
            <w:vAlign w:val="center"/>
          </w:tcPr>
          <w:p>
            <w:pPr>
              <w:jc w:val="center"/>
            </w:pPr>
          </w:p>
        </w:tc>
        <w:tc>
          <w:tcPr>
            <w:tcW w:w="1720"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756" w:type="dxa"/>
            <w:vAlign w:val="center"/>
          </w:tcPr>
          <w:p>
            <w:pPr>
              <w:jc w:val="center"/>
            </w:pPr>
            <w:r>
              <w:rPr>
                <w:rFonts w:hint="eastAsia"/>
              </w:rPr>
              <w:t>合计</w:t>
            </w:r>
          </w:p>
        </w:tc>
        <w:tc>
          <w:tcPr>
            <w:tcW w:w="1756" w:type="dxa"/>
            <w:vAlign w:val="center"/>
          </w:tcPr>
          <w:p>
            <w:pPr>
              <w:jc w:val="center"/>
            </w:pPr>
          </w:p>
        </w:tc>
        <w:tc>
          <w:tcPr>
            <w:tcW w:w="1756" w:type="dxa"/>
            <w:vAlign w:val="center"/>
          </w:tcPr>
          <w:p>
            <w:pPr>
              <w:jc w:val="center"/>
            </w:pPr>
          </w:p>
        </w:tc>
        <w:tc>
          <w:tcPr>
            <w:tcW w:w="1756" w:type="dxa"/>
            <w:vAlign w:val="center"/>
          </w:tcPr>
          <w:p>
            <w:pPr>
              <w:jc w:val="center"/>
            </w:pPr>
          </w:p>
        </w:tc>
        <w:tc>
          <w:tcPr>
            <w:tcW w:w="1756" w:type="dxa"/>
            <w:vAlign w:val="center"/>
          </w:tcPr>
          <w:p>
            <w:pPr>
              <w:jc w:val="center"/>
            </w:pPr>
          </w:p>
        </w:tc>
        <w:tc>
          <w:tcPr>
            <w:tcW w:w="1756" w:type="dxa"/>
            <w:vAlign w:val="center"/>
          </w:tcPr>
          <w:p>
            <w:pPr>
              <w:jc w:val="center"/>
            </w:pPr>
          </w:p>
        </w:tc>
        <w:tc>
          <w:tcPr>
            <w:tcW w:w="1792" w:type="dxa"/>
            <w:vAlign w:val="center"/>
          </w:tcPr>
          <w:p>
            <w:pPr>
              <w:jc w:val="center"/>
            </w:pPr>
          </w:p>
        </w:tc>
        <w:tc>
          <w:tcPr>
            <w:tcW w:w="1720" w:type="dxa"/>
            <w:vAlign w:val="center"/>
          </w:tcPr>
          <w:p>
            <w:pPr>
              <w:jc w:val="center"/>
            </w:pPr>
          </w:p>
        </w:tc>
      </w:tr>
    </w:tbl>
    <w:p>
      <w:pPr>
        <w:ind w:firstLine="630" w:firstLineChars="300"/>
      </w:pPr>
      <w:r>
        <w:rPr>
          <w:rFonts w:hint="eastAsia"/>
        </w:rPr>
        <w:t>评标委员会成员签名：日期：年月日</w:t>
      </w:r>
    </w:p>
    <w:p/>
    <w:p/>
    <w:p/>
    <w:p>
      <w:pPr>
        <w:ind w:firstLine="630" w:firstLineChars="300"/>
      </w:pPr>
      <w:r>
        <w:rPr>
          <w:rFonts w:hint="eastAsia"/>
        </w:rPr>
        <w:t>备注：采用分项报价分别评分的，每个分项报价的评分分别使用一张本表格进行评分。招标人应参照本表格式另行制订投标报价评分汇总表供投标报价</w:t>
      </w:r>
    </w:p>
    <w:p>
      <w:pPr>
        <w:ind w:firstLine="630" w:firstLineChars="300"/>
      </w:pPr>
      <w:r>
        <w:rPr>
          <w:rFonts w:hint="eastAsia"/>
        </w:rPr>
        <w:t>评分结果汇总使用。相应地，招标人应当调整第八章“投标文件格式”中“投标函”的格式，投标函中应分别列出投标总报价以及各个分项的报价，以</w:t>
      </w:r>
    </w:p>
    <w:p>
      <w:pPr>
        <w:ind w:firstLine="630" w:firstLineChars="300"/>
      </w:pPr>
      <w:r>
        <w:rPr>
          <w:rFonts w:hint="eastAsia"/>
        </w:rPr>
        <w:t>方便开标唱标。</w:t>
      </w:r>
    </w:p>
    <w:p>
      <w:pPr>
        <w:spacing w:after="240" w:afterLines="100"/>
        <w:rPr>
          <w:rFonts w:ascii="宋体" w:hAnsi="宋体"/>
          <w:b/>
          <w:szCs w:val="21"/>
        </w:rPr>
      </w:pPr>
      <w:r>
        <w:br w:type="page"/>
      </w:r>
      <w:r>
        <w:rPr>
          <w:rFonts w:hint="eastAsia" w:ascii="宋体" w:hAnsi="宋体"/>
          <w:b/>
          <w:szCs w:val="21"/>
        </w:rPr>
        <w:t>附表A-</w:t>
      </w:r>
      <w:r>
        <w:rPr>
          <w:rFonts w:ascii="宋体" w:hAnsi="宋体"/>
          <w:b/>
          <w:szCs w:val="21"/>
        </w:rPr>
        <w:t>8</w:t>
      </w:r>
      <w:r>
        <w:rPr>
          <w:rFonts w:hint="eastAsia" w:ascii="宋体" w:hAnsi="宋体"/>
          <w:b/>
          <w:szCs w:val="21"/>
        </w:rPr>
        <w:t>：详细评审评分汇总表</w:t>
      </w:r>
    </w:p>
    <w:p>
      <w:pPr>
        <w:spacing w:after="240" w:afterLines="100"/>
        <w:jc w:val="center"/>
        <w:rPr>
          <w:rFonts w:ascii="黑体" w:eastAsia="黑体"/>
          <w:sz w:val="36"/>
          <w:szCs w:val="36"/>
        </w:rPr>
      </w:pPr>
      <w:r>
        <w:rPr>
          <w:rFonts w:hint="eastAsia" w:ascii="黑体" w:eastAsia="黑体"/>
          <w:sz w:val="36"/>
          <w:szCs w:val="36"/>
        </w:rPr>
        <w:t>详细评审评分汇总表</w:t>
      </w:r>
    </w:p>
    <w:p>
      <w:pPr>
        <w:spacing w:after="240" w:afterLines="100"/>
        <w:ind w:firstLine="630" w:firstLineChars="300"/>
        <w:rPr>
          <w:rFonts w:ascii="宋体" w:hAnsi="宋体"/>
          <w:szCs w:val="44"/>
        </w:rPr>
      </w:pPr>
      <w:r>
        <w:rPr>
          <w:rFonts w:hint="eastAsia" w:ascii="宋体" w:hAnsi="宋体"/>
          <w:szCs w:val="44"/>
        </w:rPr>
        <w:t>工程名称：(项目名称)标段</w:t>
      </w:r>
    </w:p>
    <w:tbl>
      <w:tblPr>
        <w:tblStyle w:val="44"/>
        <w:tblW w:w="14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2072"/>
        <w:gridCol w:w="1151"/>
        <w:gridCol w:w="1405"/>
        <w:gridCol w:w="1405"/>
        <w:gridCol w:w="1405"/>
        <w:gridCol w:w="1405"/>
        <w:gridCol w:w="1405"/>
        <w:gridCol w:w="1405"/>
        <w:gridCol w:w="1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990" w:type="dxa"/>
            <w:vMerge w:val="restart"/>
            <w:vAlign w:val="center"/>
          </w:tcPr>
          <w:p>
            <w:pPr>
              <w:jc w:val="center"/>
            </w:pPr>
            <w:r>
              <w:rPr>
                <w:rFonts w:hint="eastAsia"/>
              </w:rPr>
              <w:t>序号</w:t>
            </w:r>
          </w:p>
        </w:tc>
        <w:tc>
          <w:tcPr>
            <w:tcW w:w="2072" w:type="dxa"/>
            <w:vMerge w:val="restart"/>
            <w:vAlign w:val="center"/>
          </w:tcPr>
          <w:p>
            <w:pPr>
              <w:jc w:val="center"/>
            </w:pPr>
            <w:r>
              <w:rPr>
                <w:rFonts w:hint="eastAsia"/>
              </w:rPr>
              <w:t>评分项目</w:t>
            </w:r>
          </w:p>
        </w:tc>
        <w:tc>
          <w:tcPr>
            <w:tcW w:w="1151" w:type="dxa"/>
            <w:vMerge w:val="restart"/>
            <w:vAlign w:val="center"/>
          </w:tcPr>
          <w:p>
            <w:pPr>
              <w:jc w:val="center"/>
            </w:pPr>
            <w:r>
              <w:rPr>
                <w:rFonts w:hint="eastAsia"/>
              </w:rPr>
              <w:t>分值代码</w:t>
            </w:r>
          </w:p>
        </w:tc>
        <w:tc>
          <w:tcPr>
            <w:tcW w:w="9835" w:type="dxa"/>
            <w:gridSpan w:val="7"/>
            <w:vAlign w:val="center"/>
          </w:tcPr>
          <w:p>
            <w:pPr>
              <w:jc w:val="center"/>
            </w:pPr>
            <w:r>
              <w:rPr>
                <w:rFonts w:hint="eastAsia"/>
              </w:rPr>
              <w:t>投标人名称代码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990" w:type="dxa"/>
            <w:vMerge w:val="continue"/>
            <w:vAlign w:val="center"/>
          </w:tcPr>
          <w:p>
            <w:pPr>
              <w:jc w:val="center"/>
            </w:pPr>
          </w:p>
        </w:tc>
        <w:tc>
          <w:tcPr>
            <w:tcW w:w="2072" w:type="dxa"/>
            <w:vMerge w:val="continue"/>
            <w:vAlign w:val="center"/>
          </w:tcPr>
          <w:p>
            <w:pPr>
              <w:jc w:val="center"/>
            </w:pPr>
          </w:p>
        </w:tc>
        <w:tc>
          <w:tcPr>
            <w:tcW w:w="1151" w:type="dxa"/>
            <w:vMerge w:val="continue"/>
            <w:vAlign w:val="center"/>
          </w:tcPr>
          <w:p>
            <w:pPr>
              <w:jc w:val="center"/>
            </w:pPr>
          </w:p>
        </w:tc>
        <w:tc>
          <w:tcPr>
            <w:tcW w:w="1405" w:type="dxa"/>
            <w:vAlign w:val="center"/>
          </w:tcPr>
          <w:p>
            <w:pPr>
              <w:jc w:val="center"/>
            </w:pPr>
          </w:p>
        </w:tc>
        <w:tc>
          <w:tcPr>
            <w:tcW w:w="1405" w:type="dxa"/>
            <w:vAlign w:val="center"/>
          </w:tcPr>
          <w:p>
            <w:pPr>
              <w:jc w:val="center"/>
            </w:pPr>
          </w:p>
        </w:tc>
        <w:tc>
          <w:tcPr>
            <w:tcW w:w="1405" w:type="dxa"/>
            <w:vAlign w:val="center"/>
          </w:tcPr>
          <w:p>
            <w:pPr>
              <w:jc w:val="center"/>
            </w:pPr>
          </w:p>
        </w:tc>
        <w:tc>
          <w:tcPr>
            <w:tcW w:w="1405" w:type="dxa"/>
            <w:vAlign w:val="center"/>
          </w:tcPr>
          <w:p>
            <w:pPr>
              <w:jc w:val="center"/>
            </w:pPr>
          </w:p>
        </w:tc>
        <w:tc>
          <w:tcPr>
            <w:tcW w:w="1405" w:type="dxa"/>
            <w:vAlign w:val="center"/>
          </w:tcPr>
          <w:p>
            <w:pPr>
              <w:jc w:val="center"/>
            </w:pPr>
          </w:p>
        </w:tc>
        <w:tc>
          <w:tcPr>
            <w:tcW w:w="1405" w:type="dxa"/>
            <w:vAlign w:val="center"/>
          </w:tcPr>
          <w:p>
            <w:pPr>
              <w:jc w:val="center"/>
            </w:pPr>
          </w:p>
        </w:tc>
        <w:tc>
          <w:tcPr>
            <w:tcW w:w="140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90" w:type="dxa"/>
            <w:vAlign w:val="center"/>
          </w:tcPr>
          <w:p>
            <w:pPr>
              <w:jc w:val="center"/>
            </w:pPr>
            <w:r>
              <w:rPr>
                <w:rFonts w:hint="eastAsia"/>
              </w:rPr>
              <w:t>1</w:t>
            </w:r>
          </w:p>
        </w:tc>
        <w:tc>
          <w:tcPr>
            <w:tcW w:w="2072" w:type="dxa"/>
            <w:vAlign w:val="center"/>
          </w:tcPr>
          <w:p>
            <w:pPr>
              <w:jc w:val="center"/>
            </w:pPr>
            <w:r>
              <w:rPr>
                <w:rFonts w:hint="eastAsia"/>
              </w:rPr>
              <w:t>施工组织设计</w:t>
            </w:r>
          </w:p>
        </w:tc>
        <w:tc>
          <w:tcPr>
            <w:tcW w:w="1151" w:type="dxa"/>
            <w:vAlign w:val="center"/>
          </w:tcPr>
          <w:p>
            <w:pPr>
              <w:jc w:val="center"/>
            </w:pPr>
            <w:r>
              <w:rPr>
                <w:rFonts w:hint="eastAsia"/>
              </w:rPr>
              <w:t>A</w:t>
            </w:r>
          </w:p>
        </w:tc>
        <w:tc>
          <w:tcPr>
            <w:tcW w:w="1405" w:type="dxa"/>
            <w:vAlign w:val="center"/>
          </w:tcPr>
          <w:p>
            <w:pPr>
              <w:jc w:val="center"/>
            </w:pPr>
          </w:p>
        </w:tc>
        <w:tc>
          <w:tcPr>
            <w:tcW w:w="1405" w:type="dxa"/>
            <w:vAlign w:val="center"/>
          </w:tcPr>
          <w:p>
            <w:pPr>
              <w:jc w:val="center"/>
            </w:pPr>
          </w:p>
        </w:tc>
        <w:tc>
          <w:tcPr>
            <w:tcW w:w="1405" w:type="dxa"/>
            <w:vAlign w:val="center"/>
          </w:tcPr>
          <w:p>
            <w:pPr>
              <w:jc w:val="center"/>
            </w:pPr>
          </w:p>
        </w:tc>
        <w:tc>
          <w:tcPr>
            <w:tcW w:w="1405" w:type="dxa"/>
            <w:vAlign w:val="center"/>
          </w:tcPr>
          <w:p>
            <w:pPr>
              <w:jc w:val="center"/>
            </w:pPr>
          </w:p>
        </w:tc>
        <w:tc>
          <w:tcPr>
            <w:tcW w:w="1405" w:type="dxa"/>
            <w:vAlign w:val="center"/>
          </w:tcPr>
          <w:p>
            <w:pPr>
              <w:jc w:val="center"/>
            </w:pPr>
          </w:p>
        </w:tc>
        <w:tc>
          <w:tcPr>
            <w:tcW w:w="1405" w:type="dxa"/>
            <w:vAlign w:val="center"/>
          </w:tcPr>
          <w:p>
            <w:pPr>
              <w:jc w:val="center"/>
            </w:pPr>
          </w:p>
        </w:tc>
        <w:tc>
          <w:tcPr>
            <w:tcW w:w="140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990" w:type="dxa"/>
            <w:vAlign w:val="center"/>
          </w:tcPr>
          <w:p>
            <w:pPr>
              <w:jc w:val="center"/>
            </w:pPr>
            <w:r>
              <w:rPr>
                <w:rFonts w:hint="eastAsia"/>
              </w:rPr>
              <w:t>2</w:t>
            </w:r>
          </w:p>
        </w:tc>
        <w:tc>
          <w:tcPr>
            <w:tcW w:w="2072" w:type="dxa"/>
            <w:vAlign w:val="center"/>
          </w:tcPr>
          <w:p>
            <w:pPr>
              <w:jc w:val="center"/>
            </w:pPr>
            <w:r>
              <w:rPr>
                <w:rFonts w:hint="eastAsia"/>
              </w:rPr>
              <w:t>资信标</w:t>
            </w:r>
          </w:p>
        </w:tc>
        <w:tc>
          <w:tcPr>
            <w:tcW w:w="1151" w:type="dxa"/>
            <w:vAlign w:val="center"/>
          </w:tcPr>
          <w:p>
            <w:pPr>
              <w:jc w:val="center"/>
            </w:pPr>
            <w:r>
              <w:rPr>
                <w:rFonts w:hint="eastAsia"/>
              </w:rPr>
              <w:t>B</w:t>
            </w:r>
          </w:p>
        </w:tc>
        <w:tc>
          <w:tcPr>
            <w:tcW w:w="1405" w:type="dxa"/>
            <w:vAlign w:val="center"/>
          </w:tcPr>
          <w:p>
            <w:pPr>
              <w:jc w:val="center"/>
            </w:pPr>
          </w:p>
        </w:tc>
        <w:tc>
          <w:tcPr>
            <w:tcW w:w="1405" w:type="dxa"/>
            <w:vAlign w:val="center"/>
          </w:tcPr>
          <w:p>
            <w:pPr>
              <w:jc w:val="center"/>
            </w:pPr>
          </w:p>
        </w:tc>
        <w:tc>
          <w:tcPr>
            <w:tcW w:w="1405" w:type="dxa"/>
            <w:vAlign w:val="center"/>
          </w:tcPr>
          <w:p>
            <w:pPr>
              <w:jc w:val="center"/>
            </w:pPr>
          </w:p>
        </w:tc>
        <w:tc>
          <w:tcPr>
            <w:tcW w:w="1405" w:type="dxa"/>
            <w:vAlign w:val="center"/>
          </w:tcPr>
          <w:p>
            <w:pPr>
              <w:jc w:val="center"/>
            </w:pPr>
          </w:p>
        </w:tc>
        <w:tc>
          <w:tcPr>
            <w:tcW w:w="1405" w:type="dxa"/>
            <w:vAlign w:val="center"/>
          </w:tcPr>
          <w:p>
            <w:pPr>
              <w:jc w:val="center"/>
            </w:pPr>
          </w:p>
        </w:tc>
        <w:tc>
          <w:tcPr>
            <w:tcW w:w="1405" w:type="dxa"/>
            <w:vAlign w:val="center"/>
          </w:tcPr>
          <w:p>
            <w:pPr>
              <w:jc w:val="center"/>
            </w:pPr>
          </w:p>
        </w:tc>
        <w:tc>
          <w:tcPr>
            <w:tcW w:w="140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990" w:type="dxa"/>
            <w:vAlign w:val="center"/>
          </w:tcPr>
          <w:p>
            <w:pPr>
              <w:jc w:val="center"/>
            </w:pPr>
            <w:r>
              <w:rPr>
                <w:rFonts w:hint="eastAsia"/>
              </w:rPr>
              <w:t>3</w:t>
            </w:r>
          </w:p>
        </w:tc>
        <w:tc>
          <w:tcPr>
            <w:tcW w:w="2072" w:type="dxa"/>
            <w:vAlign w:val="center"/>
          </w:tcPr>
          <w:p>
            <w:pPr>
              <w:jc w:val="center"/>
            </w:pPr>
            <w:r>
              <w:rPr>
                <w:rFonts w:hint="eastAsia"/>
              </w:rPr>
              <w:t>商务标</w:t>
            </w:r>
          </w:p>
        </w:tc>
        <w:tc>
          <w:tcPr>
            <w:tcW w:w="1151" w:type="dxa"/>
            <w:vAlign w:val="center"/>
          </w:tcPr>
          <w:p>
            <w:pPr>
              <w:jc w:val="center"/>
            </w:pPr>
            <w:r>
              <w:rPr>
                <w:rFonts w:hint="eastAsia"/>
              </w:rPr>
              <w:t>C</w:t>
            </w:r>
          </w:p>
        </w:tc>
        <w:tc>
          <w:tcPr>
            <w:tcW w:w="1405" w:type="dxa"/>
            <w:vAlign w:val="center"/>
          </w:tcPr>
          <w:p>
            <w:pPr>
              <w:jc w:val="center"/>
            </w:pPr>
          </w:p>
        </w:tc>
        <w:tc>
          <w:tcPr>
            <w:tcW w:w="1405" w:type="dxa"/>
            <w:vAlign w:val="center"/>
          </w:tcPr>
          <w:p>
            <w:pPr>
              <w:jc w:val="center"/>
            </w:pPr>
          </w:p>
        </w:tc>
        <w:tc>
          <w:tcPr>
            <w:tcW w:w="1405" w:type="dxa"/>
            <w:vAlign w:val="center"/>
          </w:tcPr>
          <w:p>
            <w:pPr>
              <w:jc w:val="center"/>
            </w:pPr>
          </w:p>
        </w:tc>
        <w:tc>
          <w:tcPr>
            <w:tcW w:w="1405" w:type="dxa"/>
            <w:vAlign w:val="center"/>
          </w:tcPr>
          <w:p>
            <w:pPr>
              <w:jc w:val="center"/>
            </w:pPr>
          </w:p>
        </w:tc>
        <w:tc>
          <w:tcPr>
            <w:tcW w:w="1405" w:type="dxa"/>
            <w:vAlign w:val="center"/>
          </w:tcPr>
          <w:p>
            <w:pPr>
              <w:jc w:val="center"/>
            </w:pPr>
          </w:p>
        </w:tc>
        <w:tc>
          <w:tcPr>
            <w:tcW w:w="1405" w:type="dxa"/>
            <w:vAlign w:val="center"/>
          </w:tcPr>
          <w:p>
            <w:pPr>
              <w:jc w:val="center"/>
            </w:pPr>
          </w:p>
        </w:tc>
        <w:tc>
          <w:tcPr>
            <w:tcW w:w="140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4213" w:type="dxa"/>
            <w:gridSpan w:val="3"/>
            <w:vAlign w:val="center"/>
          </w:tcPr>
          <w:p>
            <w:pPr>
              <w:jc w:val="center"/>
            </w:pPr>
            <w:r>
              <w:rPr>
                <w:rFonts w:hint="eastAsia"/>
              </w:rPr>
              <w:t>详细评审得分合计</w:t>
            </w:r>
          </w:p>
        </w:tc>
        <w:tc>
          <w:tcPr>
            <w:tcW w:w="1405" w:type="dxa"/>
            <w:vAlign w:val="center"/>
          </w:tcPr>
          <w:p>
            <w:pPr>
              <w:jc w:val="center"/>
            </w:pPr>
          </w:p>
        </w:tc>
        <w:tc>
          <w:tcPr>
            <w:tcW w:w="1405" w:type="dxa"/>
            <w:vAlign w:val="center"/>
          </w:tcPr>
          <w:p>
            <w:pPr>
              <w:jc w:val="center"/>
            </w:pPr>
          </w:p>
        </w:tc>
        <w:tc>
          <w:tcPr>
            <w:tcW w:w="1405" w:type="dxa"/>
            <w:vAlign w:val="center"/>
          </w:tcPr>
          <w:p>
            <w:pPr>
              <w:jc w:val="center"/>
            </w:pPr>
          </w:p>
        </w:tc>
        <w:tc>
          <w:tcPr>
            <w:tcW w:w="1405" w:type="dxa"/>
            <w:vAlign w:val="center"/>
          </w:tcPr>
          <w:p>
            <w:pPr>
              <w:jc w:val="center"/>
            </w:pPr>
          </w:p>
        </w:tc>
        <w:tc>
          <w:tcPr>
            <w:tcW w:w="1405" w:type="dxa"/>
            <w:vAlign w:val="center"/>
          </w:tcPr>
          <w:p>
            <w:pPr>
              <w:jc w:val="center"/>
            </w:pPr>
          </w:p>
        </w:tc>
        <w:tc>
          <w:tcPr>
            <w:tcW w:w="1405" w:type="dxa"/>
            <w:vAlign w:val="center"/>
          </w:tcPr>
          <w:p>
            <w:pPr>
              <w:jc w:val="center"/>
            </w:pPr>
          </w:p>
        </w:tc>
        <w:tc>
          <w:tcPr>
            <w:tcW w:w="1405" w:type="dxa"/>
            <w:vAlign w:val="center"/>
          </w:tcPr>
          <w:p>
            <w:pPr>
              <w:jc w:val="center"/>
            </w:pPr>
          </w:p>
        </w:tc>
      </w:tr>
    </w:tbl>
    <w:p/>
    <w:p>
      <w:pPr>
        <w:ind w:firstLine="840" w:firstLineChars="400"/>
      </w:pPr>
      <w:r>
        <w:rPr>
          <w:rFonts w:hint="eastAsia"/>
        </w:rPr>
        <w:t>评标委员会成员签名：日期：年月日</w:t>
      </w:r>
    </w:p>
    <w:p>
      <w:pPr>
        <w:spacing w:after="240" w:afterLines="100"/>
        <w:rPr>
          <w:rFonts w:ascii="宋体" w:hAnsi="宋体"/>
          <w:b/>
          <w:szCs w:val="21"/>
        </w:rPr>
      </w:pPr>
      <w:r>
        <w:rPr>
          <w:rFonts w:hint="eastAsia" w:ascii="黑体" w:eastAsia="黑体"/>
          <w:sz w:val="24"/>
        </w:rPr>
        <w:br w:type="page"/>
      </w:r>
      <w:r>
        <w:rPr>
          <w:rFonts w:hint="eastAsia" w:ascii="宋体" w:hAnsi="宋体"/>
          <w:b/>
          <w:szCs w:val="21"/>
        </w:rPr>
        <w:t>附表A-</w:t>
      </w:r>
      <w:r>
        <w:rPr>
          <w:rFonts w:ascii="宋体" w:hAnsi="宋体"/>
          <w:b/>
          <w:szCs w:val="21"/>
        </w:rPr>
        <w:t>9</w:t>
      </w:r>
      <w:r>
        <w:rPr>
          <w:rFonts w:hint="eastAsia" w:ascii="宋体" w:hAnsi="宋体"/>
          <w:b/>
          <w:szCs w:val="21"/>
        </w:rPr>
        <w:t>：评标结果汇总表</w:t>
      </w:r>
    </w:p>
    <w:p>
      <w:pPr>
        <w:spacing w:after="240" w:afterLines="100"/>
        <w:jc w:val="center"/>
        <w:rPr>
          <w:rFonts w:ascii="黑体" w:eastAsia="黑体"/>
          <w:sz w:val="36"/>
          <w:szCs w:val="36"/>
        </w:rPr>
      </w:pPr>
      <w:r>
        <w:rPr>
          <w:rFonts w:hint="eastAsia" w:ascii="黑体" w:eastAsia="黑体"/>
          <w:sz w:val="36"/>
          <w:szCs w:val="36"/>
        </w:rPr>
        <w:t>评标结果汇总表</w:t>
      </w:r>
    </w:p>
    <w:p>
      <w:pPr>
        <w:spacing w:after="240" w:afterLines="100"/>
        <w:ind w:firstLine="630" w:firstLineChars="300"/>
        <w:rPr>
          <w:rFonts w:ascii="宋体" w:hAnsi="宋体"/>
          <w:szCs w:val="44"/>
        </w:rPr>
      </w:pPr>
      <w:r>
        <w:rPr>
          <w:rFonts w:hint="eastAsia" w:ascii="宋体" w:hAnsi="宋体"/>
          <w:szCs w:val="44"/>
        </w:rPr>
        <w:t>工程名称：(项目名称)标段</w:t>
      </w:r>
    </w:p>
    <w:tbl>
      <w:tblPr>
        <w:tblStyle w:val="44"/>
        <w:tblW w:w="140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1691"/>
        <w:gridCol w:w="1691"/>
        <w:gridCol w:w="1692"/>
        <w:gridCol w:w="1691"/>
        <w:gridCol w:w="1692"/>
        <w:gridCol w:w="1691"/>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8" w:type="dxa"/>
            <w:vMerge w:val="restart"/>
            <w:vAlign w:val="center"/>
          </w:tcPr>
          <w:p>
            <w:pPr>
              <w:jc w:val="center"/>
            </w:pPr>
            <w:r>
              <w:rPr>
                <w:rFonts w:hint="eastAsia"/>
              </w:rPr>
              <w:t>评委序号和姓名</w:t>
            </w:r>
          </w:p>
        </w:tc>
        <w:tc>
          <w:tcPr>
            <w:tcW w:w="11840" w:type="dxa"/>
            <w:gridSpan w:val="7"/>
            <w:vAlign w:val="center"/>
          </w:tcPr>
          <w:p>
            <w:pPr>
              <w:jc w:val="center"/>
            </w:pPr>
            <w:r>
              <w:rPr>
                <w:rFonts w:hint="eastAsia"/>
              </w:rPr>
              <w:t>投标人名称(或代码)及其得分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8" w:type="dxa"/>
            <w:vMerge w:val="continue"/>
            <w:vAlign w:val="center"/>
          </w:tcPr>
          <w:p>
            <w:pPr>
              <w:jc w:val="center"/>
            </w:pPr>
          </w:p>
        </w:tc>
        <w:tc>
          <w:tcPr>
            <w:tcW w:w="1691"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8" w:type="dxa"/>
            <w:vAlign w:val="center"/>
          </w:tcPr>
          <w:p>
            <w:pPr>
              <w:jc w:val="left"/>
            </w:pPr>
            <w:r>
              <w:rPr>
                <w:rFonts w:hint="eastAsia"/>
              </w:rPr>
              <w:t>1:</w:t>
            </w:r>
          </w:p>
        </w:tc>
        <w:tc>
          <w:tcPr>
            <w:tcW w:w="1691"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8" w:type="dxa"/>
            <w:vAlign w:val="center"/>
          </w:tcPr>
          <w:p>
            <w:pPr>
              <w:jc w:val="left"/>
            </w:pPr>
            <w:r>
              <w:rPr>
                <w:rFonts w:hint="eastAsia"/>
              </w:rPr>
              <w:t>2:</w:t>
            </w:r>
          </w:p>
        </w:tc>
        <w:tc>
          <w:tcPr>
            <w:tcW w:w="1691"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8" w:type="dxa"/>
            <w:vAlign w:val="center"/>
          </w:tcPr>
          <w:p>
            <w:pPr>
              <w:jc w:val="left"/>
            </w:pPr>
            <w:r>
              <w:rPr>
                <w:rFonts w:hint="eastAsia"/>
              </w:rPr>
              <w:t>3:</w:t>
            </w:r>
          </w:p>
        </w:tc>
        <w:tc>
          <w:tcPr>
            <w:tcW w:w="1691"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8" w:type="dxa"/>
            <w:vAlign w:val="center"/>
          </w:tcPr>
          <w:p>
            <w:pPr>
              <w:jc w:val="left"/>
            </w:pPr>
            <w:r>
              <w:rPr>
                <w:rFonts w:hint="eastAsia"/>
              </w:rPr>
              <w:t>4:</w:t>
            </w:r>
          </w:p>
        </w:tc>
        <w:tc>
          <w:tcPr>
            <w:tcW w:w="1691"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8" w:type="dxa"/>
            <w:vAlign w:val="center"/>
          </w:tcPr>
          <w:p>
            <w:pPr>
              <w:jc w:val="left"/>
            </w:pPr>
            <w:r>
              <w:rPr>
                <w:rFonts w:hint="eastAsia"/>
              </w:rPr>
              <w:t>5:</w:t>
            </w:r>
          </w:p>
        </w:tc>
        <w:tc>
          <w:tcPr>
            <w:tcW w:w="1691"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8" w:type="dxa"/>
            <w:vAlign w:val="center"/>
          </w:tcPr>
          <w:p>
            <w:pPr>
              <w:jc w:val="left"/>
            </w:pPr>
            <w:r>
              <w:rPr>
                <w:rFonts w:hint="eastAsia"/>
              </w:rPr>
              <w:t>6:</w:t>
            </w:r>
          </w:p>
        </w:tc>
        <w:tc>
          <w:tcPr>
            <w:tcW w:w="1691"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8" w:type="dxa"/>
            <w:vAlign w:val="center"/>
          </w:tcPr>
          <w:p>
            <w:pPr>
              <w:jc w:val="left"/>
            </w:pPr>
            <w:r>
              <w:rPr>
                <w:rFonts w:hint="eastAsia"/>
              </w:rPr>
              <w:t>7:</w:t>
            </w:r>
          </w:p>
        </w:tc>
        <w:tc>
          <w:tcPr>
            <w:tcW w:w="1691"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8" w:type="dxa"/>
            <w:vAlign w:val="center"/>
          </w:tcPr>
          <w:p>
            <w:pPr>
              <w:jc w:val="center"/>
            </w:pPr>
            <w:r>
              <w:rPr>
                <w:rFonts w:hint="eastAsia"/>
              </w:rPr>
              <w:t>各评委评分合计</w:t>
            </w:r>
          </w:p>
        </w:tc>
        <w:tc>
          <w:tcPr>
            <w:tcW w:w="1691"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8" w:type="dxa"/>
            <w:vAlign w:val="center"/>
          </w:tcPr>
          <w:p>
            <w:pPr>
              <w:jc w:val="center"/>
            </w:pPr>
            <w:r>
              <w:rPr>
                <w:rFonts w:hint="eastAsia"/>
              </w:rPr>
              <w:t>各评委评分平均值</w:t>
            </w:r>
          </w:p>
        </w:tc>
        <w:tc>
          <w:tcPr>
            <w:tcW w:w="1691"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08" w:type="dxa"/>
            <w:vAlign w:val="center"/>
          </w:tcPr>
          <w:p>
            <w:pPr>
              <w:jc w:val="center"/>
            </w:pPr>
            <w:r>
              <w:rPr>
                <w:rFonts w:hint="eastAsia"/>
              </w:rPr>
              <w:t>投标人最终排名次序</w:t>
            </w:r>
          </w:p>
        </w:tc>
        <w:tc>
          <w:tcPr>
            <w:tcW w:w="1691"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c>
          <w:tcPr>
            <w:tcW w:w="1691" w:type="dxa"/>
            <w:vAlign w:val="center"/>
          </w:tcPr>
          <w:p>
            <w:pPr>
              <w:jc w:val="center"/>
            </w:pPr>
          </w:p>
        </w:tc>
        <w:tc>
          <w:tcPr>
            <w:tcW w:w="1692" w:type="dxa"/>
            <w:vAlign w:val="center"/>
          </w:tcPr>
          <w:p>
            <w:pPr>
              <w:jc w:val="center"/>
            </w:pPr>
          </w:p>
        </w:tc>
      </w:tr>
    </w:tbl>
    <w:p>
      <w:pPr>
        <w:ind w:firstLine="630" w:firstLineChars="300"/>
      </w:pPr>
      <w:r>
        <w:rPr>
          <w:rFonts w:hint="eastAsia"/>
        </w:rPr>
        <w:t>评标委员会全体成员签名：</w:t>
      </w:r>
    </w:p>
    <w:p/>
    <w:p/>
    <w:p>
      <w:r>
        <w:rPr>
          <w:rFonts w:hint="eastAsia"/>
        </w:rPr>
        <w:t>日期：年月日</w:t>
      </w:r>
    </w:p>
    <w:p>
      <w:pPr>
        <w:sectPr>
          <w:footerReference r:id="rId6" w:type="even"/>
          <w:pgSz w:w="16838" w:h="11906" w:orient="landscape"/>
          <w:pgMar w:top="720" w:right="720" w:bottom="720" w:left="720" w:header="851" w:footer="851" w:gutter="0"/>
          <w:cols w:space="720" w:num="1"/>
          <w:docGrid w:linePitch="312" w:charSpace="0"/>
        </w:sectPr>
      </w:pPr>
    </w:p>
    <w:p>
      <w:pPr>
        <w:pStyle w:val="2"/>
        <w:jc w:val="center"/>
        <w:rPr>
          <w:color w:val="000000"/>
        </w:rPr>
      </w:pPr>
      <w:bookmarkStart w:id="378" w:name="_Toc424826603"/>
      <w:bookmarkStart w:id="379" w:name="_Toc256000016"/>
      <w:bookmarkStart w:id="380" w:name="_Toc424730932"/>
      <w:bookmarkStart w:id="381" w:name="_Toc424731821"/>
      <w:bookmarkStart w:id="382" w:name="_Toc18864"/>
      <w:bookmarkStart w:id="383" w:name="_Toc152042554"/>
      <w:bookmarkStart w:id="384" w:name="_Toc263777215"/>
      <w:bookmarkStart w:id="385" w:name="_Toc276025334"/>
      <w:bookmarkStart w:id="386" w:name="_Toc152045772"/>
      <w:bookmarkStart w:id="387" w:name="_Toc179632789"/>
      <w:bookmarkStart w:id="388" w:name="_Toc267475116"/>
      <w:bookmarkStart w:id="389" w:name="_Toc144974834"/>
      <w:r>
        <w:rPr>
          <w:rFonts w:hint="eastAsia"/>
          <w:color w:val="000000"/>
          <w:highlight w:val="white"/>
        </w:rPr>
        <w:t>第四章 合同条款及格式</w:t>
      </w:r>
      <w:bookmarkEnd w:id="378"/>
      <w:bookmarkEnd w:id="379"/>
      <w:bookmarkEnd w:id="380"/>
      <w:bookmarkEnd w:id="381"/>
      <w:bookmarkEnd w:id="382"/>
    </w:p>
    <w:p>
      <w:pPr>
        <w:pStyle w:val="165"/>
        <w:rPr>
          <w:rFonts w:ascii="宋体" w:hAnsi="宋体" w:eastAsia="宋体"/>
          <w:color w:val="000000"/>
          <w:sz w:val="21"/>
          <w:szCs w:val="21"/>
        </w:rPr>
      </w:pPr>
      <w:bookmarkStart w:id="390" w:name="_Toc256000017"/>
      <w:bookmarkStart w:id="391" w:name="_Toc422410895"/>
      <w:bookmarkStart w:id="392" w:name="_Toc18238"/>
      <w:r>
        <w:rPr>
          <w:rFonts w:hint="eastAsia" w:ascii="宋体" w:hAnsi="宋体" w:eastAsia="宋体"/>
          <w:color w:val="000000"/>
          <w:sz w:val="21"/>
          <w:szCs w:val="21"/>
        </w:rPr>
        <w:t>第一部分 合同协议书</w:t>
      </w:r>
      <w:bookmarkEnd w:id="390"/>
      <w:bookmarkEnd w:id="391"/>
      <w:bookmarkEnd w:id="392"/>
    </w:p>
    <w:p>
      <w:pPr>
        <w:pStyle w:val="167"/>
        <w:spacing w:line="360" w:lineRule="auto"/>
        <w:rPr>
          <w:rFonts w:ascii="宋体" w:hAnsi="宋体"/>
          <w:b/>
          <w:color w:val="000000"/>
          <w:szCs w:val="21"/>
          <w:u w:val="single"/>
        </w:rPr>
      </w:pPr>
      <w:r>
        <w:rPr>
          <w:rFonts w:ascii="宋体" w:hAnsi="宋体"/>
          <w:b/>
          <w:color w:val="000000"/>
          <w:szCs w:val="21"/>
        </w:rPr>
        <w:t> </w:t>
      </w:r>
      <w:bookmarkStart w:id="393" w:name="_Toc263777211"/>
      <w:bookmarkStart w:id="394" w:name="_Toc267475112"/>
      <w:bookmarkStart w:id="395" w:name="_Toc273437361"/>
      <w:bookmarkStart w:id="396" w:name="_Toc277837446"/>
      <w:r>
        <w:rPr>
          <w:rFonts w:ascii="宋体" w:hAnsi="宋体"/>
          <w:b/>
          <w:color w:val="000000"/>
          <w:szCs w:val="21"/>
        </w:rPr>
        <w:t>发包人（全称）：</w:t>
      </w:r>
      <w:r>
        <w:rPr>
          <w:rFonts w:ascii="宋体" w:hAnsi="宋体"/>
          <w:b/>
          <w:color w:val="000000"/>
          <w:szCs w:val="21"/>
          <w:u w:val="single"/>
        </w:rPr>
        <w:t xml:space="preserve">      </w:t>
      </w:r>
      <w:r>
        <w:rPr>
          <w:rFonts w:hint="eastAsia" w:ascii="宋体" w:hAnsi="宋体"/>
          <w:b/>
          <w:color w:val="000000"/>
          <w:szCs w:val="21"/>
          <w:u w:val="single"/>
        </w:rPr>
        <w:t xml:space="preserve"> </w:t>
      </w:r>
      <w:r>
        <w:rPr>
          <w:rFonts w:ascii="宋体" w:hAnsi="宋体"/>
          <w:b/>
          <w:color w:val="000000"/>
          <w:szCs w:val="21"/>
          <w:u w:val="single"/>
        </w:rPr>
        <w:t xml:space="preserve">    </w:t>
      </w:r>
      <w:r>
        <w:rPr>
          <w:rFonts w:hint="eastAsia" w:ascii="宋体" w:hAnsi="宋体"/>
          <w:b/>
          <w:color w:val="000000"/>
          <w:szCs w:val="21"/>
          <w:u w:val="single"/>
        </w:rPr>
        <w:t xml:space="preserve"> </w:t>
      </w:r>
      <w:r>
        <w:rPr>
          <w:rFonts w:ascii="宋体" w:hAnsi="宋体"/>
          <w:b/>
          <w:color w:val="000000"/>
          <w:szCs w:val="21"/>
          <w:u w:val="single"/>
        </w:rPr>
        <w:t xml:space="preserve">   </w:t>
      </w:r>
      <w:r>
        <w:rPr>
          <w:rFonts w:hint="eastAsia" w:ascii="宋体" w:hAnsi="宋体"/>
          <w:b/>
          <w:color w:val="000000"/>
          <w:szCs w:val="21"/>
          <w:u w:val="single"/>
        </w:rPr>
        <w:t xml:space="preserve">      </w:t>
      </w:r>
      <w:r>
        <w:rPr>
          <w:rFonts w:ascii="宋体" w:hAnsi="宋体"/>
          <w:b/>
          <w:color w:val="000000"/>
          <w:szCs w:val="21"/>
          <w:u w:val="single"/>
        </w:rPr>
        <w:t xml:space="preserve">              </w:t>
      </w:r>
    </w:p>
    <w:p>
      <w:pPr>
        <w:pStyle w:val="167"/>
        <w:spacing w:line="360" w:lineRule="auto"/>
        <w:rPr>
          <w:rFonts w:ascii="宋体" w:hAnsi="宋体"/>
          <w:b/>
          <w:color w:val="000000"/>
          <w:szCs w:val="21"/>
          <w:u w:val="single"/>
        </w:rPr>
      </w:pPr>
      <w:r>
        <w:rPr>
          <w:rFonts w:ascii="宋体" w:hAnsi="宋体"/>
          <w:b/>
          <w:color w:val="000000"/>
          <w:szCs w:val="21"/>
        </w:rPr>
        <w:t>承包人（全称）：</w:t>
      </w:r>
      <w:r>
        <w:rPr>
          <w:rFonts w:ascii="宋体" w:hAnsi="宋体"/>
          <w:b/>
          <w:color w:val="000000"/>
          <w:szCs w:val="21"/>
          <w:u w:val="single"/>
        </w:rPr>
        <w:t xml:space="preserve">  </w:t>
      </w:r>
      <w:r>
        <w:rPr>
          <w:rFonts w:hint="eastAsia" w:ascii="宋体" w:hAnsi="宋体"/>
          <w:b/>
          <w:color w:val="000000"/>
          <w:szCs w:val="21"/>
          <w:u w:val="single"/>
        </w:rPr>
        <w:t xml:space="preserve"> </w:t>
      </w:r>
      <w:r>
        <w:rPr>
          <w:rFonts w:ascii="宋体" w:hAnsi="宋体"/>
          <w:b/>
          <w:color w:val="000000"/>
          <w:szCs w:val="21"/>
          <w:u w:val="single"/>
        </w:rPr>
        <w:t xml:space="preserve">       </w:t>
      </w:r>
      <w:r>
        <w:rPr>
          <w:rFonts w:hint="eastAsia" w:ascii="宋体" w:hAnsi="宋体"/>
          <w:b/>
          <w:color w:val="000000"/>
          <w:szCs w:val="21"/>
          <w:u w:val="single"/>
        </w:rPr>
        <w:t xml:space="preserve"> </w:t>
      </w:r>
      <w:r>
        <w:rPr>
          <w:rFonts w:ascii="宋体" w:hAnsi="宋体"/>
          <w:b/>
          <w:color w:val="000000"/>
          <w:szCs w:val="21"/>
          <w:u w:val="single"/>
        </w:rPr>
        <w:t xml:space="preserve">   </w:t>
      </w:r>
      <w:r>
        <w:rPr>
          <w:rFonts w:hint="eastAsia" w:ascii="宋体" w:hAnsi="宋体"/>
          <w:b/>
          <w:color w:val="000000"/>
          <w:szCs w:val="21"/>
          <w:u w:val="single"/>
        </w:rPr>
        <w:t xml:space="preserve">   </w:t>
      </w:r>
      <w:r>
        <w:rPr>
          <w:rFonts w:ascii="宋体" w:hAnsi="宋体"/>
          <w:b/>
          <w:color w:val="000000"/>
          <w:szCs w:val="21"/>
          <w:u w:val="single"/>
        </w:rPr>
        <w:t xml:space="preserve"> </w:t>
      </w:r>
      <w:r>
        <w:rPr>
          <w:rFonts w:hint="eastAsia" w:ascii="宋体" w:hAnsi="宋体"/>
          <w:b/>
          <w:color w:val="000000"/>
          <w:szCs w:val="21"/>
          <w:u w:val="single"/>
        </w:rPr>
        <w:t xml:space="preserve">  </w:t>
      </w:r>
      <w:r>
        <w:rPr>
          <w:rFonts w:ascii="宋体" w:hAnsi="宋体"/>
          <w:b/>
          <w:color w:val="000000"/>
          <w:szCs w:val="21"/>
          <w:u w:val="single"/>
        </w:rPr>
        <w:t xml:space="preserve">                </w:t>
      </w:r>
    </w:p>
    <w:p>
      <w:pPr>
        <w:pStyle w:val="167"/>
        <w:spacing w:line="360" w:lineRule="auto"/>
        <w:ind w:firstLine="420" w:firstLineChars="200"/>
        <w:rPr>
          <w:rFonts w:ascii="宋体" w:hAnsi="宋体"/>
          <w:color w:val="000000"/>
          <w:szCs w:val="21"/>
        </w:rPr>
      </w:pPr>
      <w:r>
        <w:rPr>
          <w:rFonts w:ascii="宋体" w:hAnsi="宋体"/>
          <w:color w:val="000000"/>
          <w:szCs w:val="21"/>
        </w:rPr>
        <w:t>根据《</w:t>
      </w:r>
      <w:r>
        <w:rPr>
          <w:rFonts w:hint="eastAsia" w:ascii="宋体" w:hAnsi="宋体"/>
          <w:color w:val="000000"/>
          <w:szCs w:val="21"/>
        </w:rPr>
        <w:t>中华人民共和国民法典</w:t>
      </w:r>
      <w:r>
        <w:rPr>
          <w:rFonts w:ascii="宋体" w:hAnsi="宋体"/>
          <w:color w:val="000000"/>
          <w:szCs w:val="21"/>
        </w:rPr>
        <w:t>》、《中华人民共和国建筑法》及有关法律规定，遵循平等、自愿、公平和诚实信用的原则，双方就</w:t>
      </w:r>
    </w:p>
    <w:p>
      <w:pPr>
        <w:pStyle w:val="167"/>
        <w:spacing w:line="360" w:lineRule="auto"/>
        <w:rPr>
          <w:rFonts w:ascii="宋体" w:hAnsi="宋体"/>
          <w:color w:val="000000"/>
          <w:szCs w:val="21"/>
        </w:rPr>
      </w:pPr>
      <w:r>
        <w:rPr>
          <w:rFonts w:ascii="宋体" w:hAnsi="宋体"/>
          <w:color w:val="000000"/>
          <w:szCs w:val="21"/>
          <w:u w:val="single"/>
        </w:rPr>
        <w:t xml:space="preserve">                       </w:t>
      </w:r>
      <w:r>
        <w:rPr>
          <w:rFonts w:ascii="宋体" w:hAnsi="宋体"/>
          <w:color w:val="000000"/>
          <w:szCs w:val="21"/>
        </w:rPr>
        <w:t>工程施工及有关事项协商一致</w:t>
      </w:r>
      <w:r>
        <w:rPr>
          <w:rFonts w:hint="eastAsia" w:ascii="宋体" w:hAnsi="宋体"/>
          <w:color w:val="000000"/>
          <w:szCs w:val="21"/>
        </w:rPr>
        <w:t>，</w:t>
      </w:r>
      <w:r>
        <w:rPr>
          <w:rFonts w:ascii="宋体" w:hAnsi="宋体"/>
          <w:color w:val="000000"/>
          <w:szCs w:val="21"/>
        </w:rPr>
        <w:t>共同达成如下协议：</w:t>
      </w:r>
    </w:p>
    <w:p>
      <w:pPr>
        <w:pStyle w:val="167"/>
        <w:keepNext/>
        <w:keepLines/>
        <w:spacing w:before="120" w:after="120" w:line="360" w:lineRule="auto"/>
        <w:outlineLvl w:val="3"/>
        <w:rPr>
          <w:rFonts w:ascii="宋体" w:hAnsi="宋体"/>
          <w:b/>
          <w:color w:val="000000"/>
          <w:szCs w:val="21"/>
        </w:rPr>
      </w:pPr>
      <w:r>
        <w:rPr>
          <w:rFonts w:ascii="宋体" w:hAnsi="宋体"/>
          <w:b/>
          <w:color w:val="000000"/>
          <w:szCs w:val="21"/>
        </w:rPr>
        <w:t xml:space="preserve">   </w:t>
      </w:r>
      <w:bookmarkStart w:id="397" w:name="_Toc351203481"/>
      <w:r>
        <w:rPr>
          <w:rFonts w:hint="eastAsia" w:ascii="宋体" w:hAnsi="宋体"/>
          <w:bCs/>
          <w:color w:val="000000"/>
          <w:szCs w:val="21"/>
        </w:rPr>
        <w:t xml:space="preserve"> </w:t>
      </w:r>
      <w:r>
        <w:rPr>
          <w:rFonts w:ascii="宋体" w:hAnsi="宋体"/>
          <w:bCs/>
          <w:color w:val="000000"/>
          <w:szCs w:val="21"/>
        </w:rPr>
        <w:t>一、工程概况</w:t>
      </w:r>
      <w:bookmarkEnd w:id="397"/>
    </w:p>
    <w:p>
      <w:pPr>
        <w:pStyle w:val="167"/>
        <w:spacing w:line="360" w:lineRule="auto"/>
        <w:ind w:firstLine="411" w:firstLineChars="196"/>
        <w:rPr>
          <w:rFonts w:ascii="宋体" w:hAnsi="宋体"/>
          <w:color w:val="000000"/>
          <w:szCs w:val="21"/>
          <w:u w:val="single"/>
        </w:rPr>
      </w:pPr>
      <w:r>
        <w:rPr>
          <w:rFonts w:ascii="宋体" w:hAnsi="宋体"/>
          <w:bCs/>
          <w:color w:val="000000"/>
          <w:szCs w:val="21"/>
        </w:rPr>
        <w:t>1.工程名称</w:t>
      </w:r>
      <w:r>
        <w:rPr>
          <w:rFonts w:ascii="宋体" w:hAnsi="宋体"/>
          <w:color w:val="000000"/>
          <w:szCs w:val="21"/>
        </w:rPr>
        <w:t>：</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11" w:firstLineChars="196"/>
        <w:rPr>
          <w:rFonts w:ascii="宋体" w:hAnsi="宋体"/>
          <w:bCs/>
          <w:color w:val="000000"/>
          <w:szCs w:val="21"/>
        </w:rPr>
      </w:pPr>
      <w:r>
        <w:rPr>
          <w:rFonts w:ascii="宋体" w:hAnsi="宋体"/>
          <w:bCs/>
          <w:color w:val="000000"/>
          <w:szCs w:val="21"/>
        </w:rPr>
        <w:t>2.工程地点：</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11" w:firstLineChars="196"/>
        <w:rPr>
          <w:rFonts w:ascii="宋体" w:hAnsi="宋体"/>
          <w:bCs/>
          <w:color w:val="000000"/>
          <w:szCs w:val="21"/>
        </w:rPr>
      </w:pPr>
      <w:r>
        <w:rPr>
          <w:rFonts w:ascii="宋体" w:hAnsi="宋体"/>
          <w:bCs/>
          <w:color w:val="000000"/>
          <w:szCs w:val="21"/>
        </w:rPr>
        <w:t>3.工程立项批准文号：</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bCs/>
          <w:color w:val="000000"/>
          <w:szCs w:val="21"/>
        </w:rPr>
        <w:t>。</w:t>
      </w:r>
    </w:p>
    <w:p>
      <w:pPr>
        <w:pStyle w:val="167"/>
        <w:spacing w:line="360" w:lineRule="auto"/>
        <w:ind w:firstLine="411" w:firstLineChars="196"/>
        <w:rPr>
          <w:rFonts w:ascii="宋体" w:hAnsi="宋体"/>
          <w:bCs/>
          <w:color w:val="000000"/>
          <w:szCs w:val="21"/>
        </w:rPr>
      </w:pPr>
      <w:r>
        <w:rPr>
          <w:rFonts w:ascii="宋体" w:hAnsi="宋体"/>
          <w:bCs/>
          <w:color w:val="000000"/>
          <w:szCs w:val="21"/>
        </w:rPr>
        <w:t>4.资金来源：</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bCs/>
          <w:color w:val="000000"/>
          <w:szCs w:val="21"/>
        </w:rPr>
        <w:t>。</w:t>
      </w:r>
    </w:p>
    <w:p>
      <w:pPr>
        <w:pStyle w:val="167"/>
        <w:spacing w:line="360" w:lineRule="auto"/>
        <w:ind w:firstLine="411" w:firstLineChars="196"/>
        <w:rPr>
          <w:rFonts w:ascii="宋体" w:hAnsi="宋体"/>
          <w:bCs/>
          <w:color w:val="000000"/>
          <w:szCs w:val="21"/>
        </w:rPr>
      </w:pPr>
      <w:r>
        <w:rPr>
          <w:rFonts w:hint="eastAsia" w:ascii="宋体" w:hAnsi="宋体"/>
          <w:bCs/>
          <w:color w:val="000000"/>
          <w:szCs w:val="21"/>
        </w:rPr>
        <w:t>5.工程内容：</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bCs/>
          <w:color w:val="000000"/>
          <w:szCs w:val="21"/>
        </w:rPr>
        <w:t>。</w:t>
      </w:r>
    </w:p>
    <w:p>
      <w:pPr>
        <w:pStyle w:val="167"/>
        <w:spacing w:line="360" w:lineRule="auto"/>
        <w:ind w:firstLine="411" w:firstLineChars="196"/>
        <w:rPr>
          <w:rFonts w:ascii="宋体" w:hAnsi="宋体"/>
          <w:bCs/>
          <w:color w:val="000000"/>
          <w:szCs w:val="21"/>
        </w:rPr>
      </w:pPr>
      <w:r>
        <w:rPr>
          <w:rFonts w:hint="eastAsia" w:ascii="宋体" w:hAnsi="宋体"/>
          <w:color w:val="000000"/>
          <w:szCs w:val="21"/>
        </w:rPr>
        <w:t>群体工程应附《</w:t>
      </w:r>
      <w:r>
        <w:rPr>
          <w:rFonts w:ascii="宋体" w:hAnsi="宋体"/>
          <w:color w:val="000000"/>
          <w:szCs w:val="21"/>
        </w:rPr>
        <w:t>承包人承揽工程项目一览表</w:t>
      </w:r>
      <w:r>
        <w:rPr>
          <w:rFonts w:hint="eastAsia" w:ascii="宋体" w:hAnsi="宋体"/>
          <w:color w:val="000000"/>
          <w:szCs w:val="21"/>
        </w:rPr>
        <w:t>》（附件1）。</w:t>
      </w:r>
    </w:p>
    <w:p>
      <w:pPr>
        <w:pStyle w:val="167"/>
        <w:spacing w:line="360" w:lineRule="auto"/>
        <w:ind w:firstLine="411" w:firstLineChars="196"/>
        <w:rPr>
          <w:rFonts w:ascii="宋体" w:hAnsi="宋体"/>
          <w:bCs/>
          <w:color w:val="000000"/>
          <w:szCs w:val="21"/>
        </w:rPr>
      </w:pPr>
      <w:r>
        <w:rPr>
          <w:rFonts w:hint="eastAsia" w:ascii="宋体" w:hAnsi="宋体"/>
          <w:bCs/>
          <w:color w:val="000000"/>
          <w:szCs w:val="21"/>
        </w:rPr>
        <w:t>6</w:t>
      </w:r>
      <w:r>
        <w:rPr>
          <w:rFonts w:ascii="宋体" w:hAnsi="宋体"/>
          <w:bCs/>
          <w:color w:val="000000"/>
          <w:szCs w:val="21"/>
        </w:rPr>
        <w:t>.工程承包范围：</w:t>
      </w:r>
    </w:p>
    <w:p>
      <w:pPr>
        <w:pStyle w:val="167"/>
        <w:spacing w:line="360" w:lineRule="auto"/>
        <w:ind w:firstLine="405" w:firstLineChars="193"/>
        <w:rPr>
          <w:rFonts w:ascii="宋体" w:hAnsi="宋体"/>
          <w:color w:val="000000"/>
          <w:szCs w:val="21"/>
        </w:rPr>
      </w:pP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ind w:firstLine="420" w:firstLineChars="200"/>
        <w:rPr>
          <w:rFonts w:ascii="宋体" w:hAnsi="宋体"/>
          <w:color w:val="000000"/>
          <w:szCs w:val="21"/>
        </w:rPr>
      </w:pP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keepNext/>
        <w:keepLines/>
        <w:spacing w:before="120" w:after="120" w:line="360" w:lineRule="auto"/>
        <w:outlineLvl w:val="3"/>
        <w:rPr>
          <w:rFonts w:ascii="宋体" w:hAnsi="宋体"/>
          <w:bCs/>
          <w:color w:val="000000"/>
          <w:szCs w:val="21"/>
        </w:rPr>
      </w:pPr>
      <w:r>
        <w:rPr>
          <w:rFonts w:ascii="宋体" w:hAnsi="宋体"/>
          <w:bCs/>
          <w:color w:val="000000"/>
          <w:szCs w:val="21"/>
        </w:rPr>
        <w:t xml:space="preserve">   </w:t>
      </w:r>
      <w:bookmarkStart w:id="398" w:name="_Toc351203482"/>
      <w:r>
        <w:rPr>
          <w:rFonts w:hint="eastAsia" w:ascii="宋体" w:hAnsi="宋体"/>
          <w:bCs/>
          <w:color w:val="000000"/>
          <w:szCs w:val="21"/>
        </w:rPr>
        <w:t xml:space="preserve"> </w:t>
      </w:r>
      <w:r>
        <w:rPr>
          <w:rFonts w:ascii="宋体" w:hAnsi="宋体"/>
          <w:bCs/>
          <w:color w:val="000000"/>
          <w:szCs w:val="21"/>
        </w:rPr>
        <w:t>二、合同工期</w:t>
      </w:r>
      <w:bookmarkEnd w:id="398"/>
    </w:p>
    <w:p>
      <w:pPr>
        <w:pStyle w:val="167"/>
        <w:spacing w:line="360" w:lineRule="auto"/>
        <w:ind w:firstLine="459"/>
        <w:rPr>
          <w:rFonts w:ascii="宋体" w:hAnsi="宋体"/>
          <w:color w:val="000000"/>
          <w:szCs w:val="21"/>
        </w:rPr>
      </w:pPr>
      <w:r>
        <w:rPr>
          <w:rFonts w:ascii="宋体" w:hAnsi="宋体"/>
          <w:color w:val="000000"/>
          <w:szCs w:val="21"/>
        </w:rPr>
        <w:t>计划开工日期：</w:t>
      </w:r>
      <w:r>
        <w:rPr>
          <w:rFonts w:ascii="宋体" w:hAnsi="宋体"/>
          <w:color w:val="000000"/>
          <w:szCs w:val="21"/>
          <w:u w:val="single"/>
        </w:rPr>
        <w:t xml:space="preserve">          </w:t>
      </w:r>
      <w:r>
        <w:rPr>
          <w:rFonts w:ascii="宋体" w:hAnsi="宋体"/>
          <w:color w:val="000000"/>
          <w:szCs w:val="21"/>
        </w:rPr>
        <w:t>年</w:t>
      </w:r>
      <w:r>
        <w:rPr>
          <w:rFonts w:ascii="宋体" w:hAnsi="宋体"/>
          <w:color w:val="000000"/>
          <w:szCs w:val="21"/>
          <w:u w:val="single"/>
        </w:rPr>
        <w:t xml:space="preserve">      </w:t>
      </w:r>
      <w:r>
        <w:rPr>
          <w:rFonts w:ascii="宋体" w:hAnsi="宋体"/>
          <w:color w:val="000000"/>
          <w:szCs w:val="21"/>
        </w:rPr>
        <w:t>月</w:t>
      </w:r>
      <w:r>
        <w:rPr>
          <w:rFonts w:ascii="宋体" w:hAnsi="宋体"/>
          <w:color w:val="000000"/>
          <w:szCs w:val="21"/>
          <w:u w:val="single"/>
        </w:rPr>
        <w:t xml:space="preserve">      </w:t>
      </w:r>
      <w:r>
        <w:rPr>
          <w:rFonts w:ascii="宋体" w:hAnsi="宋体"/>
          <w:color w:val="000000"/>
          <w:szCs w:val="21"/>
        </w:rPr>
        <w:t>日。</w:t>
      </w:r>
    </w:p>
    <w:p>
      <w:pPr>
        <w:pStyle w:val="167"/>
        <w:spacing w:line="360" w:lineRule="auto"/>
        <w:ind w:firstLine="459"/>
        <w:rPr>
          <w:rFonts w:ascii="宋体" w:hAnsi="宋体"/>
          <w:color w:val="000000"/>
          <w:szCs w:val="21"/>
        </w:rPr>
      </w:pPr>
      <w:r>
        <w:rPr>
          <w:rFonts w:ascii="宋体" w:hAnsi="宋体"/>
          <w:color w:val="000000"/>
          <w:szCs w:val="21"/>
        </w:rPr>
        <w:t>计划竣工日期：</w:t>
      </w:r>
      <w:r>
        <w:rPr>
          <w:rFonts w:ascii="宋体" w:hAnsi="宋体"/>
          <w:color w:val="000000"/>
          <w:szCs w:val="21"/>
          <w:u w:val="single"/>
        </w:rPr>
        <w:t xml:space="preserve">          </w:t>
      </w:r>
      <w:r>
        <w:rPr>
          <w:rFonts w:ascii="宋体" w:hAnsi="宋体"/>
          <w:color w:val="000000"/>
          <w:szCs w:val="21"/>
        </w:rPr>
        <w:t>年</w:t>
      </w:r>
      <w:r>
        <w:rPr>
          <w:rFonts w:ascii="宋体" w:hAnsi="宋体"/>
          <w:color w:val="000000"/>
          <w:szCs w:val="21"/>
          <w:u w:val="single"/>
        </w:rPr>
        <w:t xml:space="preserve">      </w:t>
      </w:r>
      <w:r>
        <w:rPr>
          <w:rFonts w:ascii="宋体" w:hAnsi="宋体"/>
          <w:color w:val="000000"/>
          <w:szCs w:val="21"/>
        </w:rPr>
        <w:t>月</w:t>
      </w:r>
      <w:r>
        <w:rPr>
          <w:rFonts w:ascii="宋体" w:hAnsi="宋体"/>
          <w:color w:val="000000"/>
          <w:szCs w:val="21"/>
          <w:u w:val="single"/>
        </w:rPr>
        <w:t xml:space="preserve">      </w:t>
      </w:r>
      <w:r>
        <w:rPr>
          <w:rFonts w:ascii="宋体" w:hAnsi="宋体"/>
          <w:color w:val="000000"/>
          <w:szCs w:val="21"/>
        </w:rPr>
        <w:t>日。</w:t>
      </w:r>
    </w:p>
    <w:p>
      <w:pPr>
        <w:pStyle w:val="167"/>
        <w:spacing w:line="360" w:lineRule="auto"/>
        <w:ind w:firstLine="459"/>
        <w:rPr>
          <w:rFonts w:ascii="宋体" w:hAnsi="宋体"/>
          <w:color w:val="000000"/>
          <w:szCs w:val="21"/>
        </w:rPr>
      </w:pPr>
      <w:r>
        <w:rPr>
          <w:rFonts w:ascii="宋体" w:hAnsi="宋体"/>
          <w:color w:val="000000"/>
          <w:szCs w:val="21"/>
        </w:rPr>
        <w:t>工期总日历天数：</w:t>
      </w:r>
      <w:r>
        <w:rPr>
          <w:rFonts w:ascii="宋体" w:hAnsi="宋体"/>
          <w:color w:val="000000"/>
          <w:szCs w:val="21"/>
          <w:u w:val="single"/>
        </w:rPr>
        <w:t xml:space="preserve">          </w:t>
      </w:r>
      <w:r>
        <w:rPr>
          <w:rFonts w:ascii="宋体" w:hAnsi="宋体"/>
          <w:color w:val="000000"/>
          <w:szCs w:val="21"/>
        </w:rPr>
        <w:t>天。工期总日历天数与根据前述计划开竣工日期计算的工期天数不一致的，以工期总日历天数为准。</w:t>
      </w:r>
    </w:p>
    <w:p>
      <w:pPr>
        <w:pStyle w:val="167"/>
        <w:keepNext/>
        <w:keepLines/>
        <w:spacing w:before="120" w:after="120" w:line="360" w:lineRule="auto"/>
        <w:outlineLvl w:val="3"/>
        <w:rPr>
          <w:rFonts w:ascii="宋体" w:hAnsi="宋体"/>
          <w:b/>
          <w:color w:val="000000"/>
          <w:szCs w:val="21"/>
        </w:rPr>
      </w:pPr>
      <w:r>
        <w:rPr>
          <w:rFonts w:ascii="宋体" w:hAnsi="宋体"/>
          <w:b/>
          <w:color w:val="000000"/>
          <w:szCs w:val="21"/>
        </w:rPr>
        <w:t xml:space="preserve">    </w:t>
      </w:r>
      <w:bookmarkStart w:id="399" w:name="_Toc351203483"/>
      <w:r>
        <w:rPr>
          <w:rFonts w:ascii="宋体" w:hAnsi="宋体"/>
          <w:bCs/>
          <w:color w:val="000000"/>
          <w:szCs w:val="21"/>
        </w:rPr>
        <w:t>三、质量标准</w:t>
      </w:r>
      <w:bookmarkEnd w:id="399"/>
    </w:p>
    <w:p>
      <w:pPr>
        <w:pStyle w:val="167"/>
        <w:spacing w:line="360" w:lineRule="auto"/>
        <w:ind w:firstLine="459"/>
        <w:rPr>
          <w:rFonts w:ascii="宋体" w:hAnsi="宋体"/>
          <w:color w:val="000000"/>
          <w:szCs w:val="21"/>
        </w:rPr>
      </w:pPr>
      <w:r>
        <w:rPr>
          <w:rFonts w:ascii="宋体" w:hAnsi="宋体"/>
          <w:color w:val="000000"/>
          <w:szCs w:val="21"/>
        </w:rPr>
        <w:t>工程质量符合</w:t>
      </w:r>
      <w:r>
        <w:rPr>
          <w:rFonts w:ascii="宋体" w:hAnsi="宋体"/>
          <w:color w:val="000000"/>
          <w:szCs w:val="21"/>
          <w:u w:val="single"/>
        </w:rPr>
        <w:t xml:space="preserve">                                  </w:t>
      </w:r>
      <w:r>
        <w:rPr>
          <w:rFonts w:ascii="宋体" w:hAnsi="宋体"/>
          <w:color w:val="000000"/>
          <w:szCs w:val="21"/>
        </w:rPr>
        <w:t>标准。</w:t>
      </w:r>
    </w:p>
    <w:p>
      <w:pPr>
        <w:pStyle w:val="167"/>
        <w:keepNext/>
        <w:keepLines/>
        <w:spacing w:before="120" w:after="120" w:line="360" w:lineRule="auto"/>
        <w:outlineLvl w:val="3"/>
        <w:rPr>
          <w:rFonts w:ascii="宋体" w:hAnsi="宋体"/>
          <w:b/>
          <w:color w:val="000000"/>
          <w:szCs w:val="21"/>
        </w:rPr>
      </w:pPr>
      <w:r>
        <w:rPr>
          <w:rFonts w:ascii="宋体" w:hAnsi="宋体"/>
          <w:b/>
          <w:color w:val="000000"/>
          <w:szCs w:val="21"/>
        </w:rPr>
        <w:t xml:space="preserve">   </w:t>
      </w:r>
      <w:r>
        <w:rPr>
          <w:rFonts w:ascii="宋体" w:hAnsi="宋体"/>
          <w:bCs/>
          <w:color w:val="000000"/>
          <w:szCs w:val="21"/>
        </w:rPr>
        <w:t xml:space="preserve"> </w:t>
      </w:r>
      <w:bookmarkStart w:id="400" w:name="_Toc351203484"/>
      <w:r>
        <w:rPr>
          <w:rFonts w:ascii="宋体" w:hAnsi="宋体"/>
          <w:bCs/>
          <w:color w:val="000000"/>
          <w:szCs w:val="21"/>
        </w:rPr>
        <w:t>四、签约合同价与合同价格形式</w:t>
      </w:r>
      <w:bookmarkEnd w:id="400"/>
      <w:r>
        <w:rPr>
          <w:rFonts w:ascii="宋体" w:hAnsi="宋体"/>
          <w:bCs/>
          <w:color w:val="000000"/>
          <w:szCs w:val="21"/>
        </w:rPr>
        <w:tab/>
      </w:r>
    </w:p>
    <w:p>
      <w:pPr>
        <w:pStyle w:val="167"/>
        <w:spacing w:line="360" w:lineRule="auto"/>
        <w:ind w:firstLine="420" w:firstLineChars="200"/>
        <w:rPr>
          <w:rFonts w:ascii="宋体" w:hAnsi="宋体"/>
          <w:color w:val="000000"/>
          <w:szCs w:val="21"/>
        </w:rPr>
      </w:pPr>
      <w:r>
        <w:rPr>
          <w:rFonts w:ascii="宋体" w:hAnsi="宋体"/>
          <w:color w:val="000000"/>
          <w:szCs w:val="21"/>
        </w:rPr>
        <w:t>1.签约合同价为：</w:t>
      </w:r>
    </w:p>
    <w:p>
      <w:pPr>
        <w:pStyle w:val="167"/>
        <w:spacing w:line="360" w:lineRule="auto"/>
        <w:ind w:firstLine="525" w:firstLineChars="250"/>
        <w:rPr>
          <w:rFonts w:ascii="宋体" w:hAnsi="宋体"/>
          <w:color w:val="000000"/>
          <w:szCs w:val="21"/>
        </w:rPr>
      </w:pPr>
      <w:r>
        <w:rPr>
          <w:rFonts w:ascii="宋体" w:hAnsi="宋体"/>
          <w:color w:val="000000"/>
          <w:szCs w:val="21"/>
        </w:rPr>
        <w:t>人民币（大写）</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元)；</w:t>
      </w:r>
    </w:p>
    <w:p>
      <w:pPr>
        <w:pStyle w:val="167"/>
        <w:spacing w:line="360" w:lineRule="auto"/>
        <w:ind w:firstLine="420" w:firstLineChars="200"/>
        <w:rPr>
          <w:rFonts w:ascii="宋体" w:hAnsi="宋体"/>
          <w:color w:val="000000"/>
          <w:szCs w:val="21"/>
        </w:rPr>
      </w:pPr>
      <w:r>
        <w:rPr>
          <w:rFonts w:ascii="宋体" w:hAnsi="宋体"/>
          <w:color w:val="000000"/>
          <w:szCs w:val="21"/>
        </w:rPr>
        <w:t>其中：</w:t>
      </w:r>
    </w:p>
    <w:p>
      <w:pPr>
        <w:pStyle w:val="167"/>
        <w:spacing w:line="360" w:lineRule="auto"/>
        <w:ind w:firstLine="420" w:firstLineChars="200"/>
        <w:rPr>
          <w:rFonts w:ascii="宋体" w:hAnsi="宋体"/>
          <w:color w:val="000000"/>
          <w:szCs w:val="21"/>
        </w:rPr>
      </w:pPr>
      <w:r>
        <w:rPr>
          <w:rFonts w:ascii="宋体" w:hAnsi="宋体"/>
          <w:color w:val="000000"/>
          <w:szCs w:val="21"/>
        </w:rPr>
        <w:t>（1）安全文明施工费：</w:t>
      </w:r>
    </w:p>
    <w:p>
      <w:pPr>
        <w:pStyle w:val="167"/>
        <w:spacing w:line="360" w:lineRule="auto"/>
        <w:ind w:firstLine="945" w:firstLineChars="450"/>
        <w:rPr>
          <w:rFonts w:ascii="宋体" w:hAnsi="宋体"/>
          <w:color w:val="000000"/>
          <w:szCs w:val="21"/>
        </w:rPr>
      </w:pPr>
      <w:r>
        <w:rPr>
          <w:rFonts w:ascii="宋体" w:hAnsi="宋体"/>
          <w:color w:val="000000"/>
          <w:szCs w:val="21"/>
        </w:rPr>
        <w:t>人民币（大写）</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rPr>
        <w:t>元)；</w:t>
      </w:r>
    </w:p>
    <w:p>
      <w:pPr>
        <w:pStyle w:val="167"/>
        <w:spacing w:line="360" w:lineRule="auto"/>
        <w:ind w:firstLine="420" w:firstLineChars="200"/>
        <w:rPr>
          <w:rFonts w:ascii="宋体" w:hAnsi="宋体"/>
          <w:color w:val="000000"/>
          <w:szCs w:val="21"/>
        </w:rPr>
      </w:pPr>
      <w:r>
        <w:rPr>
          <w:rFonts w:ascii="宋体" w:hAnsi="宋体"/>
          <w:color w:val="000000"/>
          <w:szCs w:val="21"/>
        </w:rPr>
        <w:t>（2）材料和工程设备暂估价金额：</w:t>
      </w:r>
    </w:p>
    <w:p>
      <w:pPr>
        <w:pStyle w:val="167"/>
        <w:spacing w:line="360" w:lineRule="auto"/>
        <w:ind w:firstLine="945" w:firstLineChars="450"/>
        <w:rPr>
          <w:rFonts w:ascii="宋体" w:hAnsi="宋体"/>
          <w:color w:val="000000"/>
          <w:szCs w:val="21"/>
        </w:rPr>
      </w:pPr>
      <w:r>
        <w:rPr>
          <w:rFonts w:ascii="宋体" w:hAnsi="宋体"/>
          <w:color w:val="000000"/>
          <w:szCs w:val="21"/>
        </w:rPr>
        <w:t>人民币（大写）</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元)；</w:t>
      </w:r>
    </w:p>
    <w:p>
      <w:pPr>
        <w:pStyle w:val="167"/>
        <w:spacing w:line="360" w:lineRule="auto"/>
        <w:ind w:firstLine="420" w:firstLineChars="200"/>
        <w:rPr>
          <w:rFonts w:ascii="宋体" w:hAnsi="宋体"/>
          <w:color w:val="000000"/>
          <w:szCs w:val="21"/>
        </w:rPr>
      </w:pPr>
      <w:r>
        <w:rPr>
          <w:rFonts w:ascii="宋体" w:hAnsi="宋体"/>
          <w:color w:val="000000"/>
          <w:szCs w:val="21"/>
        </w:rPr>
        <w:t>（3）专业工程暂估价金额：</w:t>
      </w:r>
    </w:p>
    <w:p>
      <w:pPr>
        <w:pStyle w:val="167"/>
        <w:spacing w:line="360" w:lineRule="auto"/>
        <w:ind w:firstLine="945" w:firstLineChars="450"/>
        <w:rPr>
          <w:rFonts w:ascii="宋体" w:hAnsi="宋体"/>
          <w:color w:val="000000"/>
          <w:szCs w:val="21"/>
        </w:rPr>
      </w:pPr>
      <w:r>
        <w:rPr>
          <w:rFonts w:ascii="宋体" w:hAnsi="宋体"/>
          <w:color w:val="000000"/>
          <w:szCs w:val="21"/>
        </w:rPr>
        <w:t>人民币（大写）</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元)；</w:t>
      </w:r>
    </w:p>
    <w:p>
      <w:pPr>
        <w:pStyle w:val="167"/>
        <w:spacing w:line="360" w:lineRule="auto"/>
        <w:ind w:firstLine="420" w:firstLineChars="200"/>
        <w:rPr>
          <w:rFonts w:ascii="宋体" w:hAnsi="宋体"/>
          <w:color w:val="000000"/>
          <w:szCs w:val="21"/>
        </w:rPr>
      </w:pPr>
      <w:r>
        <w:rPr>
          <w:rFonts w:ascii="宋体" w:hAnsi="宋体"/>
          <w:color w:val="000000"/>
          <w:szCs w:val="21"/>
        </w:rPr>
        <w:t>（4）暂列金额：</w:t>
      </w:r>
    </w:p>
    <w:p>
      <w:pPr>
        <w:pStyle w:val="167"/>
        <w:spacing w:line="360" w:lineRule="auto"/>
        <w:ind w:firstLine="945" w:firstLineChars="450"/>
        <w:rPr>
          <w:rFonts w:ascii="宋体" w:hAnsi="宋体"/>
          <w:color w:val="000000"/>
          <w:szCs w:val="21"/>
        </w:rPr>
      </w:pPr>
      <w:r>
        <w:rPr>
          <w:rFonts w:ascii="宋体" w:hAnsi="宋体"/>
          <w:color w:val="000000"/>
          <w:szCs w:val="21"/>
        </w:rPr>
        <w:t>人民币（大写）</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元)。</w:t>
      </w:r>
    </w:p>
    <w:p>
      <w:pPr>
        <w:pStyle w:val="167"/>
        <w:spacing w:line="360" w:lineRule="auto"/>
        <w:ind w:firstLine="420" w:firstLineChars="200"/>
        <w:rPr>
          <w:rFonts w:ascii="宋体" w:hAnsi="宋体"/>
          <w:color w:val="000000"/>
          <w:szCs w:val="21"/>
        </w:rPr>
      </w:pPr>
      <w:r>
        <w:rPr>
          <w:rFonts w:ascii="宋体" w:hAnsi="宋体"/>
          <w:color w:val="000000"/>
          <w:szCs w:val="21"/>
        </w:rPr>
        <w:t>2.合同价格形式：</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keepNext/>
        <w:keepLines/>
        <w:spacing w:before="120" w:after="120" w:line="360" w:lineRule="auto"/>
        <w:outlineLvl w:val="3"/>
        <w:rPr>
          <w:rFonts w:ascii="宋体" w:hAnsi="宋体"/>
          <w:bCs/>
          <w:color w:val="000000"/>
          <w:szCs w:val="21"/>
        </w:rPr>
      </w:pPr>
      <w:r>
        <w:rPr>
          <w:rFonts w:ascii="宋体" w:hAnsi="宋体"/>
          <w:b/>
          <w:color w:val="000000"/>
          <w:szCs w:val="21"/>
        </w:rPr>
        <w:t xml:space="preserve">   </w:t>
      </w:r>
      <w:r>
        <w:rPr>
          <w:rFonts w:ascii="宋体" w:hAnsi="宋体"/>
          <w:bCs/>
          <w:color w:val="000000"/>
          <w:szCs w:val="21"/>
        </w:rPr>
        <w:t xml:space="preserve"> </w:t>
      </w:r>
      <w:bookmarkStart w:id="401" w:name="_Toc351203485"/>
      <w:r>
        <w:rPr>
          <w:rFonts w:ascii="宋体" w:hAnsi="宋体"/>
          <w:bCs/>
          <w:color w:val="000000"/>
          <w:szCs w:val="21"/>
        </w:rPr>
        <w:t>五、</w:t>
      </w:r>
      <w:bookmarkEnd w:id="401"/>
      <w:r>
        <w:rPr>
          <w:rFonts w:ascii="宋体" w:hAnsi="宋体"/>
          <w:bCs/>
          <w:color w:val="000000"/>
          <w:szCs w:val="21"/>
        </w:rPr>
        <w:t>项目经理</w:t>
      </w:r>
    </w:p>
    <w:p>
      <w:pPr>
        <w:pStyle w:val="167"/>
        <w:spacing w:line="360" w:lineRule="auto"/>
        <w:ind w:firstLine="420" w:firstLineChars="200"/>
        <w:rPr>
          <w:rFonts w:ascii="宋体" w:hAnsi="宋体"/>
          <w:color w:val="000000"/>
          <w:szCs w:val="21"/>
        </w:rPr>
      </w:pPr>
      <w:r>
        <w:rPr>
          <w:rFonts w:ascii="宋体" w:hAnsi="宋体"/>
          <w:color w:val="000000"/>
          <w:szCs w:val="21"/>
        </w:rPr>
        <w:t>承包人项目经理：</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keepNext/>
        <w:keepLines/>
        <w:spacing w:before="120" w:after="120" w:line="360" w:lineRule="auto"/>
        <w:outlineLvl w:val="3"/>
        <w:rPr>
          <w:rFonts w:ascii="宋体" w:hAnsi="宋体"/>
          <w:b/>
          <w:color w:val="000000"/>
          <w:szCs w:val="21"/>
        </w:rPr>
      </w:pPr>
      <w:r>
        <w:rPr>
          <w:rFonts w:ascii="宋体" w:hAnsi="宋体"/>
          <w:b/>
          <w:color w:val="000000"/>
          <w:szCs w:val="21"/>
        </w:rPr>
        <w:t xml:space="preserve">   </w:t>
      </w:r>
      <w:r>
        <w:rPr>
          <w:rFonts w:ascii="宋体" w:hAnsi="宋体"/>
          <w:bCs/>
          <w:color w:val="000000"/>
          <w:szCs w:val="21"/>
        </w:rPr>
        <w:t xml:space="preserve"> </w:t>
      </w:r>
      <w:bookmarkStart w:id="402" w:name="_Toc351203486"/>
      <w:r>
        <w:rPr>
          <w:rFonts w:ascii="宋体" w:hAnsi="宋体"/>
          <w:bCs/>
          <w:color w:val="000000"/>
          <w:szCs w:val="21"/>
        </w:rPr>
        <w:t>六、合同文件构成</w:t>
      </w:r>
      <w:bookmarkEnd w:id="402"/>
    </w:p>
    <w:p>
      <w:pPr>
        <w:pStyle w:val="167"/>
        <w:spacing w:line="360" w:lineRule="auto"/>
        <w:ind w:firstLine="420" w:firstLineChars="200"/>
        <w:rPr>
          <w:rFonts w:ascii="宋体" w:hAnsi="宋体"/>
          <w:bCs/>
          <w:color w:val="000000"/>
          <w:szCs w:val="21"/>
        </w:rPr>
      </w:pPr>
      <w:r>
        <w:rPr>
          <w:rFonts w:ascii="宋体" w:hAnsi="宋体"/>
          <w:bCs/>
          <w:color w:val="000000"/>
          <w:szCs w:val="21"/>
        </w:rPr>
        <w:t>本协议书与下列文件一起构成合同文件：</w:t>
      </w:r>
    </w:p>
    <w:p>
      <w:pPr>
        <w:pStyle w:val="167"/>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szCs w:val="21"/>
        </w:rPr>
        <w:t>（1）中标通知书（如果有）；</w:t>
      </w:r>
    </w:p>
    <w:p>
      <w:pPr>
        <w:pStyle w:val="167"/>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szCs w:val="21"/>
        </w:rPr>
        <w:t xml:space="preserve">（2）投标函及其附录（如果有）； </w:t>
      </w:r>
    </w:p>
    <w:p>
      <w:pPr>
        <w:pStyle w:val="167"/>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szCs w:val="21"/>
        </w:rPr>
        <w:t>（3）专用合同条款及其附件；</w:t>
      </w:r>
    </w:p>
    <w:p>
      <w:pPr>
        <w:pStyle w:val="167"/>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szCs w:val="21"/>
        </w:rPr>
        <w:t>（4）通用合同条款；</w:t>
      </w:r>
    </w:p>
    <w:p>
      <w:pPr>
        <w:pStyle w:val="167"/>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szCs w:val="21"/>
        </w:rPr>
        <w:t>（5）技术标准和要求；</w:t>
      </w:r>
    </w:p>
    <w:p>
      <w:pPr>
        <w:pStyle w:val="167"/>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szCs w:val="21"/>
        </w:rPr>
        <w:t>（6）图纸；</w:t>
      </w:r>
    </w:p>
    <w:p>
      <w:pPr>
        <w:pStyle w:val="167"/>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szCs w:val="21"/>
        </w:rPr>
        <w:t>（7）已标价工程量清单或预算书；</w:t>
      </w:r>
    </w:p>
    <w:p>
      <w:pPr>
        <w:pStyle w:val="167"/>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szCs w:val="21"/>
        </w:rPr>
        <w:t>（8）</w:t>
      </w:r>
      <w:r>
        <w:rPr>
          <w:rFonts w:hint="eastAsia" w:ascii="宋体" w:hAnsi="宋体"/>
          <w:color w:val="000000"/>
          <w:szCs w:val="21"/>
        </w:rPr>
        <w:t>招标文件和中标单位投标文件；</w:t>
      </w:r>
    </w:p>
    <w:p>
      <w:pPr>
        <w:pStyle w:val="167"/>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szCs w:val="21"/>
        </w:rPr>
        <w:t>（</w:t>
      </w:r>
      <w:r>
        <w:rPr>
          <w:rFonts w:hint="eastAsia" w:ascii="宋体" w:hAnsi="宋体"/>
          <w:color w:val="000000"/>
          <w:szCs w:val="21"/>
        </w:rPr>
        <w:t>9</w:t>
      </w:r>
      <w:r>
        <w:rPr>
          <w:rFonts w:ascii="宋体" w:hAnsi="宋体"/>
          <w:color w:val="000000"/>
          <w:szCs w:val="21"/>
        </w:rPr>
        <w:t>）其他合同文件。</w:t>
      </w:r>
    </w:p>
    <w:p>
      <w:pPr>
        <w:pStyle w:val="167"/>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szCs w:val="21"/>
        </w:rPr>
        <w:t>在合同订立及履行过程中形成的与合同有关的文件均构成合同文件组成部分。</w:t>
      </w:r>
    </w:p>
    <w:p>
      <w:pPr>
        <w:pStyle w:val="167"/>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szCs w:val="21"/>
        </w:rPr>
        <w:t>上述各项合同文件包括合同当事人就该项合同文件所作出的补充和修改，属于同一类内容的文件，应以最新签署的为准。</w:t>
      </w:r>
      <w:r>
        <w:rPr>
          <w:rFonts w:hint="eastAsia" w:ascii="宋体" w:hAnsi="宋体"/>
          <w:color w:val="000000"/>
          <w:szCs w:val="21"/>
        </w:rPr>
        <w:t>专用合同条款及其附件须经合同当事人签字或盖章。</w:t>
      </w:r>
    </w:p>
    <w:p>
      <w:pPr>
        <w:pStyle w:val="167"/>
        <w:keepNext/>
        <w:keepLines/>
        <w:spacing w:before="120" w:after="120" w:line="360" w:lineRule="auto"/>
        <w:outlineLvl w:val="3"/>
        <w:rPr>
          <w:rFonts w:ascii="宋体" w:hAnsi="宋体"/>
          <w:color w:val="000000"/>
          <w:szCs w:val="21"/>
        </w:rPr>
      </w:pPr>
      <w:r>
        <w:rPr>
          <w:rFonts w:ascii="宋体" w:hAnsi="宋体"/>
          <w:color w:val="000000"/>
          <w:szCs w:val="21"/>
        </w:rPr>
        <w:t xml:space="preserve">   </w:t>
      </w:r>
      <w:r>
        <w:rPr>
          <w:rFonts w:ascii="宋体" w:hAnsi="宋体"/>
          <w:bCs/>
          <w:color w:val="000000"/>
          <w:szCs w:val="21"/>
        </w:rPr>
        <w:t xml:space="preserve"> </w:t>
      </w:r>
      <w:bookmarkStart w:id="403" w:name="_Toc351203487"/>
      <w:r>
        <w:rPr>
          <w:rFonts w:ascii="宋体" w:hAnsi="宋体"/>
          <w:bCs/>
          <w:color w:val="000000"/>
          <w:szCs w:val="21"/>
        </w:rPr>
        <w:t>七、承诺</w:t>
      </w:r>
      <w:bookmarkEnd w:id="403"/>
    </w:p>
    <w:p>
      <w:pPr>
        <w:pStyle w:val="167"/>
        <w:spacing w:line="360" w:lineRule="auto"/>
        <w:ind w:firstLine="420" w:firstLineChars="200"/>
        <w:rPr>
          <w:rFonts w:ascii="宋体" w:hAnsi="宋体"/>
          <w:bCs/>
          <w:color w:val="000000"/>
          <w:szCs w:val="21"/>
        </w:rPr>
      </w:pPr>
      <w:r>
        <w:rPr>
          <w:rFonts w:ascii="宋体" w:hAnsi="宋体"/>
          <w:bCs/>
          <w:color w:val="000000"/>
          <w:szCs w:val="21"/>
        </w:rPr>
        <w:t>1.发包人承诺按照法律规定履行项目审批手续、筹集工程建设资金并按照合同约定的期限和方式支付合同价款。</w:t>
      </w:r>
    </w:p>
    <w:p>
      <w:pPr>
        <w:pStyle w:val="167"/>
        <w:spacing w:line="360" w:lineRule="auto"/>
        <w:ind w:firstLine="420" w:firstLineChars="200"/>
        <w:rPr>
          <w:rFonts w:ascii="宋体" w:hAnsi="宋体"/>
          <w:bCs/>
          <w:color w:val="000000"/>
          <w:szCs w:val="21"/>
        </w:rPr>
      </w:pPr>
      <w:r>
        <w:rPr>
          <w:rFonts w:ascii="宋体" w:hAnsi="宋体"/>
          <w:bCs/>
          <w:color w:val="000000"/>
          <w:szCs w:val="21"/>
        </w:rPr>
        <w:t>2.承包人承诺按照法律规定及合同约定组织完成工程施工，确保工程质量和安全，不进行转包及违法分包，并在缺陷责任期及保修期内承担相应的工程维修责任。</w:t>
      </w:r>
    </w:p>
    <w:p>
      <w:pPr>
        <w:pStyle w:val="167"/>
        <w:spacing w:line="360" w:lineRule="auto"/>
        <w:ind w:firstLine="420" w:firstLineChars="200"/>
        <w:rPr>
          <w:rFonts w:ascii="宋体" w:hAnsi="宋体"/>
          <w:bCs/>
          <w:color w:val="000000"/>
          <w:szCs w:val="21"/>
        </w:rPr>
      </w:pPr>
      <w:r>
        <w:rPr>
          <w:rFonts w:ascii="宋体" w:hAnsi="宋体"/>
          <w:bCs/>
          <w:color w:val="000000"/>
          <w:szCs w:val="21"/>
        </w:rPr>
        <w:t>3.发包人和承包人通过招投标形式签订合同的，双方理解并</w:t>
      </w:r>
      <w:r>
        <w:rPr>
          <w:rFonts w:hint="eastAsia" w:ascii="宋体" w:hAnsi="宋体"/>
          <w:bCs/>
          <w:color w:val="000000"/>
          <w:szCs w:val="21"/>
        </w:rPr>
        <w:t>承诺</w:t>
      </w:r>
      <w:r>
        <w:rPr>
          <w:rFonts w:ascii="宋体" w:hAnsi="宋体"/>
          <w:bCs/>
          <w:color w:val="000000"/>
          <w:szCs w:val="21"/>
        </w:rPr>
        <w:t>不再就同一工程另行签订与合同实质性内容相背离的协议。</w:t>
      </w:r>
    </w:p>
    <w:p>
      <w:pPr>
        <w:pStyle w:val="167"/>
        <w:spacing w:line="360" w:lineRule="auto"/>
        <w:rPr>
          <w:rFonts w:ascii="宋体" w:hAnsi="宋体"/>
          <w:bCs/>
          <w:color w:val="000000"/>
          <w:szCs w:val="21"/>
        </w:rPr>
      </w:pPr>
      <w:bookmarkStart w:id="404" w:name="_Toc351203488"/>
      <w:r>
        <w:rPr>
          <w:rFonts w:hint="eastAsia" w:ascii="宋体" w:hAnsi="宋体"/>
          <w:b/>
          <w:color w:val="000000"/>
          <w:szCs w:val="21"/>
        </w:rPr>
        <w:t xml:space="preserve">    </w:t>
      </w:r>
      <w:r>
        <w:rPr>
          <w:rFonts w:ascii="宋体" w:hAnsi="宋体"/>
          <w:b/>
          <w:color w:val="000000"/>
          <w:szCs w:val="21"/>
        </w:rPr>
        <w:t>八、词语含义</w:t>
      </w:r>
      <w:bookmarkEnd w:id="404"/>
    </w:p>
    <w:p>
      <w:pPr>
        <w:pStyle w:val="167"/>
        <w:spacing w:line="360" w:lineRule="auto"/>
        <w:ind w:firstLine="420" w:firstLineChars="200"/>
        <w:rPr>
          <w:rFonts w:ascii="宋体" w:hAnsi="宋体"/>
          <w:bCs/>
          <w:color w:val="000000"/>
          <w:szCs w:val="21"/>
        </w:rPr>
      </w:pPr>
      <w:r>
        <w:rPr>
          <w:rFonts w:ascii="宋体" w:hAnsi="宋体"/>
          <w:bCs/>
          <w:color w:val="000000"/>
          <w:szCs w:val="21"/>
        </w:rPr>
        <w:t>本协议书中词语含义与第二部分通用合同条款中赋予的含义相同。</w:t>
      </w:r>
    </w:p>
    <w:p>
      <w:pPr>
        <w:pStyle w:val="167"/>
        <w:keepNext/>
        <w:keepLines/>
        <w:spacing w:before="120" w:after="120" w:line="360" w:lineRule="auto"/>
        <w:outlineLvl w:val="3"/>
        <w:rPr>
          <w:rFonts w:ascii="宋体" w:hAnsi="宋体"/>
          <w:b/>
          <w:color w:val="000000"/>
          <w:szCs w:val="21"/>
        </w:rPr>
      </w:pPr>
      <w:r>
        <w:rPr>
          <w:rFonts w:ascii="宋体" w:hAnsi="宋体"/>
          <w:b/>
          <w:color w:val="000000"/>
          <w:szCs w:val="21"/>
        </w:rPr>
        <w:t xml:space="preserve">  </w:t>
      </w:r>
      <w:r>
        <w:rPr>
          <w:rFonts w:ascii="宋体" w:hAnsi="宋体"/>
          <w:bCs/>
          <w:color w:val="000000"/>
          <w:szCs w:val="21"/>
        </w:rPr>
        <w:t xml:space="preserve">  </w:t>
      </w:r>
      <w:bookmarkStart w:id="405" w:name="_Toc351203489"/>
      <w:r>
        <w:rPr>
          <w:rFonts w:ascii="宋体" w:hAnsi="宋体"/>
          <w:bCs/>
          <w:color w:val="000000"/>
          <w:szCs w:val="21"/>
        </w:rPr>
        <w:t>九、签订时间</w:t>
      </w:r>
      <w:bookmarkEnd w:id="405"/>
    </w:p>
    <w:p>
      <w:pPr>
        <w:pStyle w:val="167"/>
        <w:spacing w:line="360" w:lineRule="auto"/>
        <w:ind w:firstLine="420" w:firstLineChars="200"/>
        <w:rPr>
          <w:rFonts w:ascii="宋体" w:hAnsi="宋体"/>
          <w:bCs/>
          <w:color w:val="000000"/>
          <w:szCs w:val="21"/>
        </w:rPr>
      </w:pPr>
      <w:r>
        <w:rPr>
          <w:rFonts w:ascii="宋体" w:hAnsi="宋体"/>
          <w:bCs/>
          <w:color w:val="000000"/>
          <w:szCs w:val="21"/>
        </w:rPr>
        <w:t>本合同于</w:t>
      </w:r>
      <w:r>
        <w:rPr>
          <w:rFonts w:ascii="宋体" w:hAnsi="宋体"/>
          <w:bCs/>
          <w:color w:val="000000"/>
          <w:szCs w:val="21"/>
          <w:u w:val="single"/>
        </w:rPr>
        <w:t xml:space="preserve">         </w:t>
      </w:r>
      <w:r>
        <w:rPr>
          <w:rFonts w:ascii="宋体" w:hAnsi="宋体"/>
          <w:bCs/>
          <w:color w:val="000000"/>
          <w:szCs w:val="21"/>
        </w:rPr>
        <w:t>年</w:t>
      </w:r>
      <w:r>
        <w:rPr>
          <w:rFonts w:ascii="宋体" w:hAnsi="宋体"/>
          <w:bCs/>
          <w:color w:val="000000"/>
          <w:szCs w:val="21"/>
          <w:u w:val="single"/>
        </w:rPr>
        <w:t xml:space="preserve">    </w:t>
      </w:r>
      <w:r>
        <w:rPr>
          <w:rFonts w:ascii="宋体" w:hAnsi="宋体"/>
          <w:bCs/>
          <w:color w:val="000000"/>
          <w:szCs w:val="21"/>
        </w:rPr>
        <w:t>月</w:t>
      </w:r>
      <w:r>
        <w:rPr>
          <w:rFonts w:ascii="宋体" w:hAnsi="宋体"/>
          <w:bCs/>
          <w:color w:val="000000"/>
          <w:szCs w:val="21"/>
          <w:u w:val="single"/>
        </w:rPr>
        <w:t xml:space="preserve">    </w:t>
      </w:r>
      <w:r>
        <w:rPr>
          <w:rFonts w:ascii="宋体" w:hAnsi="宋体"/>
          <w:bCs/>
          <w:color w:val="000000"/>
          <w:szCs w:val="21"/>
        </w:rPr>
        <w:t>日签订。</w:t>
      </w:r>
    </w:p>
    <w:p>
      <w:pPr>
        <w:pStyle w:val="167"/>
        <w:keepNext/>
        <w:keepLines/>
        <w:spacing w:before="120" w:after="120" w:line="360" w:lineRule="auto"/>
        <w:outlineLvl w:val="3"/>
        <w:rPr>
          <w:rFonts w:ascii="宋体" w:hAnsi="宋体"/>
          <w:b/>
          <w:color w:val="000000"/>
          <w:szCs w:val="21"/>
        </w:rPr>
      </w:pPr>
      <w:r>
        <w:rPr>
          <w:rFonts w:ascii="宋体" w:hAnsi="宋体"/>
          <w:b/>
          <w:color w:val="000000"/>
          <w:szCs w:val="21"/>
        </w:rPr>
        <w:t xml:space="preserve">    </w:t>
      </w:r>
      <w:bookmarkStart w:id="406" w:name="_Toc351203490"/>
      <w:r>
        <w:rPr>
          <w:rFonts w:ascii="宋体" w:hAnsi="宋体"/>
          <w:bCs/>
          <w:color w:val="000000"/>
          <w:szCs w:val="21"/>
        </w:rPr>
        <w:t>十、签订地点</w:t>
      </w:r>
      <w:bookmarkEnd w:id="406"/>
    </w:p>
    <w:p>
      <w:pPr>
        <w:pStyle w:val="167"/>
        <w:spacing w:line="360" w:lineRule="auto"/>
        <w:ind w:firstLine="420" w:firstLineChars="200"/>
        <w:rPr>
          <w:rFonts w:ascii="宋体" w:hAnsi="宋体"/>
          <w:bCs/>
          <w:color w:val="000000"/>
          <w:szCs w:val="21"/>
        </w:rPr>
      </w:pPr>
      <w:r>
        <w:rPr>
          <w:rFonts w:ascii="宋体" w:hAnsi="宋体"/>
          <w:bCs/>
          <w:color w:val="000000"/>
          <w:szCs w:val="21"/>
        </w:rPr>
        <w:t>本合同在</w:t>
      </w:r>
      <w:r>
        <w:rPr>
          <w:rFonts w:ascii="宋体" w:hAnsi="宋体"/>
          <w:bCs/>
          <w:color w:val="000000"/>
          <w:szCs w:val="21"/>
          <w:u w:val="single"/>
        </w:rPr>
        <w:t xml:space="preserve">                                    </w:t>
      </w:r>
      <w:r>
        <w:rPr>
          <w:rFonts w:ascii="宋体" w:hAnsi="宋体"/>
          <w:bCs/>
          <w:color w:val="000000"/>
          <w:szCs w:val="21"/>
        </w:rPr>
        <w:t>签订。</w:t>
      </w:r>
    </w:p>
    <w:p>
      <w:pPr>
        <w:pStyle w:val="167"/>
        <w:keepNext/>
        <w:keepLines/>
        <w:spacing w:before="120" w:after="120" w:line="360" w:lineRule="auto"/>
        <w:outlineLvl w:val="3"/>
        <w:rPr>
          <w:rFonts w:ascii="宋体" w:hAnsi="宋体"/>
          <w:b/>
          <w:color w:val="000000"/>
          <w:szCs w:val="21"/>
        </w:rPr>
      </w:pPr>
      <w:r>
        <w:rPr>
          <w:rFonts w:ascii="宋体" w:hAnsi="宋体"/>
          <w:b/>
          <w:color w:val="000000"/>
          <w:szCs w:val="21"/>
        </w:rPr>
        <w:t xml:space="preserve">    </w:t>
      </w:r>
      <w:bookmarkStart w:id="407" w:name="_Toc351203491"/>
      <w:r>
        <w:rPr>
          <w:rFonts w:ascii="宋体" w:hAnsi="宋体"/>
          <w:bCs/>
          <w:color w:val="000000"/>
          <w:szCs w:val="21"/>
        </w:rPr>
        <w:t>十一、补充协议</w:t>
      </w:r>
      <w:bookmarkEnd w:id="407"/>
    </w:p>
    <w:p>
      <w:pPr>
        <w:pStyle w:val="167"/>
        <w:spacing w:line="360" w:lineRule="auto"/>
        <w:ind w:firstLine="420" w:firstLineChars="200"/>
        <w:rPr>
          <w:rFonts w:ascii="宋体" w:hAnsi="宋体"/>
          <w:b/>
          <w:bCs/>
          <w:color w:val="000000"/>
          <w:szCs w:val="21"/>
        </w:rPr>
      </w:pPr>
      <w:r>
        <w:rPr>
          <w:rFonts w:ascii="宋体" w:hAnsi="宋体"/>
          <w:bCs/>
          <w:color w:val="000000"/>
          <w:szCs w:val="21"/>
        </w:rPr>
        <w:t>合同未尽事宜，合同当事人另行签订补充协议</w:t>
      </w:r>
      <w:r>
        <w:rPr>
          <w:rFonts w:hint="eastAsia" w:ascii="宋体" w:hAnsi="宋体"/>
          <w:bCs/>
          <w:color w:val="000000"/>
          <w:szCs w:val="21"/>
        </w:rPr>
        <w:t>，</w:t>
      </w:r>
      <w:r>
        <w:rPr>
          <w:rFonts w:ascii="宋体" w:hAnsi="宋体"/>
          <w:bCs/>
          <w:color w:val="000000"/>
          <w:szCs w:val="21"/>
        </w:rPr>
        <w:t>补充协议是合同的组成部分。</w:t>
      </w:r>
    </w:p>
    <w:p>
      <w:pPr>
        <w:pStyle w:val="167"/>
        <w:keepNext/>
        <w:keepLines/>
        <w:spacing w:before="120" w:after="120" w:line="360" w:lineRule="auto"/>
        <w:outlineLvl w:val="3"/>
        <w:rPr>
          <w:rFonts w:ascii="宋体" w:hAnsi="宋体"/>
          <w:b/>
          <w:color w:val="000000"/>
          <w:szCs w:val="21"/>
        </w:rPr>
      </w:pPr>
      <w:r>
        <w:rPr>
          <w:rFonts w:ascii="宋体" w:hAnsi="宋体"/>
          <w:b/>
          <w:color w:val="000000"/>
          <w:szCs w:val="21"/>
        </w:rPr>
        <w:t xml:space="preserve">    </w:t>
      </w:r>
      <w:bookmarkStart w:id="408" w:name="_Toc351203492"/>
      <w:r>
        <w:rPr>
          <w:rFonts w:ascii="宋体" w:hAnsi="宋体"/>
          <w:bCs/>
          <w:color w:val="000000"/>
          <w:szCs w:val="21"/>
        </w:rPr>
        <w:t>十二、合同生效</w:t>
      </w:r>
      <w:bookmarkEnd w:id="408"/>
    </w:p>
    <w:p>
      <w:pPr>
        <w:pStyle w:val="167"/>
        <w:spacing w:line="360" w:lineRule="auto"/>
        <w:ind w:firstLine="420" w:firstLineChars="200"/>
        <w:rPr>
          <w:rFonts w:ascii="宋体" w:hAnsi="宋体"/>
          <w:bCs/>
          <w:color w:val="000000"/>
          <w:szCs w:val="21"/>
        </w:rPr>
      </w:pPr>
      <w:r>
        <w:rPr>
          <w:rFonts w:ascii="宋体" w:hAnsi="宋体"/>
          <w:bCs/>
          <w:color w:val="000000"/>
          <w:szCs w:val="21"/>
        </w:rPr>
        <w:t>本合同自</w:t>
      </w:r>
      <w:r>
        <w:rPr>
          <w:rFonts w:ascii="宋体" w:hAnsi="宋体"/>
          <w:bCs/>
          <w:color w:val="000000"/>
          <w:szCs w:val="21"/>
          <w:u w:val="single"/>
        </w:rPr>
        <w:t xml:space="preserve">                                   </w:t>
      </w:r>
      <w:r>
        <w:rPr>
          <w:rFonts w:ascii="宋体" w:hAnsi="宋体"/>
          <w:bCs/>
          <w:color w:val="000000"/>
          <w:szCs w:val="21"/>
        </w:rPr>
        <w:t>生效。</w:t>
      </w:r>
    </w:p>
    <w:p>
      <w:pPr>
        <w:pStyle w:val="167"/>
        <w:keepNext/>
        <w:keepLines/>
        <w:spacing w:before="120" w:after="120" w:line="360" w:lineRule="auto"/>
        <w:outlineLvl w:val="3"/>
        <w:rPr>
          <w:rFonts w:ascii="宋体" w:hAnsi="宋体"/>
          <w:b/>
          <w:color w:val="000000"/>
          <w:szCs w:val="21"/>
        </w:rPr>
      </w:pPr>
      <w:r>
        <w:rPr>
          <w:rFonts w:ascii="宋体" w:hAnsi="宋体"/>
          <w:b/>
          <w:color w:val="000000"/>
          <w:szCs w:val="21"/>
        </w:rPr>
        <w:t xml:space="preserve">    </w:t>
      </w:r>
      <w:bookmarkStart w:id="409" w:name="_Toc351203493"/>
      <w:r>
        <w:rPr>
          <w:rFonts w:ascii="宋体" w:hAnsi="宋体"/>
          <w:bCs/>
          <w:color w:val="000000"/>
          <w:szCs w:val="21"/>
        </w:rPr>
        <w:t>十三、合同份数</w:t>
      </w:r>
      <w:bookmarkEnd w:id="409"/>
    </w:p>
    <w:p>
      <w:pPr>
        <w:pStyle w:val="167"/>
        <w:spacing w:line="360" w:lineRule="auto"/>
        <w:ind w:firstLine="420" w:firstLineChars="200"/>
        <w:rPr>
          <w:rFonts w:ascii="宋体" w:hAnsi="宋体"/>
          <w:bCs/>
          <w:color w:val="000000"/>
          <w:szCs w:val="21"/>
        </w:rPr>
      </w:pPr>
      <w:r>
        <w:rPr>
          <w:rFonts w:ascii="宋体" w:hAnsi="宋体"/>
          <w:bCs/>
          <w:color w:val="000000"/>
          <w:szCs w:val="21"/>
        </w:rPr>
        <w:t>本合同一式</w:t>
      </w:r>
      <w:r>
        <w:rPr>
          <w:rFonts w:ascii="宋体" w:hAnsi="宋体"/>
          <w:bCs/>
          <w:color w:val="000000"/>
          <w:szCs w:val="21"/>
          <w:u w:val="single"/>
        </w:rPr>
        <w:t xml:space="preserve">  </w:t>
      </w:r>
      <w:r>
        <w:rPr>
          <w:rFonts w:hint="eastAsia" w:ascii="宋体" w:hAnsi="宋体"/>
          <w:bCs/>
          <w:color w:val="000000"/>
          <w:szCs w:val="21"/>
          <w:u w:val="single"/>
        </w:rPr>
        <w:t xml:space="preserve"> </w:t>
      </w:r>
      <w:r>
        <w:rPr>
          <w:rFonts w:ascii="宋体" w:hAnsi="宋体"/>
          <w:bCs/>
          <w:color w:val="000000"/>
          <w:szCs w:val="21"/>
          <w:u w:val="single"/>
        </w:rPr>
        <w:t xml:space="preserve"> </w:t>
      </w:r>
      <w:r>
        <w:rPr>
          <w:rFonts w:ascii="宋体" w:hAnsi="宋体"/>
          <w:bCs/>
          <w:color w:val="000000"/>
          <w:szCs w:val="21"/>
        </w:rPr>
        <w:t>份，均具有同等法律效力，发包人执</w:t>
      </w:r>
      <w:r>
        <w:rPr>
          <w:rFonts w:ascii="宋体" w:hAnsi="宋体"/>
          <w:bCs/>
          <w:color w:val="000000"/>
          <w:szCs w:val="21"/>
          <w:u w:val="single"/>
        </w:rPr>
        <w:t xml:space="preserve">  </w:t>
      </w:r>
      <w:r>
        <w:rPr>
          <w:rFonts w:hint="eastAsia" w:ascii="宋体" w:hAnsi="宋体"/>
          <w:bCs/>
          <w:color w:val="000000"/>
          <w:szCs w:val="21"/>
          <w:u w:val="single"/>
        </w:rPr>
        <w:t xml:space="preserve"> </w:t>
      </w:r>
      <w:r>
        <w:rPr>
          <w:rFonts w:ascii="宋体" w:hAnsi="宋体"/>
          <w:bCs/>
          <w:color w:val="000000"/>
          <w:szCs w:val="21"/>
          <w:u w:val="single"/>
        </w:rPr>
        <w:t xml:space="preserve"> </w:t>
      </w:r>
      <w:r>
        <w:rPr>
          <w:rFonts w:ascii="宋体" w:hAnsi="宋体"/>
          <w:bCs/>
          <w:color w:val="000000"/>
          <w:szCs w:val="21"/>
        </w:rPr>
        <w:t>份，承包人执</w:t>
      </w:r>
      <w:r>
        <w:rPr>
          <w:rFonts w:ascii="宋体" w:hAnsi="宋体"/>
          <w:bCs/>
          <w:color w:val="000000"/>
          <w:szCs w:val="21"/>
          <w:u w:val="single"/>
        </w:rPr>
        <w:t xml:space="preserve">  </w:t>
      </w:r>
      <w:r>
        <w:rPr>
          <w:rFonts w:hint="eastAsia" w:ascii="宋体" w:hAnsi="宋体"/>
          <w:bCs/>
          <w:color w:val="000000"/>
          <w:szCs w:val="21"/>
          <w:u w:val="single"/>
        </w:rPr>
        <w:t xml:space="preserve"> </w:t>
      </w:r>
      <w:r>
        <w:rPr>
          <w:rFonts w:ascii="宋体" w:hAnsi="宋体"/>
          <w:bCs/>
          <w:color w:val="000000"/>
          <w:szCs w:val="21"/>
          <w:u w:val="single"/>
        </w:rPr>
        <w:t xml:space="preserve"> </w:t>
      </w:r>
      <w:r>
        <w:rPr>
          <w:rFonts w:ascii="宋体" w:hAnsi="宋体"/>
          <w:bCs/>
          <w:color w:val="000000"/>
          <w:szCs w:val="21"/>
        </w:rPr>
        <w:t>份。</w:t>
      </w:r>
    </w:p>
    <w:p>
      <w:pPr>
        <w:pStyle w:val="167"/>
        <w:spacing w:line="360" w:lineRule="auto"/>
        <w:rPr>
          <w:rFonts w:ascii="宋体" w:hAnsi="宋体"/>
          <w:color w:val="000000"/>
          <w:szCs w:val="21"/>
        </w:rPr>
      </w:pPr>
    </w:p>
    <w:p>
      <w:pPr>
        <w:pStyle w:val="167"/>
        <w:spacing w:line="360" w:lineRule="auto"/>
        <w:rPr>
          <w:rFonts w:ascii="宋体" w:hAnsi="宋体"/>
          <w:color w:val="000000"/>
          <w:szCs w:val="21"/>
        </w:rPr>
      </w:pPr>
      <w:r>
        <w:rPr>
          <w:rFonts w:ascii="宋体" w:hAnsi="宋体"/>
          <w:color w:val="000000"/>
          <w:szCs w:val="21"/>
        </w:rPr>
        <w:t>发包人</w:t>
      </w:r>
      <w:r>
        <w:rPr>
          <w:rFonts w:hint="eastAsia" w:ascii="宋体" w:hAnsi="宋体"/>
          <w:color w:val="000000"/>
          <w:szCs w:val="21"/>
        </w:rPr>
        <w:t xml:space="preserve">：  </w:t>
      </w:r>
      <w:r>
        <w:rPr>
          <w:rFonts w:ascii="宋体" w:hAnsi="宋体"/>
          <w:color w:val="000000"/>
          <w:szCs w:val="21"/>
        </w:rPr>
        <w:t>(公章)</w:t>
      </w:r>
      <w:r>
        <w:rPr>
          <w:rFonts w:hint="eastAsia" w:ascii="宋体" w:hAnsi="宋体"/>
          <w:color w:val="000000"/>
          <w:szCs w:val="21"/>
        </w:rPr>
        <w:t xml:space="preserve">             </w:t>
      </w:r>
      <w:r>
        <w:rPr>
          <w:rFonts w:ascii="宋体" w:hAnsi="宋体"/>
          <w:color w:val="000000"/>
          <w:szCs w:val="21"/>
        </w:rPr>
        <w:t>承包人</w:t>
      </w:r>
      <w:r>
        <w:rPr>
          <w:rFonts w:hint="eastAsia" w:ascii="宋体" w:hAnsi="宋体"/>
          <w:color w:val="000000"/>
          <w:szCs w:val="21"/>
        </w:rPr>
        <w:t xml:space="preserve">：  </w:t>
      </w:r>
      <w:r>
        <w:rPr>
          <w:rFonts w:ascii="宋体" w:hAnsi="宋体"/>
          <w:color w:val="000000"/>
          <w:szCs w:val="21"/>
        </w:rPr>
        <w:t>(公章)</w:t>
      </w:r>
    </w:p>
    <w:p>
      <w:pPr>
        <w:pStyle w:val="167"/>
        <w:spacing w:line="360" w:lineRule="auto"/>
        <w:rPr>
          <w:rFonts w:ascii="宋体" w:hAnsi="宋体"/>
          <w:color w:val="000000"/>
          <w:szCs w:val="21"/>
          <w:u w:val="single"/>
        </w:rPr>
      </w:pPr>
      <w:r>
        <w:rPr>
          <w:rFonts w:hint="eastAsia" w:ascii="宋体" w:hAnsi="宋体"/>
          <w:color w:val="000000"/>
          <w:szCs w:val="21"/>
        </w:rPr>
        <w:t xml:space="preserve">                                 </w:t>
      </w:r>
    </w:p>
    <w:p>
      <w:pPr>
        <w:pStyle w:val="167"/>
        <w:spacing w:line="360" w:lineRule="auto"/>
        <w:rPr>
          <w:rFonts w:ascii="宋体" w:hAnsi="宋体"/>
          <w:color w:val="000000"/>
          <w:szCs w:val="21"/>
        </w:rPr>
      </w:pPr>
      <w:r>
        <w:rPr>
          <w:rFonts w:hint="eastAsia" w:ascii="宋体" w:hAnsi="宋体"/>
          <w:color w:val="000000"/>
          <w:szCs w:val="21"/>
        </w:rPr>
        <w:t>法定代表人或其委托代理人：  法定代表人或其委托代理人：</w:t>
      </w:r>
    </w:p>
    <w:p>
      <w:pPr>
        <w:pStyle w:val="167"/>
        <w:spacing w:line="360" w:lineRule="auto"/>
        <w:rPr>
          <w:rFonts w:ascii="宋体" w:hAnsi="宋体"/>
          <w:color w:val="000000"/>
          <w:szCs w:val="21"/>
        </w:rPr>
      </w:pPr>
      <w:r>
        <w:rPr>
          <w:rFonts w:hint="eastAsia" w:ascii="宋体" w:hAnsi="宋体"/>
          <w:color w:val="000000"/>
          <w:szCs w:val="21"/>
        </w:rPr>
        <w:t>（签字）                    （签字）</w:t>
      </w:r>
    </w:p>
    <w:p>
      <w:pPr>
        <w:pStyle w:val="167"/>
        <w:spacing w:line="360" w:lineRule="auto"/>
        <w:rPr>
          <w:rFonts w:ascii="宋体" w:hAnsi="宋体"/>
          <w:color w:val="000000"/>
          <w:szCs w:val="21"/>
          <w:u w:val="single"/>
        </w:rPr>
      </w:pPr>
    </w:p>
    <w:p>
      <w:pPr>
        <w:pStyle w:val="167"/>
        <w:tabs>
          <w:tab w:val="left" w:pos="4410"/>
        </w:tabs>
        <w:spacing w:line="360" w:lineRule="auto"/>
        <w:rPr>
          <w:rFonts w:ascii="宋体" w:hAnsi="宋体"/>
          <w:color w:val="000000"/>
          <w:szCs w:val="21"/>
        </w:rPr>
      </w:pPr>
      <w:r>
        <w:rPr>
          <w:rFonts w:hint="eastAsia" w:ascii="宋体" w:hAnsi="宋体"/>
          <w:color w:val="000000"/>
          <w:szCs w:val="21"/>
        </w:rPr>
        <w:t>组织机构代码：</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 xml:space="preserve"> 组织机构代码：</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 xml:space="preserve"> </w:t>
      </w:r>
    </w:p>
    <w:p>
      <w:pPr>
        <w:pStyle w:val="167"/>
        <w:spacing w:line="360" w:lineRule="auto"/>
        <w:rPr>
          <w:rFonts w:ascii="宋体" w:hAnsi="宋体"/>
          <w:color w:val="000000"/>
          <w:szCs w:val="21"/>
        </w:rPr>
      </w:pPr>
      <w:r>
        <w:rPr>
          <w:rFonts w:ascii="宋体" w:hAnsi="宋体"/>
          <w:color w:val="000000"/>
          <w:szCs w:val="21"/>
        </w:rPr>
        <w:t>地  址：</w:t>
      </w:r>
      <w:r>
        <w:rPr>
          <w:rFonts w:ascii="宋体" w:hAnsi="宋体"/>
          <w:color w:val="000000"/>
          <w:szCs w:val="21"/>
          <w:u w:val="single"/>
        </w:rPr>
        <w:t xml:space="preserve">                   </w:t>
      </w:r>
      <w:r>
        <w:rPr>
          <w:rFonts w:hint="eastAsia" w:ascii="宋体" w:hAnsi="宋体"/>
          <w:color w:val="000000"/>
          <w:szCs w:val="21"/>
        </w:rPr>
        <w:t xml:space="preserve">  </w:t>
      </w:r>
      <w:r>
        <w:rPr>
          <w:rFonts w:ascii="宋体" w:hAnsi="宋体"/>
          <w:color w:val="000000"/>
          <w:szCs w:val="21"/>
        </w:rPr>
        <w:t>地  址：</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rPr>
          <w:rFonts w:ascii="宋体" w:hAnsi="宋体"/>
          <w:color w:val="000000"/>
          <w:szCs w:val="21"/>
        </w:rPr>
      </w:pPr>
      <w:r>
        <w:rPr>
          <w:rFonts w:ascii="宋体" w:hAnsi="宋体"/>
          <w:color w:val="000000"/>
          <w:szCs w:val="21"/>
        </w:rPr>
        <w:t>邮政编码：</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邮政编码：</w:t>
      </w:r>
      <w:r>
        <w:rPr>
          <w:rFonts w:ascii="宋体" w:hAnsi="宋体"/>
          <w:color w:val="000000"/>
          <w:szCs w:val="21"/>
          <w:u w:val="single"/>
        </w:rPr>
        <w:t xml:space="preserve">                   </w:t>
      </w:r>
    </w:p>
    <w:p>
      <w:pPr>
        <w:pStyle w:val="167"/>
        <w:spacing w:line="360" w:lineRule="auto"/>
        <w:rPr>
          <w:rFonts w:ascii="宋体" w:hAnsi="宋体"/>
          <w:color w:val="000000"/>
          <w:szCs w:val="21"/>
        </w:rPr>
      </w:pPr>
      <w:r>
        <w:rPr>
          <w:rFonts w:ascii="宋体" w:hAnsi="宋体"/>
          <w:color w:val="000000"/>
          <w:szCs w:val="21"/>
        </w:rPr>
        <w:t>法定代表人：</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法定代表人：</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rPr>
          <w:rFonts w:ascii="宋体" w:hAnsi="宋体"/>
          <w:color w:val="000000"/>
          <w:szCs w:val="21"/>
        </w:rPr>
      </w:pPr>
      <w:r>
        <w:rPr>
          <w:rFonts w:ascii="宋体" w:hAnsi="宋体"/>
          <w:color w:val="000000"/>
          <w:szCs w:val="21"/>
        </w:rPr>
        <w:t>委托代理人：</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委托代理人：</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rPr>
          <w:rFonts w:ascii="宋体" w:hAnsi="宋体"/>
          <w:color w:val="000000"/>
          <w:szCs w:val="21"/>
        </w:rPr>
      </w:pPr>
      <w:r>
        <w:rPr>
          <w:rFonts w:ascii="宋体" w:hAnsi="宋体"/>
          <w:color w:val="000000"/>
          <w:szCs w:val="21"/>
        </w:rPr>
        <w:t>电  话：</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电  话：</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rPr>
          <w:rFonts w:ascii="宋体" w:hAnsi="宋体"/>
          <w:color w:val="000000"/>
          <w:szCs w:val="21"/>
        </w:rPr>
      </w:pPr>
      <w:r>
        <w:rPr>
          <w:rFonts w:ascii="宋体" w:hAnsi="宋体"/>
          <w:color w:val="000000"/>
          <w:szCs w:val="21"/>
        </w:rPr>
        <w:t>传  真：</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传  真：</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rPr>
          <w:rFonts w:ascii="宋体" w:hAnsi="宋体"/>
          <w:color w:val="000000"/>
          <w:szCs w:val="21"/>
        </w:rPr>
      </w:pPr>
      <w:r>
        <w:rPr>
          <w:rFonts w:ascii="宋体" w:hAnsi="宋体"/>
          <w:color w:val="000000"/>
          <w:szCs w:val="21"/>
        </w:rPr>
        <w:t>电子信箱：</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电子信箱：</w:t>
      </w:r>
      <w:r>
        <w:rPr>
          <w:rFonts w:ascii="宋体" w:hAnsi="宋体"/>
          <w:color w:val="000000"/>
          <w:szCs w:val="21"/>
          <w:u w:val="single"/>
        </w:rPr>
        <w:t xml:space="preserve">                   </w:t>
      </w:r>
    </w:p>
    <w:p>
      <w:pPr>
        <w:pStyle w:val="167"/>
        <w:spacing w:line="360" w:lineRule="auto"/>
        <w:rPr>
          <w:rFonts w:ascii="宋体" w:hAnsi="宋体"/>
          <w:color w:val="000000"/>
          <w:szCs w:val="21"/>
        </w:rPr>
      </w:pPr>
      <w:r>
        <w:rPr>
          <w:rFonts w:ascii="宋体" w:hAnsi="宋体"/>
          <w:color w:val="000000"/>
          <w:szCs w:val="21"/>
        </w:rPr>
        <w:t>开户银行：</w:t>
      </w:r>
      <w:r>
        <w:rPr>
          <w:rFonts w:ascii="宋体" w:hAnsi="宋体"/>
          <w:color w:val="000000"/>
          <w:szCs w:val="21"/>
          <w:u w:val="single"/>
        </w:rPr>
        <w:t xml:space="preserve">                 </w:t>
      </w: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rPr>
        <w:t>开户银行：</w:t>
      </w:r>
      <w:r>
        <w:rPr>
          <w:rFonts w:ascii="宋体" w:hAnsi="宋体"/>
          <w:color w:val="000000"/>
          <w:szCs w:val="21"/>
          <w:u w:val="single"/>
        </w:rPr>
        <w:t xml:space="preserve">                   </w:t>
      </w:r>
    </w:p>
    <w:p>
      <w:pPr>
        <w:pStyle w:val="167"/>
        <w:spacing w:line="360" w:lineRule="auto"/>
        <w:rPr>
          <w:rFonts w:ascii="宋体" w:hAnsi="宋体"/>
          <w:color w:val="000000"/>
          <w:szCs w:val="21"/>
        </w:rPr>
      </w:pPr>
      <w:r>
        <w:rPr>
          <w:rFonts w:ascii="宋体" w:hAnsi="宋体"/>
          <w:color w:val="000000"/>
          <w:szCs w:val="21"/>
        </w:rPr>
        <w:t>账  号：</w:t>
      </w:r>
      <w:r>
        <w:rPr>
          <w:rFonts w:ascii="宋体" w:hAnsi="宋体"/>
          <w:color w:val="000000"/>
          <w:szCs w:val="21"/>
          <w:u w:val="single"/>
        </w:rPr>
        <w:t xml:space="preserve">                   </w:t>
      </w:r>
      <w:r>
        <w:rPr>
          <w:rFonts w:hint="eastAsia" w:ascii="宋体" w:hAnsi="宋体"/>
          <w:color w:val="000000"/>
          <w:szCs w:val="21"/>
        </w:rPr>
        <w:t xml:space="preserve">   </w:t>
      </w:r>
      <w:r>
        <w:rPr>
          <w:rFonts w:ascii="宋体" w:hAnsi="宋体"/>
          <w:color w:val="000000"/>
          <w:szCs w:val="21"/>
        </w:rPr>
        <w:t>账</w:t>
      </w:r>
      <w:r>
        <w:rPr>
          <w:rFonts w:hint="eastAsia" w:ascii="宋体" w:hAnsi="宋体"/>
          <w:color w:val="000000"/>
          <w:szCs w:val="21"/>
        </w:rPr>
        <w:t xml:space="preserve"> </w:t>
      </w:r>
      <w:r>
        <w:rPr>
          <w:rFonts w:ascii="宋体" w:hAnsi="宋体"/>
          <w:color w:val="000000"/>
          <w:szCs w:val="21"/>
        </w:rPr>
        <w:t xml:space="preserve"> 号：</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p>
    <w:p>
      <w:pPr>
        <w:pStyle w:val="165"/>
        <w:rPr>
          <w:rFonts w:ascii="宋体" w:hAnsi="宋体" w:eastAsia="宋体"/>
          <w:color w:val="000000"/>
          <w:sz w:val="21"/>
          <w:szCs w:val="21"/>
        </w:rPr>
      </w:pPr>
      <w:r>
        <w:rPr>
          <w:rFonts w:ascii="宋体" w:hAnsi="宋体" w:eastAsia="宋体"/>
          <w:color w:val="000000"/>
          <w:sz w:val="21"/>
          <w:szCs w:val="21"/>
        </w:rPr>
        <w:br w:type="page"/>
      </w:r>
      <w:bookmarkStart w:id="410" w:name="_Toc256000018"/>
      <w:bookmarkStart w:id="411" w:name="_Toc422410896"/>
      <w:bookmarkStart w:id="412" w:name="_Toc17841"/>
      <w:r>
        <w:rPr>
          <w:rFonts w:hint="eastAsia" w:ascii="宋体" w:hAnsi="宋体" w:eastAsia="宋体"/>
          <w:color w:val="000000"/>
          <w:sz w:val="21"/>
          <w:szCs w:val="21"/>
        </w:rPr>
        <w:t>第二部分 通用条款</w:t>
      </w:r>
      <w:bookmarkEnd w:id="393"/>
      <w:bookmarkEnd w:id="394"/>
      <w:bookmarkEnd w:id="395"/>
      <w:bookmarkEnd w:id="396"/>
      <w:bookmarkEnd w:id="410"/>
      <w:bookmarkEnd w:id="411"/>
      <w:bookmarkEnd w:id="412"/>
    </w:p>
    <w:p>
      <w:pPr>
        <w:pStyle w:val="167"/>
        <w:spacing w:line="360" w:lineRule="auto"/>
        <w:ind w:firstLine="420" w:firstLineChars="200"/>
        <w:rPr>
          <w:rFonts w:ascii="宋体" w:hAnsi="宋体"/>
          <w:color w:val="000000"/>
          <w:szCs w:val="21"/>
        </w:rPr>
      </w:pPr>
      <w:r>
        <w:rPr>
          <w:rFonts w:hint="eastAsia" w:ascii="宋体" w:hAnsi="宋体"/>
          <w:color w:val="000000"/>
          <w:szCs w:val="21"/>
        </w:rPr>
        <w:t>参照住建部、国家工商行政管理局《建设工程施工合同》(</w:t>
      </w:r>
      <w:r>
        <w:rPr>
          <w:rFonts w:ascii="宋体" w:hAnsi="宋体"/>
          <w:color w:val="000000"/>
          <w:szCs w:val="21"/>
        </w:rPr>
        <w:t>gf-2017-0201</w:t>
      </w:r>
      <w:r>
        <w:rPr>
          <w:rFonts w:hint="eastAsia" w:ascii="宋体" w:hAnsi="宋体"/>
          <w:color w:val="000000"/>
          <w:szCs w:val="21"/>
        </w:rPr>
        <w:t>)示范文本第二部分通用条款内容。</w:t>
      </w:r>
    </w:p>
    <w:p>
      <w:pPr>
        <w:pStyle w:val="167"/>
        <w:spacing w:line="360" w:lineRule="auto"/>
        <w:ind w:firstLine="420" w:firstLineChars="200"/>
        <w:rPr>
          <w:rFonts w:ascii="宋体" w:hAnsi="宋体"/>
          <w:color w:val="000000"/>
          <w:szCs w:val="21"/>
        </w:rPr>
      </w:pPr>
    </w:p>
    <w:p>
      <w:pPr>
        <w:pStyle w:val="167"/>
        <w:spacing w:line="360" w:lineRule="auto"/>
        <w:ind w:firstLine="420" w:firstLineChars="200"/>
        <w:rPr>
          <w:rFonts w:ascii="宋体" w:hAnsi="宋体"/>
          <w:color w:val="000000"/>
          <w:szCs w:val="21"/>
        </w:rPr>
      </w:pPr>
    </w:p>
    <w:p>
      <w:pPr>
        <w:pStyle w:val="167"/>
        <w:spacing w:line="360" w:lineRule="auto"/>
        <w:ind w:firstLine="420" w:firstLineChars="200"/>
        <w:rPr>
          <w:rFonts w:ascii="宋体" w:hAnsi="宋体"/>
          <w:color w:val="000000"/>
          <w:szCs w:val="21"/>
        </w:rPr>
      </w:pPr>
    </w:p>
    <w:p>
      <w:pPr>
        <w:pStyle w:val="167"/>
        <w:spacing w:line="360" w:lineRule="auto"/>
        <w:ind w:firstLine="420" w:firstLineChars="200"/>
        <w:rPr>
          <w:rFonts w:ascii="宋体" w:hAnsi="宋体"/>
          <w:color w:val="000000"/>
          <w:szCs w:val="21"/>
        </w:rPr>
      </w:pPr>
    </w:p>
    <w:p>
      <w:pPr>
        <w:pStyle w:val="167"/>
        <w:spacing w:line="360" w:lineRule="auto"/>
        <w:ind w:firstLine="420" w:firstLineChars="200"/>
        <w:rPr>
          <w:rFonts w:ascii="宋体" w:hAnsi="宋体"/>
          <w:color w:val="000000"/>
          <w:szCs w:val="21"/>
        </w:rPr>
      </w:pPr>
    </w:p>
    <w:p>
      <w:pPr>
        <w:pStyle w:val="167"/>
        <w:spacing w:line="360" w:lineRule="auto"/>
        <w:ind w:firstLine="420" w:firstLineChars="200"/>
        <w:rPr>
          <w:rFonts w:ascii="宋体" w:hAnsi="宋体"/>
          <w:color w:val="000000"/>
          <w:szCs w:val="21"/>
        </w:rPr>
      </w:pPr>
    </w:p>
    <w:p>
      <w:pPr>
        <w:pStyle w:val="167"/>
        <w:spacing w:line="360" w:lineRule="auto"/>
        <w:ind w:firstLine="420" w:firstLineChars="200"/>
        <w:rPr>
          <w:rFonts w:ascii="宋体" w:hAnsi="宋体"/>
          <w:color w:val="000000"/>
          <w:szCs w:val="21"/>
        </w:rPr>
      </w:pPr>
    </w:p>
    <w:p>
      <w:pPr>
        <w:pStyle w:val="167"/>
        <w:spacing w:line="360" w:lineRule="auto"/>
        <w:ind w:firstLine="420" w:firstLineChars="200"/>
        <w:rPr>
          <w:rFonts w:ascii="宋体" w:hAnsi="宋体"/>
          <w:color w:val="000000"/>
          <w:szCs w:val="21"/>
        </w:rPr>
      </w:pPr>
    </w:p>
    <w:p>
      <w:pPr>
        <w:pStyle w:val="167"/>
        <w:spacing w:line="360" w:lineRule="auto"/>
        <w:ind w:firstLine="420" w:firstLineChars="200"/>
        <w:rPr>
          <w:rFonts w:ascii="宋体" w:hAnsi="宋体"/>
          <w:color w:val="000000"/>
          <w:szCs w:val="21"/>
        </w:rPr>
      </w:pPr>
    </w:p>
    <w:p>
      <w:pPr>
        <w:pStyle w:val="167"/>
        <w:spacing w:line="360" w:lineRule="auto"/>
        <w:ind w:firstLine="420" w:firstLineChars="200"/>
        <w:rPr>
          <w:rFonts w:ascii="宋体" w:hAnsi="宋体"/>
          <w:color w:val="000000"/>
          <w:szCs w:val="21"/>
        </w:rPr>
      </w:pPr>
    </w:p>
    <w:p>
      <w:pPr>
        <w:pStyle w:val="167"/>
        <w:spacing w:line="360" w:lineRule="auto"/>
        <w:ind w:firstLine="420" w:firstLineChars="200"/>
        <w:rPr>
          <w:rFonts w:ascii="宋体" w:hAnsi="宋体"/>
          <w:color w:val="000000"/>
          <w:szCs w:val="21"/>
        </w:rPr>
      </w:pPr>
    </w:p>
    <w:p>
      <w:pPr>
        <w:pStyle w:val="167"/>
        <w:spacing w:line="360" w:lineRule="auto"/>
        <w:ind w:firstLine="420" w:firstLineChars="200"/>
        <w:rPr>
          <w:rFonts w:ascii="宋体" w:hAnsi="宋体"/>
          <w:color w:val="000000"/>
          <w:szCs w:val="21"/>
        </w:rPr>
      </w:pPr>
    </w:p>
    <w:p>
      <w:pPr>
        <w:pStyle w:val="167"/>
        <w:spacing w:line="360" w:lineRule="auto"/>
        <w:ind w:firstLine="420" w:firstLineChars="200"/>
        <w:rPr>
          <w:rFonts w:ascii="宋体" w:hAnsi="宋体"/>
          <w:color w:val="000000"/>
          <w:szCs w:val="21"/>
        </w:rPr>
      </w:pPr>
    </w:p>
    <w:p>
      <w:pPr>
        <w:pStyle w:val="167"/>
        <w:spacing w:line="360" w:lineRule="auto"/>
        <w:ind w:firstLine="420" w:firstLineChars="200"/>
        <w:rPr>
          <w:rFonts w:ascii="宋体" w:hAnsi="宋体"/>
          <w:color w:val="000000"/>
          <w:szCs w:val="21"/>
        </w:rPr>
      </w:pPr>
    </w:p>
    <w:p>
      <w:pPr>
        <w:pStyle w:val="167"/>
        <w:spacing w:line="360" w:lineRule="auto"/>
        <w:ind w:firstLine="420" w:firstLineChars="200"/>
        <w:rPr>
          <w:rFonts w:ascii="宋体" w:hAnsi="宋体"/>
          <w:color w:val="000000"/>
          <w:szCs w:val="21"/>
        </w:rPr>
      </w:pPr>
    </w:p>
    <w:p>
      <w:pPr>
        <w:pStyle w:val="167"/>
        <w:spacing w:line="360" w:lineRule="auto"/>
        <w:ind w:firstLine="420" w:firstLineChars="200"/>
        <w:rPr>
          <w:rFonts w:ascii="宋体" w:hAnsi="宋体"/>
          <w:color w:val="000000"/>
          <w:szCs w:val="21"/>
        </w:rPr>
      </w:pPr>
    </w:p>
    <w:p>
      <w:pPr>
        <w:pStyle w:val="167"/>
        <w:spacing w:line="360" w:lineRule="auto"/>
        <w:ind w:firstLine="420" w:firstLineChars="200"/>
        <w:rPr>
          <w:rFonts w:ascii="宋体" w:hAnsi="宋体"/>
          <w:color w:val="000000"/>
          <w:szCs w:val="21"/>
        </w:rPr>
      </w:pPr>
    </w:p>
    <w:p>
      <w:pPr>
        <w:pStyle w:val="167"/>
        <w:spacing w:line="360" w:lineRule="auto"/>
        <w:ind w:firstLine="420" w:firstLineChars="200"/>
        <w:rPr>
          <w:rFonts w:ascii="宋体" w:hAnsi="宋体"/>
          <w:color w:val="000000"/>
          <w:szCs w:val="21"/>
        </w:rPr>
      </w:pPr>
    </w:p>
    <w:p>
      <w:pPr>
        <w:pStyle w:val="167"/>
        <w:spacing w:line="360" w:lineRule="auto"/>
        <w:ind w:firstLine="420" w:firstLineChars="200"/>
        <w:rPr>
          <w:rFonts w:ascii="宋体" w:hAnsi="宋体"/>
          <w:color w:val="000000"/>
          <w:szCs w:val="21"/>
        </w:rPr>
      </w:pPr>
    </w:p>
    <w:p>
      <w:pPr>
        <w:pStyle w:val="167"/>
        <w:spacing w:line="360" w:lineRule="auto"/>
        <w:ind w:firstLine="420" w:firstLineChars="200"/>
        <w:rPr>
          <w:rFonts w:ascii="宋体" w:hAnsi="宋体"/>
          <w:color w:val="000000"/>
          <w:szCs w:val="21"/>
        </w:rPr>
      </w:pPr>
    </w:p>
    <w:p>
      <w:pPr>
        <w:pStyle w:val="167"/>
        <w:spacing w:line="360" w:lineRule="auto"/>
        <w:ind w:firstLine="420" w:firstLineChars="200"/>
        <w:rPr>
          <w:rFonts w:ascii="宋体" w:hAnsi="宋体"/>
          <w:color w:val="000000"/>
          <w:szCs w:val="21"/>
        </w:rPr>
      </w:pPr>
    </w:p>
    <w:p>
      <w:pPr>
        <w:pStyle w:val="167"/>
        <w:spacing w:line="360" w:lineRule="auto"/>
        <w:ind w:firstLine="420" w:firstLineChars="200"/>
        <w:rPr>
          <w:rFonts w:ascii="宋体" w:hAnsi="宋体"/>
          <w:color w:val="000000"/>
          <w:szCs w:val="21"/>
        </w:rPr>
      </w:pPr>
    </w:p>
    <w:p>
      <w:pPr>
        <w:pStyle w:val="167"/>
        <w:spacing w:line="360" w:lineRule="auto"/>
        <w:ind w:firstLine="420" w:firstLineChars="200"/>
        <w:rPr>
          <w:rFonts w:ascii="宋体" w:hAnsi="宋体"/>
          <w:color w:val="000000"/>
          <w:szCs w:val="21"/>
        </w:rPr>
      </w:pPr>
    </w:p>
    <w:p>
      <w:pPr>
        <w:pStyle w:val="167"/>
        <w:spacing w:line="360" w:lineRule="auto"/>
        <w:ind w:firstLine="420" w:firstLineChars="200"/>
        <w:rPr>
          <w:rFonts w:ascii="宋体" w:hAnsi="宋体"/>
          <w:color w:val="000000"/>
          <w:szCs w:val="21"/>
        </w:rPr>
      </w:pPr>
    </w:p>
    <w:p>
      <w:pPr>
        <w:pStyle w:val="167"/>
        <w:spacing w:line="360" w:lineRule="auto"/>
        <w:ind w:firstLine="420" w:firstLineChars="200"/>
        <w:rPr>
          <w:rFonts w:ascii="宋体" w:hAnsi="宋体"/>
          <w:color w:val="000000"/>
          <w:szCs w:val="21"/>
        </w:rPr>
      </w:pPr>
    </w:p>
    <w:p>
      <w:pPr>
        <w:pStyle w:val="165"/>
        <w:rPr>
          <w:rFonts w:ascii="宋体" w:hAnsi="宋体" w:eastAsia="宋体"/>
          <w:color w:val="000000"/>
        </w:rPr>
      </w:pPr>
      <w:bookmarkStart w:id="413" w:name="_Toc277837447"/>
      <w:bookmarkStart w:id="414" w:name="_Toc422410897"/>
      <w:bookmarkStart w:id="415" w:name="_Toc273437362"/>
      <w:bookmarkStart w:id="416" w:name="_Toc256000019"/>
      <w:bookmarkStart w:id="417" w:name="_Toc27122"/>
      <w:r>
        <w:rPr>
          <w:rFonts w:hint="eastAsia" w:ascii="宋体" w:hAnsi="宋体" w:eastAsia="宋体"/>
          <w:color w:val="000000"/>
        </w:rPr>
        <w:t>第三部分 专用合同条款</w:t>
      </w:r>
      <w:bookmarkEnd w:id="413"/>
      <w:bookmarkEnd w:id="414"/>
      <w:bookmarkEnd w:id="415"/>
      <w:bookmarkEnd w:id="416"/>
      <w:bookmarkEnd w:id="417"/>
    </w:p>
    <w:p>
      <w:pPr>
        <w:pStyle w:val="167"/>
        <w:keepNext/>
        <w:keepLines/>
        <w:spacing w:before="120" w:after="120" w:line="360" w:lineRule="auto"/>
        <w:outlineLvl w:val="3"/>
        <w:rPr>
          <w:rFonts w:ascii="宋体" w:hAnsi="宋体"/>
          <w:bCs/>
          <w:color w:val="000000"/>
          <w:szCs w:val="21"/>
        </w:rPr>
      </w:pPr>
      <w:bookmarkStart w:id="418" w:name="_Toc351203633"/>
      <w:r>
        <w:rPr>
          <w:rFonts w:ascii="宋体" w:hAnsi="宋体"/>
          <w:bCs/>
          <w:color w:val="000000"/>
          <w:szCs w:val="21"/>
        </w:rPr>
        <w:t>1</w:t>
      </w:r>
      <w:bookmarkStart w:id="419" w:name="_Toc296347155"/>
      <w:bookmarkStart w:id="420" w:name="_Toc292559866"/>
      <w:bookmarkStart w:id="421" w:name="_Toc296890984"/>
      <w:bookmarkStart w:id="422" w:name="_Toc296944495"/>
      <w:bookmarkStart w:id="423" w:name="_Toc297048342"/>
      <w:bookmarkStart w:id="424" w:name="_Toc296503156"/>
      <w:bookmarkStart w:id="425" w:name="_Toc292559361"/>
      <w:bookmarkStart w:id="426" w:name="_Toc296891196"/>
      <w:bookmarkStart w:id="427" w:name="_Toc296346657"/>
      <w:bookmarkStart w:id="428" w:name="_Toc297120456"/>
      <w:r>
        <w:rPr>
          <w:rFonts w:ascii="宋体" w:hAnsi="宋体"/>
          <w:bCs/>
          <w:color w:val="000000"/>
          <w:szCs w:val="21"/>
        </w:rPr>
        <w:t>. 一般约定</w:t>
      </w:r>
      <w:bookmarkEnd w:id="418"/>
    </w:p>
    <w:bookmarkEnd w:id="419"/>
    <w:bookmarkEnd w:id="420"/>
    <w:bookmarkEnd w:id="421"/>
    <w:bookmarkEnd w:id="422"/>
    <w:bookmarkEnd w:id="423"/>
    <w:bookmarkEnd w:id="424"/>
    <w:bookmarkEnd w:id="425"/>
    <w:bookmarkEnd w:id="426"/>
    <w:bookmarkEnd w:id="427"/>
    <w:bookmarkEnd w:id="428"/>
    <w:p>
      <w:pPr>
        <w:pStyle w:val="167"/>
        <w:spacing w:after="120" w:line="360" w:lineRule="auto"/>
        <w:ind w:firstLine="420" w:firstLineChars="200"/>
        <w:rPr>
          <w:rFonts w:ascii="宋体" w:hAnsi="宋体"/>
          <w:color w:val="000000"/>
          <w:szCs w:val="21"/>
        </w:rPr>
      </w:pPr>
      <w:r>
        <w:rPr>
          <w:rFonts w:ascii="宋体" w:hAnsi="宋体"/>
          <w:color w:val="000000"/>
          <w:szCs w:val="21"/>
        </w:rPr>
        <w:t>1.1 词语定义</w:t>
      </w:r>
    </w:p>
    <w:p>
      <w:pPr>
        <w:pStyle w:val="167"/>
        <w:spacing w:line="360" w:lineRule="auto"/>
        <w:ind w:firstLine="420" w:firstLineChars="200"/>
        <w:rPr>
          <w:rFonts w:ascii="宋体" w:hAnsi="宋体"/>
          <w:color w:val="000000"/>
          <w:kern w:val="0"/>
          <w:szCs w:val="21"/>
        </w:rPr>
      </w:pPr>
      <w:r>
        <w:rPr>
          <w:rFonts w:ascii="宋体" w:hAnsi="宋体"/>
          <w:color w:val="000000"/>
          <w:kern w:val="0"/>
          <w:szCs w:val="21"/>
        </w:rPr>
        <w:t>1.1.1合同</w:t>
      </w:r>
    </w:p>
    <w:p>
      <w:pPr>
        <w:pStyle w:val="167"/>
        <w:spacing w:line="360" w:lineRule="auto"/>
        <w:ind w:firstLine="420" w:firstLineChars="200"/>
        <w:rPr>
          <w:rFonts w:ascii="宋体" w:hAnsi="宋体"/>
          <w:color w:val="000000"/>
          <w:kern w:val="0"/>
          <w:szCs w:val="21"/>
        </w:rPr>
      </w:pPr>
      <w:r>
        <w:rPr>
          <w:rFonts w:ascii="宋体" w:hAnsi="宋体"/>
          <w:color w:val="000000"/>
          <w:kern w:val="0"/>
          <w:szCs w:val="21"/>
        </w:rPr>
        <w:t>1.1.1.10其他合同文件包括：</w:t>
      </w:r>
      <w:r>
        <w:rPr>
          <w:rFonts w:ascii="宋体" w:hAnsi="宋体"/>
          <w:color w:val="000000"/>
          <w:szCs w:val="21"/>
          <w:u w:val="single"/>
        </w:rPr>
        <w:t xml:space="preserve">                              </w:t>
      </w:r>
    </w:p>
    <w:p>
      <w:pPr>
        <w:pStyle w:val="167"/>
        <w:spacing w:line="360" w:lineRule="auto"/>
        <w:ind w:left="1155" w:hanging="1155" w:hangingChars="550"/>
        <w:rPr>
          <w:rFonts w:ascii="宋体" w:hAnsi="宋体"/>
          <w:color w:val="000000"/>
          <w:szCs w:val="21"/>
          <w:u w:val="single"/>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ind w:left="1155" w:hanging="1155" w:hangingChars="550"/>
        <w:rPr>
          <w:rFonts w:ascii="宋体" w:hAnsi="宋体"/>
          <w:color w:val="000000"/>
          <w:kern w:val="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rPr>
      </w:pPr>
      <w:r>
        <w:rPr>
          <w:rFonts w:ascii="宋体" w:hAnsi="宋体"/>
          <w:color w:val="000000"/>
          <w:szCs w:val="21"/>
        </w:rPr>
        <w:t>1.1.2 合同当事人及其他相关方</w:t>
      </w:r>
    </w:p>
    <w:p>
      <w:pPr>
        <w:pStyle w:val="167"/>
        <w:spacing w:line="360" w:lineRule="auto"/>
        <w:ind w:firstLine="420" w:firstLineChars="200"/>
        <w:rPr>
          <w:rFonts w:ascii="宋体" w:hAnsi="宋体"/>
          <w:color w:val="000000"/>
          <w:szCs w:val="21"/>
        </w:rPr>
      </w:pPr>
      <w:r>
        <w:rPr>
          <w:rFonts w:ascii="宋体" w:hAnsi="宋体"/>
          <w:color w:val="000000"/>
          <w:szCs w:val="21"/>
        </w:rPr>
        <w:t>1.1.2.4监理人：</w:t>
      </w:r>
    </w:p>
    <w:p>
      <w:pPr>
        <w:pStyle w:val="167"/>
        <w:spacing w:line="360" w:lineRule="auto"/>
        <w:ind w:firstLine="420" w:firstLineChars="200"/>
        <w:jc w:val="left"/>
        <w:rPr>
          <w:rFonts w:ascii="宋体" w:hAnsi="宋体"/>
          <w:color w:val="000000"/>
          <w:szCs w:val="21"/>
        </w:rPr>
      </w:pPr>
      <w:r>
        <w:rPr>
          <w:rFonts w:ascii="宋体" w:hAnsi="宋体"/>
          <w:color w:val="000000"/>
          <w:szCs w:val="21"/>
        </w:rPr>
        <w:t>名    称：</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资质类别和等级：</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rPr>
      </w:pPr>
      <w:r>
        <w:rPr>
          <w:rFonts w:ascii="宋体" w:hAnsi="宋体"/>
          <w:color w:val="000000"/>
          <w:szCs w:val="21"/>
        </w:rPr>
        <w:t>联系电话：</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rPr>
      </w:pPr>
      <w:r>
        <w:rPr>
          <w:rFonts w:ascii="宋体" w:hAnsi="宋体"/>
          <w:color w:val="000000"/>
          <w:szCs w:val="21"/>
        </w:rPr>
        <w:t>电子信箱：</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rPr>
      </w:pPr>
      <w:r>
        <w:rPr>
          <w:rFonts w:ascii="宋体" w:hAnsi="宋体"/>
          <w:color w:val="000000"/>
          <w:szCs w:val="21"/>
        </w:rPr>
        <w:t>通信地址：</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rPr>
      </w:pPr>
      <w:r>
        <w:rPr>
          <w:rFonts w:ascii="宋体" w:hAnsi="宋体"/>
          <w:color w:val="000000"/>
          <w:szCs w:val="21"/>
        </w:rPr>
        <w:t>1.1.2.5 设计人：</w:t>
      </w:r>
    </w:p>
    <w:p>
      <w:pPr>
        <w:pStyle w:val="167"/>
        <w:spacing w:line="360" w:lineRule="auto"/>
        <w:ind w:firstLine="420" w:firstLineChars="200"/>
        <w:jc w:val="left"/>
        <w:rPr>
          <w:rFonts w:ascii="宋体" w:hAnsi="宋体"/>
          <w:color w:val="000000"/>
          <w:szCs w:val="21"/>
        </w:rPr>
      </w:pPr>
      <w:r>
        <w:rPr>
          <w:rFonts w:ascii="宋体" w:hAnsi="宋体"/>
          <w:color w:val="000000"/>
          <w:szCs w:val="21"/>
        </w:rPr>
        <w:t>名    称：</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left="210" w:leftChars="100" w:firstLine="210" w:firstLineChars="100"/>
        <w:jc w:val="left"/>
        <w:rPr>
          <w:rFonts w:ascii="宋体" w:hAnsi="宋体"/>
          <w:color w:val="000000"/>
          <w:szCs w:val="21"/>
        </w:rPr>
      </w:pPr>
      <w:r>
        <w:rPr>
          <w:rFonts w:ascii="宋体" w:hAnsi="宋体"/>
          <w:color w:val="000000"/>
          <w:szCs w:val="21"/>
        </w:rPr>
        <w:t>资质类别和等级：</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联系电话：</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rPr>
      </w:pPr>
      <w:r>
        <w:rPr>
          <w:rFonts w:ascii="宋体" w:hAnsi="宋体"/>
          <w:color w:val="000000"/>
          <w:szCs w:val="21"/>
        </w:rPr>
        <w:t>电子信箱：</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rPr>
      </w:pPr>
      <w:r>
        <w:rPr>
          <w:rFonts w:ascii="宋体" w:hAnsi="宋体"/>
          <w:color w:val="000000"/>
          <w:szCs w:val="21"/>
        </w:rPr>
        <w:t>通信地址：</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rPr>
      </w:pPr>
      <w:r>
        <w:rPr>
          <w:rFonts w:ascii="宋体" w:hAnsi="宋体"/>
          <w:color w:val="000000"/>
          <w:szCs w:val="21"/>
        </w:rPr>
        <w:t>1.1.3 工程和设备</w:t>
      </w:r>
    </w:p>
    <w:p>
      <w:pPr>
        <w:pStyle w:val="167"/>
        <w:spacing w:line="360" w:lineRule="auto"/>
        <w:ind w:firstLine="420" w:firstLineChars="200"/>
        <w:rPr>
          <w:rFonts w:ascii="宋体" w:hAnsi="宋体"/>
          <w:color w:val="000000"/>
          <w:szCs w:val="21"/>
          <w:u w:val="single"/>
        </w:rPr>
      </w:pPr>
      <w:r>
        <w:rPr>
          <w:rFonts w:ascii="宋体" w:hAnsi="宋体"/>
          <w:color w:val="000000"/>
          <w:szCs w:val="21"/>
        </w:rPr>
        <w:t>1.1.3.7 作为施工现场组成部分的其他场所包括：</w:t>
      </w:r>
      <w:r>
        <w:rPr>
          <w:rFonts w:hint="eastAsia" w:ascii="宋体" w:hAnsi="宋体"/>
          <w:color w:val="000000"/>
          <w:szCs w:val="21"/>
          <w:u w:val="single"/>
        </w:rPr>
        <w:t xml:space="preserve">           </w:t>
      </w:r>
    </w:p>
    <w:p>
      <w:pPr>
        <w:pStyle w:val="167"/>
        <w:spacing w:line="360" w:lineRule="auto"/>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kern w:val="0"/>
          <w:szCs w:val="21"/>
        </w:rPr>
      </w:pPr>
      <w:r>
        <w:rPr>
          <w:rFonts w:ascii="宋体" w:hAnsi="宋体"/>
          <w:color w:val="000000"/>
          <w:kern w:val="0"/>
          <w:szCs w:val="21"/>
        </w:rPr>
        <w:t>1.1.3.9 永久占地包括：</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kern w:val="0"/>
          <w:szCs w:val="21"/>
        </w:rPr>
        <w:t>。</w:t>
      </w:r>
    </w:p>
    <w:p>
      <w:pPr>
        <w:pStyle w:val="167"/>
        <w:spacing w:line="360" w:lineRule="auto"/>
        <w:ind w:firstLine="420" w:firstLineChars="200"/>
        <w:jc w:val="left"/>
        <w:rPr>
          <w:rFonts w:ascii="宋体" w:hAnsi="宋体"/>
          <w:color w:val="000000"/>
          <w:szCs w:val="21"/>
        </w:rPr>
      </w:pPr>
      <w:r>
        <w:rPr>
          <w:rFonts w:ascii="宋体" w:hAnsi="宋体"/>
          <w:color w:val="000000"/>
          <w:kern w:val="0"/>
          <w:szCs w:val="21"/>
        </w:rPr>
        <w:t>1.1.3.10 临时占地包括：</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kern w:val="0"/>
          <w:szCs w:val="21"/>
        </w:rPr>
        <w:t>。</w:t>
      </w:r>
    </w:p>
    <w:p>
      <w:pPr>
        <w:pStyle w:val="167"/>
        <w:spacing w:after="120" w:line="360" w:lineRule="auto"/>
        <w:ind w:firstLine="420" w:firstLineChars="200"/>
        <w:rPr>
          <w:rFonts w:ascii="宋体" w:hAnsi="宋体"/>
          <w:color w:val="000000"/>
          <w:szCs w:val="21"/>
        </w:rPr>
      </w:pPr>
      <w:r>
        <w:rPr>
          <w:rFonts w:ascii="宋体" w:hAnsi="宋体"/>
          <w:color w:val="000000"/>
          <w:szCs w:val="21"/>
        </w:rPr>
        <w:t xml:space="preserve">1.3法律 </w:t>
      </w:r>
    </w:p>
    <w:p>
      <w:pPr>
        <w:pStyle w:val="167"/>
        <w:autoSpaceDE w:val="0"/>
        <w:autoSpaceDN w:val="0"/>
        <w:adjustRightInd w:val="0"/>
        <w:spacing w:line="360" w:lineRule="auto"/>
        <w:ind w:left="596" w:leftChars="284"/>
        <w:jc w:val="left"/>
        <w:rPr>
          <w:rFonts w:ascii="宋体" w:hAnsi="宋体"/>
          <w:color w:val="000000"/>
          <w:szCs w:val="21"/>
          <w:u w:val="single"/>
        </w:rPr>
      </w:pPr>
      <w:r>
        <w:rPr>
          <w:rFonts w:ascii="宋体" w:hAnsi="宋体"/>
          <w:color w:val="000000"/>
          <w:szCs w:val="21"/>
        </w:rPr>
        <w:t>适用于合同的其他规范性文件：</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p>
    <w:p>
      <w:pPr>
        <w:pStyle w:val="167"/>
        <w:autoSpaceDE w:val="0"/>
        <w:autoSpaceDN w:val="0"/>
        <w:adjustRightInd w:val="0"/>
        <w:spacing w:line="360" w:lineRule="auto"/>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after="120" w:line="360" w:lineRule="auto"/>
        <w:ind w:firstLine="420" w:firstLineChars="200"/>
        <w:rPr>
          <w:rFonts w:ascii="宋体" w:hAnsi="宋体"/>
          <w:color w:val="000000"/>
          <w:szCs w:val="21"/>
        </w:rPr>
      </w:pPr>
      <w:r>
        <w:rPr>
          <w:rFonts w:ascii="宋体" w:hAnsi="宋体"/>
          <w:color w:val="000000"/>
          <w:szCs w:val="21"/>
        </w:rPr>
        <w:t>1.4 标准和规范</w:t>
      </w:r>
    </w:p>
    <w:p>
      <w:pPr>
        <w:pStyle w:val="167"/>
        <w:spacing w:line="360" w:lineRule="auto"/>
        <w:ind w:left="596" w:leftChars="284"/>
        <w:rPr>
          <w:rFonts w:ascii="宋体" w:hAnsi="宋体"/>
          <w:color w:val="000000"/>
          <w:szCs w:val="21"/>
        </w:rPr>
      </w:pPr>
      <w:r>
        <w:rPr>
          <w:rFonts w:ascii="宋体" w:hAnsi="宋体"/>
          <w:color w:val="000000"/>
          <w:szCs w:val="21"/>
        </w:rPr>
        <w:t>1.4.1适用于工程的标准规范包括：</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kern w:val="0"/>
          <w:szCs w:val="21"/>
          <w:u w:val="single"/>
        </w:rPr>
      </w:pPr>
      <w:r>
        <w:rPr>
          <w:rFonts w:ascii="宋体" w:hAnsi="宋体"/>
          <w:color w:val="000000"/>
          <w:kern w:val="0"/>
          <w:szCs w:val="21"/>
        </w:rPr>
        <w:t>1.4.2 发包人提供国外标准、规范的名称：</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p>
    <w:p>
      <w:pPr>
        <w:pStyle w:val="167"/>
        <w:spacing w:line="360" w:lineRule="auto"/>
        <w:rPr>
          <w:rFonts w:ascii="宋体" w:hAnsi="宋体"/>
          <w:color w:val="000000"/>
          <w:kern w:val="0"/>
          <w:szCs w:val="21"/>
        </w:rPr>
      </w:pP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ascii="宋体" w:hAnsi="宋体"/>
          <w:color w:val="000000"/>
          <w:kern w:val="0"/>
          <w:szCs w:val="21"/>
        </w:rPr>
        <w:t>；</w:t>
      </w:r>
    </w:p>
    <w:p>
      <w:pPr>
        <w:pStyle w:val="167"/>
        <w:spacing w:line="360" w:lineRule="auto"/>
        <w:ind w:firstLine="420" w:firstLineChars="200"/>
        <w:rPr>
          <w:rFonts w:ascii="宋体" w:hAnsi="宋体"/>
          <w:color w:val="000000"/>
          <w:kern w:val="0"/>
          <w:szCs w:val="21"/>
        </w:rPr>
      </w:pPr>
      <w:r>
        <w:rPr>
          <w:rFonts w:ascii="宋体" w:hAnsi="宋体"/>
          <w:color w:val="000000"/>
          <w:kern w:val="0"/>
          <w:szCs w:val="21"/>
        </w:rPr>
        <w:t>发包人提供国外标准、规范的份数：</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ascii="宋体" w:hAnsi="宋体"/>
          <w:color w:val="000000"/>
          <w:kern w:val="0"/>
          <w:szCs w:val="21"/>
        </w:rPr>
        <w:t>；</w:t>
      </w:r>
    </w:p>
    <w:p>
      <w:pPr>
        <w:pStyle w:val="167"/>
        <w:spacing w:line="360" w:lineRule="auto"/>
        <w:ind w:firstLine="420" w:firstLineChars="200"/>
        <w:rPr>
          <w:rFonts w:ascii="宋体" w:hAnsi="宋体"/>
          <w:color w:val="000000"/>
          <w:szCs w:val="21"/>
        </w:rPr>
      </w:pPr>
      <w:r>
        <w:rPr>
          <w:rFonts w:ascii="宋体" w:hAnsi="宋体"/>
          <w:color w:val="000000"/>
          <w:kern w:val="0"/>
          <w:szCs w:val="21"/>
        </w:rPr>
        <w:t>发包人提供国外标准、规范的名称：</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ascii="宋体" w:hAnsi="宋体"/>
          <w:color w:val="000000"/>
          <w:kern w:val="0"/>
          <w:szCs w:val="21"/>
        </w:rPr>
        <w:t>。</w:t>
      </w:r>
    </w:p>
    <w:p>
      <w:pPr>
        <w:pStyle w:val="167"/>
        <w:spacing w:line="360" w:lineRule="auto"/>
        <w:ind w:left="596" w:leftChars="284"/>
        <w:rPr>
          <w:rFonts w:ascii="宋体" w:hAnsi="宋体"/>
          <w:color w:val="000000"/>
          <w:szCs w:val="21"/>
        </w:rPr>
      </w:pPr>
      <w:r>
        <w:rPr>
          <w:rFonts w:ascii="宋体" w:hAnsi="宋体"/>
          <w:color w:val="000000"/>
          <w:szCs w:val="21"/>
        </w:rPr>
        <w:t>1.4.3发包人对工程的技术标准和功能要求的特殊要求：</w:t>
      </w:r>
    </w:p>
    <w:p>
      <w:pPr>
        <w:pStyle w:val="167"/>
        <w:spacing w:line="360" w:lineRule="auto"/>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after="120" w:line="360" w:lineRule="auto"/>
        <w:ind w:firstLine="420" w:firstLineChars="200"/>
        <w:rPr>
          <w:rFonts w:ascii="宋体" w:hAnsi="宋体"/>
          <w:color w:val="000000"/>
          <w:szCs w:val="21"/>
        </w:rPr>
      </w:pPr>
      <w:r>
        <w:rPr>
          <w:rFonts w:ascii="宋体" w:hAnsi="宋体"/>
          <w:color w:val="000000"/>
          <w:szCs w:val="21"/>
        </w:rPr>
        <w:t>1.5 合同文件的优先顺序</w:t>
      </w:r>
    </w:p>
    <w:p>
      <w:pPr>
        <w:pStyle w:val="167"/>
        <w:spacing w:line="360" w:lineRule="auto"/>
        <w:ind w:firstLine="420" w:firstLineChars="200"/>
        <w:jc w:val="left"/>
        <w:rPr>
          <w:rFonts w:ascii="宋体" w:hAnsi="宋体"/>
          <w:color w:val="000000"/>
          <w:szCs w:val="21"/>
          <w:u w:val="single"/>
        </w:rPr>
      </w:pPr>
      <w:r>
        <w:rPr>
          <w:rFonts w:ascii="宋体" w:hAnsi="宋体"/>
          <w:color w:val="000000"/>
          <w:szCs w:val="21"/>
        </w:rPr>
        <w:t>合同文件组成及优先顺序为：</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ind w:firstLine="420" w:firstLineChars="200"/>
        <w:jc w:val="left"/>
        <w:rPr>
          <w:rFonts w:ascii="宋体" w:hAnsi="宋体"/>
          <w:color w:val="000000"/>
          <w:szCs w:val="21"/>
          <w:u w:val="single"/>
        </w:rPr>
      </w:pPr>
      <w:r>
        <w:rPr>
          <w:rFonts w:ascii="宋体" w:hAnsi="宋体"/>
          <w:color w:val="000000"/>
          <w:szCs w:val="21"/>
          <w:u w:val="single"/>
        </w:rPr>
        <w:t xml:space="preserve">                                                       </w:t>
      </w:r>
    </w:p>
    <w:p>
      <w:pPr>
        <w:pStyle w:val="167"/>
        <w:spacing w:line="360" w:lineRule="auto"/>
        <w:ind w:firstLine="420" w:firstLineChars="200"/>
        <w:jc w:val="left"/>
        <w:rPr>
          <w:rFonts w:ascii="宋体" w:hAnsi="宋体"/>
          <w:color w:val="000000"/>
          <w:szCs w:val="21"/>
        </w:rPr>
      </w:pPr>
      <w:r>
        <w:rPr>
          <w:rFonts w:ascii="宋体" w:hAnsi="宋体"/>
          <w:color w:val="000000"/>
          <w:szCs w:val="21"/>
          <w:u w:val="single"/>
        </w:rPr>
        <w:t xml:space="preserve">                                            </w:t>
      </w:r>
      <w:r>
        <w:rPr>
          <w:rFonts w:ascii="宋体" w:hAnsi="宋体"/>
          <w:color w:val="000000"/>
          <w:szCs w:val="21"/>
        </w:rPr>
        <w:t>。</w:t>
      </w:r>
    </w:p>
    <w:p>
      <w:pPr>
        <w:pStyle w:val="167"/>
        <w:spacing w:after="120" w:line="360" w:lineRule="auto"/>
        <w:ind w:firstLine="420" w:firstLineChars="200"/>
        <w:rPr>
          <w:rFonts w:ascii="宋体" w:hAnsi="宋体"/>
          <w:color w:val="000000"/>
          <w:szCs w:val="21"/>
        </w:rPr>
      </w:pPr>
      <w:r>
        <w:rPr>
          <w:rFonts w:ascii="宋体" w:hAnsi="宋体"/>
          <w:color w:val="000000"/>
          <w:szCs w:val="21"/>
        </w:rPr>
        <w:t>1.6 图纸和承包人文件</w:t>
      </w:r>
      <w:r>
        <w:rPr>
          <w:rFonts w:ascii="宋体" w:hAnsi="宋体"/>
          <w:color w:val="000000"/>
          <w:szCs w:val="21"/>
        </w:rPr>
        <w:tab/>
      </w:r>
    </w:p>
    <w:p>
      <w:pPr>
        <w:pStyle w:val="167"/>
        <w:spacing w:line="360" w:lineRule="auto"/>
        <w:ind w:firstLine="420" w:firstLineChars="200"/>
        <w:rPr>
          <w:rFonts w:ascii="宋体" w:hAnsi="宋体"/>
          <w:color w:val="000000"/>
          <w:szCs w:val="21"/>
        </w:rPr>
      </w:pPr>
      <w:r>
        <w:rPr>
          <w:rFonts w:ascii="宋体" w:hAnsi="宋体"/>
          <w:color w:val="000000"/>
          <w:szCs w:val="21"/>
        </w:rPr>
        <w:t>1.6.1 图纸的提供</w:t>
      </w:r>
    </w:p>
    <w:p>
      <w:pPr>
        <w:pStyle w:val="167"/>
        <w:spacing w:line="360" w:lineRule="auto"/>
        <w:ind w:firstLine="420" w:firstLineChars="200"/>
        <w:rPr>
          <w:rFonts w:ascii="宋体" w:hAnsi="宋体"/>
          <w:color w:val="000000"/>
          <w:szCs w:val="21"/>
        </w:rPr>
      </w:pPr>
      <w:r>
        <w:rPr>
          <w:rFonts w:ascii="宋体" w:hAnsi="宋体"/>
          <w:color w:val="000000"/>
          <w:szCs w:val="21"/>
        </w:rPr>
        <w:t>发包人向承包人提供图纸的期限：</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rPr>
      </w:pPr>
      <w:r>
        <w:rPr>
          <w:rFonts w:ascii="宋体" w:hAnsi="宋体"/>
          <w:color w:val="000000"/>
          <w:szCs w:val="21"/>
        </w:rPr>
        <w:t>发包人向承包人提供图纸的数量：</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rPr>
      </w:pPr>
      <w:r>
        <w:rPr>
          <w:rFonts w:ascii="宋体" w:hAnsi="宋体"/>
          <w:color w:val="000000"/>
          <w:szCs w:val="21"/>
        </w:rPr>
        <w:t>发包人向承包人提供图纸的内容：</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rPr>
      </w:pPr>
      <w:r>
        <w:rPr>
          <w:rFonts w:ascii="宋体" w:hAnsi="宋体"/>
          <w:color w:val="000000"/>
          <w:szCs w:val="21"/>
        </w:rPr>
        <w:t>1.6.4 承包人文件</w:t>
      </w:r>
    </w:p>
    <w:p>
      <w:pPr>
        <w:pStyle w:val="167"/>
        <w:spacing w:line="360" w:lineRule="auto"/>
        <w:ind w:left="596" w:leftChars="284"/>
        <w:jc w:val="left"/>
        <w:rPr>
          <w:rFonts w:ascii="宋体" w:hAnsi="宋体"/>
          <w:color w:val="000000"/>
          <w:szCs w:val="21"/>
          <w:u w:val="single"/>
        </w:rPr>
      </w:pPr>
      <w:r>
        <w:rPr>
          <w:rFonts w:ascii="宋体" w:hAnsi="宋体"/>
          <w:color w:val="000000"/>
          <w:szCs w:val="21"/>
        </w:rPr>
        <w:t>需要由承包人提供的文件，包括：</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ind w:left="596" w:leftChars="284"/>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承包人提供的文件的期限为：</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承包人提供的文件的数量为：</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承包人提供的文件的形式为：</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发包人</w:t>
      </w:r>
      <w:r>
        <w:rPr>
          <w:rFonts w:hint="eastAsia" w:ascii="宋体" w:hAnsi="宋体"/>
          <w:color w:val="000000"/>
          <w:szCs w:val="21"/>
        </w:rPr>
        <w:t>审批</w:t>
      </w:r>
      <w:r>
        <w:rPr>
          <w:rFonts w:ascii="宋体" w:hAnsi="宋体"/>
          <w:color w:val="000000"/>
          <w:szCs w:val="21"/>
        </w:rPr>
        <w:t>承包人文件的期限：</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rPr>
      </w:pPr>
      <w:r>
        <w:rPr>
          <w:rFonts w:ascii="宋体" w:hAnsi="宋体"/>
          <w:color w:val="000000"/>
          <w:szCs w:val="21"/>
        </w:rPr>
        <w:t>1.6.5 现场图纸准备</w:t>
      </w:r>
    </w:p>
    <w:p>
      <w:pPr>
        <w:pStyle w:val="167"/>
        <w:spacing w:line="360" w:lineRule="auto"/>
        <w:ind w:firstLine="420" w:firstLineChars="200"/>
        <w:rPr>
          <w:rFonts w:ascii="宋体" w:hAnsi="宋体"/>
          <w:color w:val="000000"/>
          <w:szCs w:val="21"/>
        </w:rPr>
      </w:pPr>
      <w:r>
        <w:rPr>
          <w:rFonts w:ascii="宋体" w:hAnsi="宋体"/>
          <w:color w:val="000000"/>
          <w:szCs w:val="21"/>
        </w:rPr>
        <w:t>关于现场图纸准备的约定：</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after="120" w:line="360" w:lineRule="auto"/>
        <w:ind w:firstLine="420" w:firstLineChars="200"/>
        <w:rPr>
          <w:rFonts w:ascii="宋体" w:hAnsi="宋体"/>
          <w:color w:val="000000"/>
          <w:szCs w:val="21"/>
        </w:rPr>
      </w:pPr>
      <w:r>
        <w:rPr>
          <w:rFonts w:ascii="宋体" w:hAnsi="宋体"/>
          <w:color w:val="000000"/>
          <w:szCs w:val="21"/>
        </w:rPr>
        <w:t>1.7 联络</w:t>
      </w:r>
    </w:p>
    <w:p>
      <w:pPr>
        <w:pStyle w:val="167"/>
        <w:spacing w:line="360" w:lineRule="auto"/>
        <w:ind w:firstLine="420" w:firstLineChars="200"/>
        <w:rPr>
          <w:rFonts w:ascii="宋体" w:hAnsi="宋体"/>
          <w:color w:val="000000"/>
          <w:kern w:val="0"/>
          <w:szCs w:val="21"/>
        </w:rPr>
      </w:pPr>
      <w:r>
        <w:rPr>
          <w:rFonts w:ascii="宋体" w:hAnsi="宋体"/>
          <w:color w:val="000000"/>
          <w:kern w:val="0"/>
          <w:szCs w:val="21"/>
        </w:rPr>
        <w:t>1.7.1发包人和承包人应当在</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kern w:val="0"/>
          <w:szCs w:val="21"/>
        </w:rPr>
        <w:t>天内将与合同有关的通知、批准、证明、证书、指示、指令、要求、请求、同意、意见、确定和决定等书面函件送达对方当事人</w:t>
      </w:r>
      <w:r>
        <w:rPr>
          <w:rFonts w:hint="eastAsia" w:ascii="宋体" w:hAnsi="宋体"/>
          <w:color w:val="000000"/>
          <w:kern w:val="0"/>
          <w:szCs w:val="21"/>
        </w:rPr>
        <w:t>。</w:t>
      </w:r>
    </w:p>
    <w:p>
      <w:pPr>
        <w:pStyle w:val="167"/>
        <w:spacing w:line="360" w:lineRule="auto"/>
        <w:ind w:firstLine="420" w:firstLineChars="200"/>
        <w:rPr>
          <w:rFonts w:ascii="宋体" w:hAnsi="宋体"/>
          <w:color w:val="000000"/>
          <w:kern w:val="0"/>
          <w:szCs w:val="21"/>
        </w:rPr>
      </w:pPr>
      <w:r>
        <w:rPr>
          <w:rFonts w:ascii="宋体" w:hAnsi="宋体"/>
          <w:color w:val="000000"/>
          <w:kern w:val="0"/>
          <w:szCs w:val="21"/>
        </w:rPr>
        <w:t>1.7.2 发包人接收文件的地点：</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kern w:val="0"/>
          <w:szCs w:val="21"/>
        </w:rPr>
        <w:t>；</w:t>
      </w:r>
    </w:p>
    <w:p>
      <w:pPr>
        <w:pStyle w:val="167"/>
        <w:spacing w:line="360" w:lineRule="auto"/>
        <w:ind w:firstLine="420" w:firstLineChars="200"/>
        <w:rPr>
          <w:rFonts w:ascii="宋体" w:hAnsi="宋体"/>
          <w:color w:val="000000"/>
          <w:kern w:val="0"/>
          <w:szCs w:val="21"/>
        </w:rPr>
      </w:pPr>
      <w:r>
        <w:rPr>
          <w:rFonts w:ascii="宋体" w:hAnsi="宋体"/>
          <w:color w:val="000000"/>
          <w:kern w:val="0"/>
          <w:szCs w:val="21"/>
        </w:rPr>
        <w:t>发包人指定的接收人为：</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kern w:val="0"/>
          <w:szCs w:val="21"/>
        </w:rPr>
        <w:t>。</w:t>
      </w:r>
    </w:p>
    <w:p>
      <w:pPr>
        <w:pStyle w:val="167"/>
        <w:spacing w:line="360" w:lineRule="auto"/>
        <w:ind w:firstLine="420" w:firstLineChars="200"/>
        <w:rPr>
          <w:rFonts w:ascii="宋体" w:hAnsi="宋体"/>
          <w:color w:val="000000"/>
          <w:kern w:val="0"/>
          <w:szCs w:val="21"/>
        </w:rPr>
      </w:pPr>
      <w:r>
        <w:rPr>
          <w:rFonts w:ascii="宋体" w:hAnsi="宋体"/>
          <w:color w:val="000000"/>
          <w:kern w:val="0"/>
          <w:szCs w:val="21"/>
        </w:rPr>
        <w:t>承包人接收文件的地点：</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kern w:val="0"/>
          <w:szCs w:val="21"/>
        </w:rPr>
        <w:t>；</w:t>
      </w:r>
    </w:p>
    <w:p>
      <w:pPr>
        <w:pStyle w:val="167"/>
        <w:spacing w:line="360" w:lineRule="auto"/>
        <w:ind w:firstLine="420" w:firstLineChars="200"/>
        <w:rPr>
          <w:rFonts w:ascii="宋体" w:hAnsi="宋体"/>
          <w:color w:val="000000"/>
          <w:kern w:val="0"/>
          <w:szCs w:val="21"/>
        </w:rPr>
      </w:pPr>
      <w:r>
        <w:rPr>
          <w:rFonts w:ascii="宋体" w:hAnsi="宋体"/>
          <w:color w:val="000000"/>
          <w:kern w:val="0"/>
          <w:szCs w:val="21"/>
        </w:rPr>
        <w:t>承包人指定的接收人为：</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kern w:val="0"/>
          <w:szCs w:val="21"/>
        </w:rPr>
        <w:t>。</w:t>
      </w:r>
    </w:p>
    <w:p>
      <w:pPr>
        <w:pStyle w:val="167"/>
        <w:spacing w:line="360" w:lineRule="auto"/>
        <w:ind w:firstLine="420" w:firstLineChars="200"/>
        <w:rPr>
          <w:rFonts w:ascii="宋体" w:hAnsi="宋体"/>
          <w:color w:val="000000"/>
          <w:kern w:val="0"/>
          <w:szCs w:val="21"/>
        </w:rPr>
      </w:pPr>
      <w:r>
        <w:rPr>
          <w:rFonts w:ascii="宋体" w:hAnsi="宋体"/>
          <w:color w:val="000000"/>
          <w:kern w:val="0"/>
          <w:szCs w:val="21"/>
        </w:rPr>
        <w:t>监理人接收文件的地点：</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kern w:val="0"/>
          <w:szCs w:val="21"/>
        </w:rPr>
        <w:t>；</w:t>
      </w:r>
    </w:p>
    <w:p>
      <w:pPr>
        <w:pStyle w:val="167"/>
        <w:spacing w:line="360" w:lineRule="auto"/>
        <w:ind w:firstLine="420" w:firstLineChars="200"/>
        <w:rPr>
          <w:rFonts w:ascii="宋体" w:hAnsi="宋体"/>
          <w:color w:val="000000"/>
          <w:kern w:val="0"/>
          <w:szCs w:val="21"/>
        </w:rPr>
      </w:pPr>
      <w:r>
        <w:rPr>
          <w:rFonts w:ascii="宋体" w:hAnsi="宋体"/>
          <w:color w:val="000000"/>
          <w:kern w:val="0"/>
          <w:szCs w:val="21"/>
        </w:rPr>
        <w:t>监理人指定的接收人为：</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kern w:val="0"/>
          <w:szCs w:val="21"/>
        </w:rPr>
        <w:t>。</w:t>
      </w:r>
    </w:p>
    <w:p>
      <w:pPr>
        <w:pStyle w:val="167"/>
        <w:spacing w:after="120" w:line="360" w:lineRule="auto"/>
        <w:ind w:firstLine="420" w:firstLineChars="200"/>
        <w:rPr>
          <w:rFonts w:ascii="宋体" w:hAnsi="宋体"/>
          <w:color w:val="000000"/>
          <w:szCs w:val="21"/>
        </w:rPr>
      </w:pPr>
      <w:r>
        <w:rPr>
          <w:rFonts w:ascii="宋体" w:hAnsi="宋体"/>
          <w:color w:val="000000"/>
          <w:szCs w:val="21"/>
        </w:rPr>
        <w:t>1.10 交通运输</w:t>
      </w:r>
    </w:p>
    <w:p>
      <w:pPr>
        <w:pStyle w:val="167"/>
        <w:spacing w:line="360" w:lineRule="auto"/>
        <w:ind w:firstLine="420" w:firstLineChars="200"/>
        <w:rPr>
          <w:rFonts w:ascii="宋体" w:hAnsi="宋体"/>
          <w:color w:val="000000"/>
          <w:szCs w:val="21"/>
        </w:rPr>
      </w:pPr>
      <w:r>
        <w:rPr>
          <w:rFonts w:ascii="宋体" w:hAnsi="宋体"/>
          <w:color w:val="000000"/>
          <w:szCs w:val="21"/>
        </w:rPr>
        <w:t>1</w:t>
      </w:r>
      <w:bookmarkStart w:id="429" w:name="_Toc303539100"/>
      <w:bookmarkStart w:id="430" w:name="_Toc304295521"/>
      <w:bookmarkStart w:id="431" w:name="_Toc300934943"/>
      <w:bookmarkStart w:id="432" w:name="_Toc318581155"/>
      <w:bookmarkStart w:id="433" w:name="_Toc312677986"/>
      <w:r>
        <w:rPr>
          <w:rFonts w:ascii="宋体" w:hAnsi="宋体"/>
          <w:color w:val="000000"/>
          <w:szCs w:val="21"/>
        </w:rPr>
        <w:t>.10.1 出入现场的权利</w:t>
      </w:r>
    </w:p>
    <w:p>
      <w:pPr>
        <w:pStyle w:val="167"/>
        <w:spacing w:line="360" w:lineRule="auto"/>
        <w:ind w:left="596" w:leftChars="284"/>
        <w:rPr>
          <w:rFonts w:ascii="宋体" w:hAnsi="宋体"/>
          <w:color w:val="000000"/>
          <w:szCs w:val="21"/>
          <w:u w:val="single"/>
        </w:rPr>
      </w:pPr>
      <w:r>
        <w:rPr>
          <w:rFonts w:ascii="宋体" w:hAnsi="宋体"/>
          <w:color w:val="000000"/>
          <w:szCs w:val="21"/>
        </w:rPr>
        <w:t>关于出入现场的权利的约定：</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bookmarkEnd w:id="429"/>
    <w:bookmarkEnd w:id="430"/>
    <w:bookmarkEnd w:id="431"/>
    <w:bookmarkEnd w:id="432"/>
    <w:bookmarkEnd w:id="433"/>
    <w:p>
      <w:pPr>
        <w:pStyle w:val="167"/>
        <w:spacing w:line="360" w:lineRule="auto"/>
        <w:ind w:firstLine="420" w:firstLineChars="200"/>
        <w:jc w:val="left"/>
        <w:rPr>
          <w:rFonts w:ascii="宋体" w:hAnsi="宋体"/>
          <w:color w:val="000000"/>
          <w:szCs w:val="21"/>
        </w:rPr>
      </w:pPr>
      <w:r>
        <w:rPr>
          <w:rFonts w:ascii="宋体" w:hAnsi="宋体"/>
          <w:color w:val="000000"/>
          <w:szCs w:val="21"/>
        </w:rPr>
        <w:t>1</w:t>
      </w:r>
      <w:bookmarkStart w:id="434" w:name="_Toc318581156"/>
      <w:bookmarkStart w:id="435" w:name="_Toc312677987"/>
      <w:bookmarkStart w:id="436" w:name="_Toc303539101"/>
      <w:bookmarkStart w:id="437" w:name="_Toc304295522"/>
      <w:bookmarkStart w:id="438" w:name="_Toc300934944"/>
      <w:r>
        <w:rPr>
          <w:rFonts w:ascii="宋体" w:hAnsi="宋体"/>
          <w:color w:val="000000"/>
          <w:szCs w:val="21"/>
        </w:rPr>
        <w:t>.10.3 场内交通</w:t>
      </w:r>
    </w:p>
    <w:p>
      <w:pPr>
        <w:pStyle w:val="167"/>
        <w:spacing w:line="360" w:lineRule="auto"/>
        <w:ind w:firstLine="420" w:firstLineChars="200"/>
        <w:jc w:val="left"/>
        <w:rPr>
          <w:rFonts w:ascii="宋体" w:hAnsi="宋体"/>
          <w:color w:val="000000"/>
          <w:szCs w:val="21"/>
          <w:u w:val="single"/>
        </w:rPr>
      </w:pPr>
      <w:r>
        <w:rPr>
          <w:rFonts w:ascii="宋体" w:hAnsi="宋体"/>
          <w:color w:val="000000"/>
          <w:kern w:val="0"/>
          <w:szCs w:val="21"/>
        </w:rPr>
        <w:t>关于场外交通和场内交通的边界的约定：</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jc w:val="left"/>
        <w:rPr>
          <w:rFonts w:ascii="宋体" w:hAnsi="宋体"/>
          <w:color w:val="000000"/>
          <w:kern w:val="0"/>
          <w:szCs w:val="21"/>
        </w:rPr>
      </w:pP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u w:val="single"/>
        </w:rPr>
      </w:pPr>
      <w:r>
        <w:rPr>
          <w:rFonts w:ascii="宋体" w:hAnsi="宋体"/>
          <w:color w:val="000000"/>
          <w:szCs w:val="21"/>
        </w:rPr>
        <w:t>关于发包人向承包人免费提供满足工程施工需要的场内道路和交通设施的约定：</w:t>
      </w:r>
      <w:r>
        <w:rPr>
          <w:rFonts w:ascii="宋体" w:hAnsi="宋体"/>
          <w:color w:val="000000"/>
          <w:szCs w:val="21"/>
          <w:u w:val="single"/>
        </w:rPr>
        <w:t xml:space="preserve">                                           </w:t>
      </w:r>
    </w:p>
    <w:p>
      <w:pPr>
        <w:pStyle w:val="167"/>
        <w:spacing w:line="360" w:lineRule="auto"/>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bookmarkEnd w:id="434"/>
      <w:bookmarkEnd w:id="435"/>
      <w:bookmarkEnd w:id="436"/>
      <w:bookmarkEnd w:id="437"/>
      <w:bookmarkEnd w:id="438"/>
      <w:r>
        <w:rPr>
          <w:rFonts w:ascii="宋体" w:hAnsi="宋体"/>
          <w:color w:val="000000"/>
          <w:szCs w:val="21"/>
        </w:rPr>
        <w:t xml:space="preserve">  </w:t>
      </w:r>
      <w:bookmarkStart w:id="439" w:name="_Toc318581157"/>
    </w:p>
    <w:p>
      <w:pPr>
        <w:pStyle w:val="167"/>
        <w:spacing w:line="360" w:lineRule="auto"/>
        <w:ind w:firstLine="420" w:firstLineChars="200"/>
        <w:jc w:val="left"/>
        <w:rPr>
          <w:rFonts w:ascii="宋体" w:hAnsi="宋体"/>
          <w:color w:val="000000"/>
          <w:szCs w:val="21"/>
        </w:rPr>
      </w:pPr>
      <w:r>
        <w:rPr>
          <w:rFonts w:ascii="宋体" w:hAnsi="宋体"/>
          <w:color w:val="000000"/>
          <w:szCs w:val="21"/>
        </w:rPr>
        <w:t>1.10.4超大件和超重件的运输</w:t>
      </w:r>
    </w:p>
    <w:p>
      <w:pPr>
        <w:pStyle w:val="167"/>
        <w:spacing w:line="360" w:lineRule="auto"/>
        <w:ind w:firstLine="420" w:firstLineChars="200"/>
        <w:jc w:val="left"/>
        <w:rPr>
          <w:rFonts w:ascii="宋体" w:hAnsi="宋体"/>
          <w:color w:val="000000"/>
          <w:szCs w:val="21"/>
        </w:rPr>
      </w:pPr>
      <w:r>
        <w:rPr>
          <w:rFonts w:ascii="宋体" w:hAnsi="宋体"/>
          <w:color w:val="000000"/>
          <w:szCs w:val="21"/>
        </w:rPr>
        <w:t>运输超大件或超重件所需的道路和桥梁临时加固改造费用和其他有关费用由</w:t>
      </w:r>
      <w:r>
        <w:rPr>
          <w:rFonts w:ascii="宋体" w:hAnsi="宋体"/>
          <w:color w:val="000000"/>
          <w:szCs w:val="21"/>
          <w:u w:val="single"/>
        </w:rPr>
        <w:t xml:space="preserve">              </w:t>
      </w:r>
      <w:r>
        <w:rPr>
          <w:rFonts w:ascii="宋体" w:hAnsi="宋体"/>
          <w:color w:val="000000"/>
          <w:szCs w:val="21"/>
        </w:rPr>
        <w:t>承担。</w:t>
      </w:r>
    </w:p>
    <w:bookmarkEnd w:id="439"/>
    <w:p>
      <w:pPr>
        <w:pStyle w:val="167"/>
        <w:spacing w:after="120" w:line="360" w:lineRule="auto"/>
        <w:ind w:firstLine="420" w:firstLineChars="200"/>
        <w:rPr>
          <w:rFonts w:ascii="宋体" w:hAnsi="宋体"/>
          <w:color w:val="000000"/>
          <w:szCs w:val="21"/>
        </w:rPr>
      </w:pPr>
      <w:r>
        <w:rPr>
          <w:rFonts w:ascii="宋体" w:hAnsi="宋体"/>
          <w:color w:val="000000"/>
          <w:szCs w:val="21"/>
        </w:rPr>
        <w:t>1.11 知识产权</w:t>
      </w:r>
    </w:p>
    <w:p>
      <w:pPr>
        <w:pStyle w:val="167"/>
        <w:spacing w:line="360" w:lineRule="auto"/>
        <w:ind w:firstLine="420" w:firstLineChars="200"/>
        <w:rPr>
          <w:rFonts w:ascii="宋体" w:hAnsi="宋体"/>
          <w:color w:val="000000"/>
          <w:szCs w:val="21"/>
          <w:u w:val="single"/>
        </w:rPr>
      </w:pPr>
      <w:r>
        <w:rPr>
          <w:rFonts w:ascii="宋体" w:hAnsi="宋体"/>
          <w:color w:val="000000"/>
          <w:szCs w:val="21"/>
        </w:rPr>
        <w:t>1.11.1关于发包人提供给承包人的图纸、发包人为实施工程自行编制或委托编制的技术规范以及反映发包人关于合同要求或其他类似性质的文件的著作权的归属：</w:t>
      </w:r>
      <w:r>
        <w:rPr>
          <w:rFonts w:ascii="宋体" w:hAnsi="宋体"/>
          <w:color w:val="000000"/>
          <w:szCs w:val="21"/>
          <w:u w:val="single"/>
        </w:rPr>
        <w:t xml:space="preserve">                               </w:t>
      </w:r>
    </w:p>
    <w:p>
      <w:pPr>
        <w:pStyle w:val="167"/>
        <w:spacing w:line="360" w:lineRule="auto"/>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left="596" w:leftChars="284"/>
        <w:rPr>
          <w:rFonts w:ascii="宋体" w:hAnsi="宋体"/>
          <w:color w:val="000000"/>
          <w:szCs w:val="21"/>
        </w:rPr>
      </w:pPr>
      <w:r>
        <w:rPr>
          <w:rFonts w:ascii="宋体" w:hAnsi="宋体"/>
          <w:color w:val="000000"/>
          <w:szCs w:val="21"/>
        </w:rPr>
        <w:t>关于发包人提供的上述文件的使用限制的要求：</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left="596" w:leftChars="284"/>
        <w:rPr>
          <w:rFonts w:ascii="宋体" w:hAnsi="宋体"/>
          <w:color w:val="000000"/>
          <w:szCs w:val="21"/>
        </w:rPr>
      </w:pPr>
      <w:r>
        <w:rPr>
          <w:rFonts w:ascii="宋体" w:hAnsi="宋体"/>
          <w:color w:val="000000"/>
          <w:szCs w:val="21"/>
        </w:rPr>
        <w:t>1.11.2 关于承包人为实施工程所编制文件的著作权的归属：</w:t>
      </w:r>
      <w:r>
        <w:rPr>
          <w:rFonts w:ascii="宋体" w:hAnsi="宋体"/>
          <w:color w:val="000000"/>
          <w:szCs w:val="21"/>
          <w:u w:val="single"/>
        </w:rPr>
        <w:t xml:space="preserve">  </w:t>
      </w:r>
      <w:r>
        <w:rPr>
          <w:rFonts w:hint="eastAsia" w:ascii="宋体" w:hAnsi="宋体"/>
          <w:color w:val="000000"/>
          <w:szCs w:val="21"/>
          <w:u w:val="single"/>
        </w:rPr>
        <w:t xml:space="preserve">  </w:t>
      </w:r>
    </w:p>
    <w:p>
      <w:pPr>
        <w:pStyle w:val="167"/>
        <w:spacing w:line="360" w:lineRule="auto"/>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u w:val="single"/>
        </w:rPr>
      </w:pPr>
      <w:r>
        <w:rPr>
          <w:rFonts w:ascii="宋体" w:hAnsi="宋体"/>
          <w:color w:val="000000"/>
          <w:szCs w:val="21"/>
        </w:rPr>
        <w:t>关于承包人提供的上述文件的使用限制的要求：</w:t>
      </w:r>
      <w:r>
        <w:rPr>
          <w:rFonts w:ascii="宋体" w:hAnsi="宋体"/>
          <w:color w:val="000000"/>
          <w:szCs w:val="21"/>
          <w:u w:val="single"/>
        </w:rPr>
        <w:t xml:space="preserve">             </w:t>
      </w:r>
    </w:p>
    <w:p>
      <w:pPr>
        <w:pStyle w:val="167"/>
        <w:spacing w:line="360" w:lineRule="auto"/>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kern w:val="0"/>
          <w:szCs w:val="21"/>
        </w:rPr>
      </w:pPr>
      <w:r>
        <w:rPr>
          <w:rFonts w:ascii="宋体" w:hAnsi="宋体"/>
          <w:color w:val="000000"/>
          <w:szCs w:val="21"/>
        </w:rPr>
        <w:t>1.11.4 承包人在施工过程中所采用的专利、专有技术、技术秘密的使用费的承担方式：</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kern w:val="0"/>
          <w:szCs w:val="21"/>
        </w:rPr>
        <w:t>。</w:t>
      </w:r>
    </w:p>
    <w:p>
      <w:pPr>
        <w:pStyle w:val="167"/>
        <w:spacing w:after="120" w:line="360" w:lineRule="auto"/>
        <w:ind w:firstLine="420" w:firstLineChars="200"/>
        <w:rPr>
          <w:rFonts w:ascii="宋体" w:hAnsi="宋体"/>
          <w:color w:val="000000"/>
          <w:szCs w:val="21"/>
        </w:rPr>
      </w:pPr>
      <w:r>
        <w:rPr>
          <w:rFonts w:ascii="宋体" w:hAnsi="宋体"/>
          <w:color w:val="000000"/>
          <w:szCs w:val="21"/>
        </w:rPr>
        <w:t>1.13工程量清单错误的修正</w:t>
      </w:r>
    </w:p>
    <w:p>
      <w:pPr>
        <w:pStyle w:val="167"/>
        <w:spacing w:line="360" w:lineRule="auto"/>
        <w:ind w:firstLine="420" w:firstLineChars="200"/>
        <w:rPr>
          <w:rFonts w:ascii="宋体" w:hAnsi="宋体"/>
          <w:color w:val="000000"/>
          <w:szCs w:val="21"/>
        </w:rPr>
      </w:pPr>
      <w:r>
        <w:rPr>
          <w:rFonts w:hint="eastAsia" w:ascii="宋体" w:hAnsi="宋体"/>
          <w:color w:val="000000"/>
          <w:szCs w:val="21"/>
        </w:rPr>
        <w:t>出现工程量清单错误时，是否调整合同价格：</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kern w:val="0"/>
          <w:szCs w:val="21"/>
        </w:rPr>
        <w:t>。</w:t>
      </w:r>
    </w:p>
    <w:p>
      <w:pPr>
        <w:pStyle w:val="167"/>
        <w:spacing w:line="360" w:lineRule="auto"/>
        <w:ind w:firstLine="420" w:firstLineChars="200"/>
        <w:rPr>
          <w:rFonts w:ascii="宋体" w:hAnsi="宋体"/>
          <w:color w:val="000000"/>
          <w:szCs w:val="21"/>
          <w:u w:val="single"/>
        </w:rPr>
      </w:pPr>
      <w:r>
        <w:rPr>
          <w:rFonts w:ascii="宋体" w:hAnsi="宋体"/>
          <w:color w:val="000000"/>
          <w:szCs w:val="21"/>
        </w:rPr>
        <w:t>允许调整合同价格的工程量偏差范围：</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kern w:val="0"/>
          <w:szCs w:val="21"/>
        </w:rPr>
        <w:t>。</w:t>
      </w:r>
    </w:p>
    <w:p>
      <w:pPr>
        <w:pStyle w:val="167"/>
        <w:keepNext/>
        <w:keepLines/>
        <w:spacing w:before="120" w:after="120" w:line="360" w:lineRule="auto"/>
        <w:outlineLvl w:val="3"/>
        <w:rPr>
          <w:rFonts w:ascii="宋体" w:hAnsi="宋体"/>
          <w:bCs/>
          <w:color w:val="000000"/>
          <w:szCs w:val="21"/>
        </w:rPr>
      </w:pPr>
      <w:bookmarkStart w:id="440" w:name="_Toc351203634"/>
      <w:r>
        <w:rPr>
          <w:rFonts w:ascii="宋体" w:hAnsi="宋体"/>
          <w:bCs/>
          <w:color w:val="000000"/>
          <w:szCs w:val="21"/>
        </w:rPr>
        <w:t>2</w:t>
      </w:r>
      <w:bookmarkStart w:id="441" w:name="_Toc296346658"/>
      <w:bookmarkStart w:id="442" w:name="_Toc297120457"/>
      <w:bookmarkStart w:id="443" w:name="_Toc296891197"/>
      <w:bookmarkStart w:id="444" w:name="_Toc292559362"/>
      <w:bookmarkStart w:id="445" w:name="_Toc296347156"/>
      <w:bookmarkStart w:id="446" w:name="_Toc296944496"/>
      <w:bookmarkStart w:id="447" w:name="_Toc296890985"/>
      <w:bookmarkStart w:id="448" w:name="_Toc297048343"/>
      <w:bookmarkStart w:id="449" w:name="_Toc296503157"/>
      <w:bookmarkStart w:id="450" w:name="_Toc292559867"/>
      <w:r>
        <w:rPr>
          <w:rFonts w:ascii="宋体" w:hAnsi="宋体"/>
          <w:bCs/>
          <w:color w:val="000000"/>
          <w:szCs w:val="21"/>
        </w:rPr>
        <w:t>. 发包人</w:t>
      </w:r>
      <w:bookmarkEnd w:id="440"/>
    </w:p>
    <w:bookmarkEnd w:id="441"/>
    <w:bookmarkEnd w:id="442"/>
    <w:bookmarkEnd w:id="443"/>
    <w:bookmarkEnd w:id="444"/>
    <w:bookmarkEnd w:id="445"/>
    <w:bookmarkEnd w:id="446"/>
    <w:bookmarkEnd w:id="447"/>
    <w:bookmarkEnd w:id="448"/>
    <w:bookmarkEnd w:id="449"/>
    <w:bookmarkEnd w:id="450"/>
    <w:p>
      <w:pPr>
        <w:pStyle w:val="167"/>
        <w:spacing w:after="120" w:line="360" w:lineRule="auto"/>
        <w:ind w:firstLine="420" w:firstLineChars="200"/>
        <w:rPr>
          <w:rFonts w:ascii="宋体" w:hAnsi="宋体"/>
          <w:color w:val="000000"/>
          <w:szCs w:val="21"/>
        </w:rPr>
      </w:pPr>
      <w:r>
        <w:rPr>
          <w:rFonts w:ascii="宋体" w:hAnsi="宋体"/>
          <w:color w:val="000000"/>
          <w:szCs w:val="21"/>
        </w:rPr>
        <w:t>2.2 发包人代表</w:t>
      </w:r>
    </w:p>
    <w:p>
      <w:pPr>
        <w:pStyle w:val="167"/>
        <w:spacing w:line="360" w:lineRule="auto"/>
        <w:ind w:firstLine="420" w:firstLineChars="200"/>
        <w:rPr>
          <w:rFonts w:ascii="宋体" w:hAnsi="宋体"/>
          <w:color w:val="000000"/>
          <w:szCs w:val="21"/>
        </w:rPr>
      </w:pPr>
      <w:r>
        <w:rPr>
          <w:rFonts w:ascii="宋体" w:hAnsi="宋体"/>
          <w:color w:val="000000"/>
          <w:szCs w:val="21"/>
        </w:rPr>
        <w:t>发包人代表：</w:t>
      </w:r>
    </w:p>
    <w:p>
      <w:pPr>
        <w:pStyle w:val="167"/>
        <w:spacing w:line="360" w:lineRule="auto"/>
        <w:ind w:firstLine="420" w:firstLineChars="200"/>
        <w:rPr>
          <w:rFonts w:ascii="宋体" w:hAnsi="宋体"/>
          <w:color w:val="000000"/>
          <w:szCs w:val="21"/>
        </w:rPr>
      </w:pPr>
      <w:r>
        <w:rPr>
          <w:rFonts w:ascii="宋体" w:hAnsi="宋体"/>
          <w:color w:val="000000"/>
          <w:szCs w:val="21"/>
        </w:rPr>
        <w:t>姓    名：</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rPr>
      </w:pPr>
      <w:r>
        <w:rPr>
          <w:rFonts w:ascii="宋体" w:hAnsi="宋体"/>
          <w:color w:val="000000"/>
          <w:szCs w:val="21"/>
        </w:rPr>
        <w:t>身份证号：</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rPr>
      </w:pPr>
      <w:r>
        <w:rPr>
          <w:rFonts w:ascii="宋体" w:hAnsi="宋体"/>
          <w:color w:val="000000"/>
          <w:szCs w:val="21"/>
        </w:rPr>
        <w:t>职    务：</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rPr>
      </w:pPr>
      <w:r>
        <w:rPr>
          <w:rFonts w:ascii="宋体" w:hAnsi="宋体"/>
          <w:color w:val="000000"/>
          <w:szCs w:val="21"/>
        </w:rPr>
        <w:t>联系电话：</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rPr>
      </w:pPr>
      <w:r>
        <w:rPr>
          <w:rFonts w:ascii="宋体" w:hAnsi="宋体"/>
          <w:color w:val="000000"/>
          <w:szCs w:val="21"/>
        </w:rPr>
        <w:t>电子信箱：</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rPr>
      </w:pPr>
      <w:r>
        <w:rPr>
          <w:rFonts w:ascii="宋体" w:hAnsi="宋体"/>
          <w:color w:val="000000"/>
          <w:szCs w:val="21"/>
        </w:rPr>
        <w:t>通信地址：</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u w:val="single"/>
        </w:rPr>
      </w:pPr>
      <w:r>
        <w:rPr>
          <w:rFonts w:ascii="宋体" w:hAnsi="宋体"/>
          <w:color w:val="000000"/>
          <w:szCs w:val="21"/>
        </w:rPr>
        <w:t>发包人对发包人代表的授权范围如下：</w:t>
      </w:r>
      <w:r>
        <w:rPr>
          <w:rFonts w:ascii="宋体" w:hAnsi="宋体"/>
          <w:color w:val="000000"/>
          <w:szCs w:val="21"/>
          <w:u w:val="single"/>
        </w:rPr>
        <w:t xml:space="preserve">                     </w:t>
      </w:r>
    </w:p>
    <w:p>
      <w:pPr>
        <w:pStyle w:val="167"/>
        <w:spacing w:line="360" w:lineRule="auto"/>
        <w:rPr>
          <w:rFonts w:ascii="宋体" w:hAnsi="宋体"/>
          <w:b/>
          <w:color w:val="000000"/>
          <w:szCs w:val="21"/>
        </w:rPr>
      </w:pP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rPr>
        <w:t>。</w:t>
      </w:r>
    </w:p>
    <w:p>
      <w:pPr>
        <w:pStyle w:val="167"/>
        <w:spacing w:after="120" w:line="360" w:lineRule="auto"/>
        <w:ind w:firstLine="420" w:firstLineChars="200"/>
        <w:rPr>
          <w:rFonts w:ascii="宋体" w:hAnsi="宋体"/>
          <w:color w:val="000000"/>
          <w:szCs w:val="21"/>
        </w:rPr>
      </w:pPr>
      <w:r>
        <w:rPr>
          <w:rFonts w:ascii="宋体" w:hAnsi="宋体"/>
          <w:color w:val="000000"/>
          <w:szCs w:val="21"/>
        </w:rPr>
        <w:t>2.4 施工现场、施工条件和基础资料的提供</w:t>
      </w:r>
    </w:p>
    <w:p>
      <w:pPr>
        <w:pStyle w:val="167"/>
        <w:spacing w:line="360" w:lineRule="auto"/>
        <w:ind w:firstLine="420" w:firstLineChars="200"/>
        <w:rPr>
          <w:rFonts w:ascii="宋体" w:hAnsi="宋体"/>
          <w:color w:val="000000"/>
          <w:szCs w:val="21"/>
        </w:rPr>
      </w:pPr>
      <w:r>
        <w:rPr>
          <w:rFonts w:ascii="宋体" w:hAnsi="宋体"/>
          <w:color w:val="000000"/>
          <w:szCs w:val="21"/>
        </w:rPr>
        <w:t>2.4.1 提供施工现场</w:t>
      </w:r>
    </w:p>
    <w:p>
      <w:pPr>
        <w:pStyle w:val="167"/>
        <w:spacing w:line="360" w:lineRule="auto"/>
        <w:ind w:firstLine="420" w:firstLineChars="200"/>
        <w:jc w:val="left"/>
        <w:rPr>
          <w:rFonts w:ascii="宋体" w:hAnsi="宋体"/>
          <w:color w:val="000000"/>
          <w:szCs w:val="21"/>
          <w:u w:val="single"/>
        </w:rPr>
      </w:pPr>
      <w:r>
        <w:rPr>
          <w:rFonts w:ascii="宋体" w:hAnsi="宋体"/>
          <w:color w:val="000000"/>
          <w:szCs w:val="21"/>
        </w:rPr>
        <w:t>关于发包人移交施工现场的期限要求：</w:t>
      </w:r>
      <w:r>
        <w:rPr>
          <w:rFonts w:ascii="宋体" w:hAnsi="宋体"/>
          <w:color w:val="000000"/>
          <w:szCs w:val="21"/>
          <w:u w:val="single"/>
        </w:rPr>
        <w:t xml:space="preserve">                     </w:t>
      </w:r>
    </w:p>
    <w:p>
      <w:pPr>
        <w:pStyle w:val="167"/>
        <w:spacing w:line="360" w:lineRule="auto"/>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rPr>
      </w:pPr>
      <w:r>
        <w:rPr>
          <w:rFonts w:ascii="宋体" w:hAnsi="宋体"/>
          <w:color w:val="000000"/>
          <w:szCs w:val="21"/>
        </w:rPr>
        <w:t>2.4.2 提供施工条件</w:t>
      </w:r>
    </w:p>
    <w:p>
      <w:pPr>
        <w:pStyle w:val="167"/>
        <w:spacing w:line="360" w:lineRule="auto"/>
        <w:ind w:firstLine="420" w:firstLineChars="200"/>
        <w:jc w:val="left"/>
        <w:rPr>
          <w:rFonts w:ascii="宋体" w:hAnsi="宋体"/>
          <w:color w:val="000000"/>
          <w:szCs w:val="21"/>
          <w:u w:val="single"/>
        </w:rPr>
      </w:pPr>
      <w:r>
        <w:rPr>
          <w:rFonts w:ascii="宋体" w:hAnsi="宋体"/>
          <w:color w:val="000000"/>
          <w:szCs w:val="21"/>
        </w:rPr>
        <w:t>关于发包人应负责提供施工</w:t>
      </w:r>
      <w:r>
        <w:rPr>
          <w:rFonts w:hint="eastAsia" w:ascii="宋体" w:hAnsi="宋体"/>
          <w:color w:val="000000"/>
          <w:szCs w:val="21"/>
        </w:rPr>
        <w:t>所需要的条件，</w:t>
      </w:r>
      <w:r>
        <w:rPr>
          <w:rFonts w:ascii="宋体" w:hAnsi="宋体"/>
          <w:color w:val="000000"/>
          <w:szCs w:val="21"/>
        </w:rPr>
        <w:t>包括：</w:t>
      </w:r>
      <w:r>
        <w:rPr>
          <w:rFonts w:ascii="宋体" w:hAnsi="宋体"/>
          <w:color w:val="000000"/>
          <w:szCs w:val="21"/>
          <w:u w:val="single"/>
        </w:rPr>
        <w:t xml:space="preserve">           </w:t>
      </w:r>
    </w:p>
    <w:p>
      <w:pPr>
        <w:pStyle w:val="167"/>
        <w:spacing w:line="360" w:lineRule="auto"/>
        <w:jc w:val="left"/>
        <w:rPr>
          <w:rFonts w:ascii="宋体" w:hAnsi="宋体"/>
          <w:color w:val="000000"/>
          <w:szCs w:val="21"/>
          <w:u w:val="single"/>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after="120" w:line="360" w:lineRule="auto"/>
        <w:ind w:firstLine="420" w:firstLineChars="200"/>
        <w:rPr>
          <w:rFonts w:ascii="宋体" w:hAnsi="宋体"/>
          <w:color w:val="000000"/>
          <w:szCs w:val="21"/>
        </w:rPr>
      </w:pPr>
      <w:r>
        <w:rPr>
          <w:rFonts w:ascii="宋体" w:hAnsi="宋体"/>
          <w:color w:val="000000"/>
          <w:szCs w:val="21"/>
        </w:rPr>
        <w:t>2.5 资金来源证明及支付担保</w:t>
      </w:r>
    </w:p>
    <w:p>
      <w:pPr>
        <w:pStyle w:val="167"/>
        <w:spacing w:line="360" w:lineRule="auto"/>
        <w:ind w:firstLine="420" w:firstLineChars="200"/>
        <w:rPr>
          <w:rFonts w:ascii="宋体" w:hAnsi="宋体"/>
          <w:color w:val="000000"/>
          <w:szCs w:val="21"/>
        </w:rPr>
      </w:pPr>
      <w:r>
        <w:rPr>
          <w:rFonts w:ascii="宋体" w:hAnsi="宋体"/>
          <w:color w:val="000000"/>
          <w:szCs w:val="21"/>
        </w:rPr>
        <w:t>发包人提供资金来源证明的期限要求：</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rPr>
      </w:pPr>
      <w:r>
        <w:rPr>
          <w:rFonts w:ascii="宋体" w:hAnsi="宋体"/>
          <w:color w:val="000000"/>
          <w:szCs w:val="21"/>
        </w:rPr>
        <w:t>发包人是否提供支付担保：</w:t>
      </w:r>
      <w:r>
        <w:rPr>
          <w:rFonts w:hint="eastAsia" w:ascii="宋体" w:hAnsi="宋体"/>
          <w:color w:val="000000"/>
          <w:szCs w:val="21"/>
        </w:rPr>
        <w:t>招标人要求中标人提供履约担保的，招标人必须在签订合同前，向中标人提供相同额度的工程款支付担保。</w:t>
      </w:r>
    </w:p>
    <w:p>
      <w:pPr>
        <w:pStyle w:val="167"/>
        <w:spacing w:line="360" w:lineRule="auto"/>
        <w:ind w:firstLine="420" w:firstLineChars="200"/>
        <w:rPr>
          <w:rFonts w:ascii="宋体" w:hAnsi="宋体"/>
          <w:color w:val="000000"/>
          <w:szCs w:val="21"/>
          <w:u w:val="single"/>
        </w:rPr>
      </w:pPr>
      <w:r>
        <w:rPr>
          <w:rFonts w:ascii="宋体" w:hAnsi="宋体"/>
          <w:color w:val="000000"/>
          <w:szCs w:val="21"/>
        </w:rPr>
        <w:t>发包人提供支付担保的形式：</w:t>
      </w:r>
      <w:r>
        <w:rPr>
          <w:rFonts w:hint="eastAsia" w:ascii="宋体" w:hAnsi="宋体"/>
          <w:color w:val="000000"/>
          <w:szCs w:val="21"/>
        </w:rPr>
        <w:t>发包人提供支付担保的形式：担保或者保函；不得超过中标合同金额的10%</w:t>
      </w:r>
      <w:r>
        <w:rPr>
          <w:rFonts w:ascii="宋体" w:hAnsi="宋体"/>
          <w:color w:val="000000"/>
          <w:szCs w:val="21"/>
        </w:rPr>
        <w:t>。</w:t>
      </w:r>
    </w:p>
    <w:p>
      <w:pPr>
        <w:pStyle w:val="167"/>
        <w:keepNext/>
        <w:keepLines/>
        <w:spacing w:before="120" w:after="120" w:line="360" w:lineRule="auto"/>
        <w:outlineLvl w:val="3"/>
        <w:rPr>
          <w:rFonts w:ascii="宋体" w:hAnsi="宋体"/>
          <w:bCs/>
          <w:color w:val="000000"/>
          <w:szCs w:val="21"/>
        </w:rPr>
      </w:pPr>
      <w:bookmarkStart w:id="451" w:name="_Toc351203635"/>
      <w:r>
        <w:rPr>
          <w:rFonts w:ascii="宋体" w:hAnsi="宋体"/>
          <w:bCs/>
          <w:color w:val="000000"/>
          <w:szCs w:val="21"/>
        </w:rPr>
        <w:t>3</w:t>
      </w:r>
      <w:bookmarkStart w:id="452" w:name="_Toc296944497"/>
      <w:bookmarkStart w:id="453" w:name="_Toc297048344"/>
      <w:bookmarkStart w:id="454" w:name="_Toc296503158"/>
      <w:bookmarkStart w:id="455" w:name="_Toc296347157"/>
      <w:bookmarkStart w:id="456" w:name="_Toc292559363"/>
      <w:bookmarkStart w:id="457" w:name="_Toc296891198"/>
      <w:bookmarkStart w:id="458" w:name="_Toc296890986"/>
      <w:bookmarkStart w:id="459" w:name="_Toc296346659"/>
      <w:bookmarkStart w:id="460" w:name="_Toc292559868"/>
      <w:bookmarkStart w:id="461" w:name="_Toc297120458"/>
      <w:r>
        <w:rPr>
          <w:rFonts w:ascii="宋体" w:hAnsi="宋体"/>
          <w:bCs/>
          <w:color w:val="000000"/>
          <w:szCs w:val="21"/>
        </w:rPr>
        <w:t>. 承包人</w:t>
      </w:r>
      <w:bookmarkEnd w:id="451"/>
    </w:p>
    <w:bookmarkEnd w:id="452"/>
    <w:bookmarkEnd w:id="453"/>
    <w:bookmarkEnd w:id="454"/>
    <w:bookmarkEnd w:id="455"/>
    <w:bookmarkEnd w:id="456"/>
    <w:bookmarkEnd w:id="457"/>
    <w:bookmarkEnd w:id="458"/>
    <w:bookmarkEnd w:id="459"/>
    <w:bookmarkEnd w:id="460"/>
    <w:bookmarkEnd w:id="461"/>
    <w:p>
      <w:pPr>
        <w:pStyle w:val="167"/>
        <w:spacing w:after="120" w:line="360" w:lineRule="auto"/>
        <w:ind w:firstLine="420" w:firstLineChars="200"/>
        <w:rPr>
          <w:rFonts w:ascii="宋体" w:hAnsi="宋体"/>
          <w:color w:val="000000"/>
          <w:szCs w:val="21"/>
        </w:rPr>
      </w:pPr>
      <w:r>
        <w:rPr>
          <w:rFonts w:ascii="宋体" w:hAnsi="宋体"/>
          <w:color w:val="000000"/>
          <w:szCs w:val="21"/>
        </w:rPr>
        <w:t>3.1 承包人的一般义务</w:t>
      </w:r>
    </w:p>
    <w:p>
      <w:pPr>
        <w:pStyle w:val="167"/>
        <w:spacing w:line="360" w:lineRule="auto"/>
        <w:ind w:firstLine="420" w:firstLineChars="200"/>
        <w:jc w:val="left"/>
        <w:rPr>
          <w:rFonts w:ascii="宋体" w:hAnsi="宋体"/>
          <w:color w:val="000000"/>
          <w:szCs w:val="21"/>
          <w:u w:val="single"/>
        </w:rPr>
      </w:pPr>
      <w:r>
        <w:rPr>
          <w:rFonts w:ascii="宋体" w:hAnsi="宋体"/>
          <w:color w:val="000000"/>
          <w:kern w:val="0"/>
          <w:szCs w:val="21"/>
        </w:rPr>
        <w:t>（5）</w:t>
      </w:r>
      <w:r>
        <w:rPr>
          <w:rFonts w:ascii="宋体" w:hAnsi="宋体"/>
          <w:color w:val="000000"/>
          <w:szCs w:val="21"/>
        </w:rPr>
        <w:t>承包人提交的竣工资料的内容：</w:t>
      </w:r>
      <w:r>
        <w:rPr>
          <w:rFonts w:ascii="宋体" w:hAnsi="宋体"/>
          <w:color w:val="000000"/>
          <w:szCs w:val="21"/>
          <w:u w:val="single"/>
        </w:rPr>
        <w:t xml:space="preserve">                     </w:t>
      </w:r>
      <w:r>
        <w:rPr>
          <w:rFonts w:ascii="宋体" w:hAnsi="宋体"/>
          <w:color w:val="000000"/>
          <w:szCs w:val="21"/>
        </w:rPr>
        <w:t xml:space="preserve"> </w:t>
      </w:r>
    </w:p>
    <w:p>
      <w:pPr>
        <w:pStyle w:val="167"/>
        <w:spacing w:line="360" w:lineRule="auto"/>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承包人需要提交的竣工资料套数：</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left="638" w:leftChars="304"/>
        <w:jc w:val="left"/>
        <w:rPr>
          <w:rFonts w:ascii="宋体" w:hAnsi="宋体"/>
          <w:color w:val="000000"/>
          <w:szCs w:val="21"/>
        </w:rPr>
      </w:pPr>
      <w:r>
        <w:rPr>
          <w:rFonts w:ascii="宋体" w:hAnsi="宋体"/>
          <w:color w:val="000000"/>
          <w:szCs w:val="21"/>
        </w:rPr>
        <w:t>承包人提交的竣工资料的费用承担：</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left="638" w:leftChars="304"/>
        <w:jc w:val="left"/>
        <w:rPr>
          <w:rFonts w:ascii="宋体" w:hAnsi="宋体"/>
          <w:color w:val="000000"/>
          <w:szCs w:val="21"/>
        </w:rPr>
      </w:pPr>
      <w:r>
        <w:rPr>
          <w:rFonts w:ascii="宋体" w:hAnsi="宋体"/>
          <w:color w:val="000000"/>
          <w:szCs w:val="21"/>
        </w:rPr>
        <w:t>承包人提交的竣工资料移交时间：</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承包人提交的竣工资料形式要求：</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u w:val="single"/>
        </w:rPr>
      </w:pPr>
      <w:r>
        <w:rPr>
          <w:rFonts w:ascii="宋体" w:hAnsi="宋体"/>
          <w:color w:val="000000"/>
          <w:kern w:val="0"/>
          <w:szCs w:val="21"/>
        </w:rPr>
        <w:t>（6）承包人应履行的其他义务：</w:t>
      </w:r>
      <w:r>
        <w:rPr>
          <w:rFonts w:ascii="宋体" w:hAnsi="宋体"/>
          <w:color w:val="000000"/>
          <w:szCs w:val="21"/>
          <w:u w:val="single"/>
        </w:rPr>
        <w:t xml:space="preserve">                          </w:t>
      </w:r>
    </w:p>
    <w:p>
      <w:pPr>
        <w:pStyle w:val="167"/>
        <w:spacing w:line="360" w:lineRule="auto"/>
        <w:ind w:firstLine="210" w:firstLineChars="100"/>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after="120" w:line="360" w:lineRule="auto"/>
        <w:ind w:firstLine="420" w:firstLineChars="200"/>
        <w:rPr>
          <w:rFonts w:ascii="宋体" w:hAnsi="宋体"/>
          <w:color w:val="000000"/>
          <w:szCs w:val="21"/>
        </w:rPr>
      </w:pPr>
      <w:r>
        <w:rPr>
          <w:rFonts w:ascii="宋体" w:hAnsi="宋体"/>
          <w:color w:val="000000"/>
          <w:szCs w:val="21"/>
        </w:rPr>
        <w:t>3.2 项目经理</w:t>
      </w:r>
    </w:p>
    <w:p>
      <w:pPr>
        <w:pStyle w:val="167"/>
        <w:spacing w:line="360" w:lineRule="auto"/>
        <w:ind w:firstLine="420" w:firstLineChars="200"/>
        <w:rPr>
          <w:rFonts w:ascii="宋体" w:hAnsi="宋体"/>
          <w:color w:val="000000"/>
          <w:szCs w:val="21"/>
        </w:rPr>
      </w:pPr>
      <w:r>
        <w:rPr>
          <w:rFonts w:ascii="宋体" w:hAnsi="宋体"/>
          <w:color w:val="000000"/>
          <w:kern w:val="0"/>
          <w:szCs w:val="21"/>
        </w:rPr>
        <w:t xml:space="preserve">3.2.1 </w:t>
      </w:r>
      <w:r>
        <w:rPr>
          <w:rFonts w:ascii="宋体" w:hAnsi="宋体"/>
          <w:color w:val="000000"/>
          <w:szCs w:val="21"/>
        </w:rPr>
        <w:t>项目经理：</w:t>
      </w:r>
    </w:p>
    <w:p>
      <w:pPr>
        <w:pStyle w:val="167"/>
        <w:spacing w:line="360" w:lineRule="auto"/>
        <w:ind w:firstLine="420" w:firstLineChars="200"/>
        <w:rPr>
          <w:rFonts w:ascii="宋体" w:hAnsi="宋体"/>
          <w:color w:val="000000"/>
          <w:szCs w:val="21"/>
        </w:rPr>
      </w:pPr>
      <w:r>
        <w:rPr>
          <w:rFonts w:ascii="宋体" w:hAnsi="宋体"/>
          <w:color w:val="000000"/>
          <w:szCs w:val="21"/>
        </w:rPr>
        <w:t>姓    名：</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rPr>
      </w:pPr>
      <w:r>
        <w:rPr>
          <w:rFonts w:ascii="宋体" w:hAnsi="宋体"/>
          <w:color w:val="000000"/>
          <w:szCs w:val="21"/>
        </w:rPr>
        <w:t>身份证号：</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rPr>
      </w:pPr>
      <w:r>
        <w:rPr>
          <w:rFonts w:ascii="宋体" w:hAnsi="宋体"/>
          <w:color w:val="000000"/>
          <w:szCs w:val="21"/>
        </w:rPr>
        <w:t>建造师执业资格等级：</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rPr>
      </w:pPr>
      <w:r>
        <w:rPr>
          <w:rFonts w:ascii="宋体" w:hAnsi="宋体"/>
          <w:color w:val="000000"/>
          <w:szCs w:val="21"/>
        </w:rPr>
        <w:t>建造师注册证书号：</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rPr>
      </w:pPr>
      <w:r>
        <w:rPr>
          <w:rFonts w:ascii="宋体" w:hAnsi="宋体"/>
          <w:color w:val="000000"/>
          <w:szCs w:val="21"/>
        </w:rPr>
        <w:t>建造师执业印章号：</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rPr>
      </w:pPr>
      <w:r>
        <w:rPr>
          <w:rFonts w:ascii="宋体" w:hAnsi="宋体"/>
          <w:color w:val="000000"/>
          <w:szCs w:val="21"/>
        </w:rPr>
        <w:t>安全生产考核合格证书号：</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rPr>
      </w:pPr>
      <w:r>
        <w:rPr>
          <w:rFonts w:ascii="宋体" w:hAnsi="宋体"/>
          <w:color w:val="000000"/>
          <w:szCs w:val="21"/>
        </w:rPr>
        <w:t>联系电话：</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rPr>
      </w:pPr>
      <w:r>
        <w:rPr>
          <w:rFonts w:ascii="宋体" w:hAnsi="宋体"/>
          <w:color w:val="000000"/>
          <w:szCs w:val="21"/>
        </w:rPr>
        <w:t>电子信箱：</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rPr>
      </w:pPr>
      <w:r>
        <w:rPr>
          <w:rFonts w:ascii="宋体" w:hAnsi="宋体"/>
          <w:color w:val="000000"/>
          <w:szCs w:val="21"/>
        </w:rPr>
        <w:t>通信地址：</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承包人对项目经理的授权范围如下：</w:t>
      </w:r>
      <w:r>
        <w:rPr>
          <w:rFonts w:ascii="宋体" w:hAnsi="宋体"/>
          <w:color w:val="000000"/>
          <w:szCs w:val="21"/>
          <w:u w:val="single"/>
        </w:rPr>
        <w:t xml:space="preserve">                      </w:t>
      </w:r>
    </w:p>
    <w:p>
      <w:pPr>
        <w:pStyle w:val="167"/>
        <w:spacing w:line="360" w:lineRule="auto"/>
        <w:ind w:firstLine="210" w:firstLineChars="100"/>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u w:val="single"/>
        </w:rPr>
      </w:pPr>
      <w:r>
        <w:rPr>
          <w:rFonts w:ascii="宋体" w:hAnsi="宋体"/>
          <w:color w:val="000000"/>
          <w:kern w:val="0"/>
          <w:szCs w:val="21"/>
        </w:rPr>
        <w:t>关于项目经理每月在施工现场的时间要求：</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jc w:val="left"/>
        <w:rPr>
          <w:rFonts w:ascii="宋体" w:hAnsi="宋体"/>
          <w:color w:val="000000"/>
          <w:kern w:val="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u w:val="single"/>
        </w:rPr>
      </w:pPr>
      <w:r>
        <w:rPr>
          <w:rFonts w:ascii="宋体" w:hAnsi="宋体"/>
          <w:color w:val="000000"/>
          <w:kern w:val="0"/>
          <w:szCs w:val="21"/>
        </w:rPr>
        <w:t>承包人未提交劳动合同，以及没有为项目经理</w:t>
      </w:r>
      <w:r>
        <w:rPr>
          <w:rFonts w:hint="eastAsia" w:ascii="宋体" w:hAnsi="宋体"/>
          <w:color w:val="000000"/>
          <w:kern w:val="0"/>
          <w:szCs w:val="21"/>
        </w:rPr>
        <w:t>交纳</w:t>
      </w:r>
      <w:r>
        <w:rPr>
          <w:rFonts w:ascii="宋体" w:hAnsi="宋体"/>
          <w:color w:val="000000"/>
          <w:kern w:val="0"/>
          <w:szCs w:val="21"/>
        </w:rPr>
        <w:t>社会保险证明的违约责任：</w:t>
      </w:r>
      <w:r>
        <w:rPr>
          <w:rFonts w:ascii="宋体" w:hAnsi="宋体"/>
          <w:color w:val="000000"/>
          <w:szCs w:val="21"/>
          <w:u w:val="single"/>
        </w:rPr>
        <w:t xml:space="preserve">                                            </w:t>
      </w:r>
    </w:p>
    <w:p>
      <w:pPr>
        <w:pStyle w:val="167"/>
        <w:spacing w:line="360" w:lineRule="auto"/>
        <w:ind w:firstLine="210" w:firstLineChars="100"/>
        <w:rPr>
          <w:rFonts w:ascii="宋体" w:hAnsi="宋体"/>
          <w:color w:val="000000"/>
          <w:kern w:val="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u w:val="single"/>
        </w:rPr>
      </w:pPr>
      <w:r>
        <w:rPr>
          <w:rFonts w:ascii="宋体" w:hAnsi="宋体"/>
          <w:color w:val="000000"/>
          <w:kern w:val="0"/>
          <w:szCs w:val="21"/>
        </w:rPr>
        <w:t>项目经理未经批准，擅自离开施工现场的违约责任：</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jc w:val="left"/>
        <w:rPr>
          <w:rFonts w:ascii="宋体" w:hAnsi="宋体"/>
          <w:color w:val="000000"/>
          <w:szCs w:val="21"/>
          <w:u w:val="single"/>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rPr>
      </w:pPr>
      <w:r>
        <w:rPr>
          <w:rFonts w:ascii="宋体" w:hAnsi="宋体"/>
          <w:color w:val="000000"/>
          <w:szCs w:val="21"/>
        </w:rPr>
        <w:t>3.2.3 承包人擅自更换项目经理的违约责任：</w:t>
      </w:r>
      <w:r>
        <w:rPr>
          <w:rFonts w:ascii="宋体" w:hAnsi="宋体"/>
          <w:color w:val="000000"/>
          <w:szCs w:val="21"/>
          <w:u w:val="single"/>
        </w:rPr>
        <w:t xml:space="preserve">                </w:t>
      </w:r>
    </w:p>
    <w:p>
      <w:pPr>
        <w:pStyle w:val="167"/>
        <w:spacing w:line="360" w:lineRule="auto"/>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rPr>
          <w:rFonts w:ascii="宋体" w:hAnsi="宋体"/>
          <w:color w:val="000000"/>
          <w:szCs w:val="21"/>
          <w:u w:val="single"/>
        </w:rPr>
      </w:pPr>
      <w:r>
        <w:rPr>
          <w:rFonts w:ascii="宋体" w:hAnsi="宋体"/>
          <w:color w:val="000000"/>
          <w:szCs w:val="21"/>
        </w:rPr>
        <w:t xml:space="preserve">    3.2.4 承包人无正当理由拒绝更换项目经理的违约责任：</w:t>
      </w:r>
      <w:r>
        <w:rPr>
          <w:rFonts w:ascii="宋体" w:hAnsi="宋体"/>
          <w:color w:val="000000"/>
          <w:szCs w:val="21"/>
          <w:u w:val="single"/>
        </w:rPr>
        <w:t xml:space="preserve">      </w:t>
      </w:r>
      <w:r>
        <w:rPr>
          <w:rFonts w:ascii="宋体" w:hAnsi="宋体"/>
          <w:color w:val="000000"/>
          <w:szCs w:val="21"/>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p>
    <w:p>
      <w:pPr>
        <w:pStyle w:val="167"/>
        <w:spacing w:line="360" w:lineRule="auto"/>
        <w:rPr>
          <w:rFonts w:ascii="宋体" w:hAnsi="宋体"/>
          <w:color w:val="000000"/>
          <w:szCs w:val="21"/>
        </w:rPr>
      </w:pP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after="120" w:line="360" w:lineRule="auto"/>
        <w:ind w:firstLine="420" w:firstLineChars="200"/>
        <w:rPr>
          <w:rFonts w:ascii="宋体" w:hAnsi="宋体"/>
          <w:color w:val="000000"/>
          <w:szCs w:val="21"/>
        </w:rPr>
      </w:pPr>
      <w:r>
        <w:rPr>
          <w:rFonts w:ascii="宋体" w:hAnsi="宋体"/>
          <w:color w:val="000000"/>
          <w:szCs w:val="21"/>
        </w:rPr>
        <w:t>3.3 承包人人员</w:t>
      </w:r>
    </w:p>
    <w:p>
      <w:pPr>
        <w:pStyle w:val="167"/>
        <w:spacing w:line="360" w:lineRule="auto"/>
        <w:ind w:firstLine="420" w:firstLineChars="200"/>
        <w:rPr>
          <w:rFonts w:ascii="宋体" w:hAnsi="宋体"/>
          <w:color w:val="000000"/>
          <w:szCs w:val="21"/>
        </w:rPr>
      </w:pPr>
      <w:r>
        <w:rPr>
          <w:rFonts w:ascii="宋体" w:hAnsi="宋体"/>
          <w:color w:val="000000"/>
          <w:szCs w:val="21"/>
        </w:rPr>
        <w:t>3.3.1 承包人提交项目管理机构及施工现场管理人员安排报告的期限：</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rPr>
      </w:pPr>
      <w:r>
        <w:rPr>
          <w:rFonts w:ascii="宋体" w:hAnsi="宋体"/>
          <w:color w:val="000000"/>
          <w:szCs w:val="21"/>
        </w:rPr>
        <w:t>3.3.3 承包人无正当理由拒绝撤换主要施工管理人员的违约责任：</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u w:val="single"/>
        </w:rPr>
      </w:pPr>
      <w:r>
        <w:rPr>
          <w:rFonts w:ascii="宋体" w:hAnsi="宋体"/>
          <w:color w:val="000000"/>
          <w:szCs w:val="21"/>
        </w:rPr>
        <w:t>3.3.4 承包人主要施工管理人员离开施工现场的批准要求：</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rPr>
      </w:pPr>
      <w:r>
        <w:rPr>
          <w:rFonts w:ascii="宋体" w:hAnsi="宋体"/>
          <w:color w:val="000000"/>
          <w:szCs w:val="21"/>
        </w:rPr>
        <w:t>3.3.5承包人擅自更换主要施工管理人员的违约责任：</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rPr>
      </w:pPr>
      <w:r>
        <w:rPr>
          <w:rFonts w:ascii="宋体" w:hAnsi="宋体"/>
          <w:color w:val="000000"/>
          <w:szCs w:val="21"/>
        </w:rPr>
        <w:t>承包人主要施工管理人员擅自离开施工现场的违约责任：</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after="120" w:line="360" w:lineRule="auto"/>
        <w:ind w:firstLine="420" w:firstLineChars="200"/>
        <w:rPr>
          <w:rFonts w:ascii="宋体" w:hAnsi="宋体"/>
          <w:color w:val="000000"/>
          <w:szCs w:val="21"/>
        </w:rPr>
      </w:pPr>
      <w:r>
        <w:rPr>
          <w:rFonts w:ascii="宋体" w:hAnsi="宋体"/>
          <w:color w:val="000000"/>
          <w:szCs w:val="21"/>
        </w:rPr>
        <w:t>3</w:t>
      </w:r>
      <w:bookmarkStart w:id="462" w:name="_Toc296346660"/>
      <w:bookmarkStart w:id="463" w:name="_Toc296347158"/>
      <w:bookmarkStart w:id="464" w:name="_Toc296944498"/>
      <w:bookmarkStart w:id="465" w:name="_Toc297120459"/>
      <w:bookmarkStart w:id="466" w:name="_Toc296890987"/>
      <w:bookmarkStart w:id="467" w:name="_Toc312677988"/>
      <w:bookmarkStart w:id="468" w:name="_Toc296891199"/>
      <w:bookmarkStart w:id="469" w:name="_Toc297048345"/>
      <w:bookmarkStart w:id="470" w:name="_Toc303539102"/>
      <w:bookmarkStart w:id="471" w:name="_Toc292559364"/>
      <w:bookmarkStart w:id="472" w:name="_Toc296503159"/>
      <w:bookmarkStart w:id="473" w:name="_Toc297216151"/>
      <w:bookmarkStart w:id="474" w:name="_Toc292559869"/>
      <w:bookmarkStart w:id="475" w:name="_Toc304295523"/>
      <w:bookmarkStart w:id="476" w:name="_Toc300934945"/>
      <w:bookmarkStart w:id="477" w:name="_Toc297123492"/>
      <w:r>
        <w:rPr>
          <w:rFonts w:ascii="宋体" w:hAnsi="宋体"/>
          <w:color w:val="000000"/>
          <w:szCs w:val="21"/>
        </w:rPr>
        <w:t>.5 分包</w:t>
      </w:r>
    </w:p>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pPr>
        <w:pStyle w:val="167"/>
        <w:spacing w:line="360" w:lineRule="auto"/>
        <w:ind w:firstLine="420" w:firstLineChars="200"/>
        <w:rPr>
          <w:rFonts w:ascii="宋体" w:hAnsi="宋体"/>
          <w:color w:val="000000"/>
          <w:szCs w:val="21"/>
        </w:rPr>
      </w:pPr>
      <w:r>
        <w:rPr>
          <w:rFonts w:ascii="宋体" w:hAnsi="宋体"/>
          <w:color w:val="000000"/>
          <w:szCs w:val="21"/>
        </w:rPr>
        <w:t>3</w:t>
      </w:r>
      <w:bookmarkStart w:id="478" w:name="_Toc296346661"/>
      <w:bookmarkStart w:id="479" w:name="_Toc303539103"/>
      <w:bookmarkStart w:id="480" w:name="_Toc296503160"/>
      <w:bookmarkStart w:id="481" w:name="_Toc297123493"/>
      <w:bookmarkStart w:id="482" w:name="_Toc296347159"/>
      <w:bookmarkStart w:id="483" w:name="_Toc296944499"/>
      <w:bookmarkStart w:id="484" w:name="_Toc296890988"/>
      <w:bookmarkStart w:id="485" w:name="_Toc292559870"/>
      <w:bookmarkStart w:id="486" w:name="_Toc292559365"/>
      <w:bookmarkStart w:id="487" w:name="_Toc300934946"/>
      <w:bookmarkStart w:id="488" w:name="_Toc296891200"/>
      <w:bookmarkStart w:id="489" w:name="_Toc297216152"/>
      <w:bookmarkStart w:id="490" w:name="_Toc304295524"/>
      <w:bookmarkStart w:id="491" w:name="_Toc297120460"/>
      <w:bookmarkStart w:id="492" w:name="_Toc297048346"/>
      <w:bookmarkStart w:id="493" w:name="_Toc318581158"/>
      <w:bookmarkStart w:id="494" w:name="_Toc312677989"/>
      <w:r>
        <w:rPr>
          <w:rFonts w:ascii="宋体" w:hAnsi="宋体"/>
          <w:color w:val="000000"/>
          <w:szCs w:val="21"/>
        </w:rPr>
        <w:t>.5.1 分包的一般约定</w:t>
      </w:r>
    </w:p>
    <w:p>
      <w:pPr>
        <w:pStyle w:val="167"/>
        <w:spacing w:line="360" w:lineRule="auto"/>
        <w:ind w:firstLine="420" w:firstLineChars="200"/>
        <w:jc w:val="left"/>
        <w:rPr>
          <w:rFonts w:ascii="宋体" w:hAnsi="宋体"/>
          <w:color w:val="000000"/>
          <w:szCs w:val="21"/>
        </w:rPr>
      </w:pPr>
      <w:r>
        <w:rPr>
          <w:rFonts w:ascii="宋体" w:hAnsi="宋体"/>
          <w:color w:val="000000"/>
          <w:szCs w:val="21"/>
        </w:rPr>
        <w:t>禁止分包的工程包括：</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u w:val="single"/>
        </w:rPr>
      </w:pPr>
      <w:r>
        <w:rPr>
          <w:rFonts w:ascii="宋体" w:hAnsi="宋体"/>
          <w:color w:val="000000"/>
          <w:szCs w:val="21"/>
        </w:rPr>
        <w:t>主体结构、关键性工作的范围：</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p>
    <w:p>
      <w:pPr>
        <w:pStyle w:val="167"/>
        <w:spacing w:line="360" w:lineRule="auto"/>
        <w:jc w:val="left"/>
        <w:rPr>
          <w:rFonts w:ascii="宋体" w:hAnsi="宋体"/>
          <w:color w:val="000000"/>
          <w:szCs w:val="21"/>
          <w:u w:val="single"/>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Start w:id="495" w:name="_Toc296890989"/>
      <w:bookmarkStart w:id="496" w:name="_Toc304295525"/>
      <w:bookmarkStart w:id="497" w:name="_Toc297123494"/>
      <w:bookmarkStart w:id="498" w:name="_Toc297120461"/>
      <w:bookmarkStart w:id="499" w:name="_Toc297216153"/>
      <w:bookmarkStart w:id="500" w:name="_Toc296347160"/>
      <w:bookmarkStart w:id="501" w:name="_Toc296346662"/>
      <w:bookmarkStart w:id="502" w:name="_Toc303539104"/>
      <w:bookmarkStart w:id="503" w:name="_Toc296891201"/>
      <w:bookmarkStart w:id="504" w:name="_Toc296503161"/>
      <w:bookmarkStart w:id="505" w:name="_Toc296944500"/>
      <w:bookmarkStart w:id="506" w:name="_Toc300934947"/>
      <w:bookmarkStart w:id="507" w:name="_Toc297048347"/>
    </w:p>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pPr>
        <w:pStyle w:val="167"/>
        <w:spacing w:line="360" w:lineRule="auto"/>
        <w:rPr>
          <w:rFonts w:ascii="宋体" w:hAnsi="宋体"/>
          <w:color w:val="000000"/>
          <w:szCs w:val="21"/>
        </w:rPr>
      </w:pPr>
      <w:r>
        <w:rPr>
          <w:rFonts w:ascii="宋体" w:hAnsi="宋体"/>
          <w:color w:val="000000"/>
          <w:szCs w:val="21"/>
        </w:rPr>
        <w:t xml:space="preserve">    3</w:t>
      </w:r>
      <w:bookmarkStart w:id="508" w:name="_Toc318581159"/>
      <w:bookmarkStart w:id="509" w:name="_Toc312677990"/>
      <w:r>
        <w:rPr>
          <w:rFonts w:ascii="宋体" w:hAnsi="宋体"/>
          <w:color w:val="000000"/>
          <w:szCs w:val="21"/>
        </w:rPr>
        <w:t>.5.2分包的确定</w:t>
      </w:r>
    </w:p>
    <w:p>
      <w:pPr>
        <w:pStyle w:val="167"/>
        <w:spacing w:line="360" w:lineRule="auto"/>
        <w:ind w:firstLine="420" w:firstLineChars="200"/>
        <w:rPr>
          <w:rFonts w:ascii="宋体" w:hAnsi="宋体"/>
          <w:color w:val="000000"/>
          <w:szCs w:val="21"/>
          <w:u w:val="single"/>
        </w:rPr>
      </w:pPr>
      <w:r>
        <w:rPr>
          <w:rFonts w:ascii="宋体" w:hAnsi="宋体"/>
          <w:color w:val="000000"/>
          <w:szCs w:val="21"/>
        </w:rPr>
        <w:t>允许分包的专业工程包括：</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u w:val="single"/>
        </w:rPr>
      </w:pPr>
      <w:r>
        <w:rPr>
          <w:rFonts w:ascii="宋体" w:hAnsi="宋体"/>
          <w:color w:val="000000"/>
          <w:szCs w:val="21"/>
        </w:rPr>
        <w:t>其他关于分包的约定：</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rPr>
      </w:pPr>
      <w:r>
        <w:rPr>
          <w:rFonts w:ascii="宋体" w:hAnsi="宋体"/>
          <w:color w:val="000000"/>
          <w:szCs w:val="21"/>
        </w:rPr>
        <w:t>3.5.4 分包合同价款</w:t>
      </w:r>
    </w:p>
    <w:p>
      <w:pPr>
        <w:pStyle w:val="167"/>
        <w:spacing w:line="360" w:lineRule="auto"/>
        <w:ind w:firstLine="420" w:firstLineChars="200"/>
        <w:rPr>
          <w:rFonts w:ascii="宋体" w:hAnsi="宋体"/>
          <w:color w:val="000000"/>
          <w:szCs w:val="21"/>
        </w:rPr>
      </w:pPr>
      <w:r>
        <w:rPr>
          <w:rFonts w:ascii="宋体" w:hAnsi="宋体"/>
          <w:color w:val="000000"/>
          <w:szCs w:val="21"/>
        </w:rPr>
        <w:t>关于分包合同价款支付的约定：</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bookmarkEnd w:id="508"/>
    <w:bookmarkEnd w:id="509"/>
    <w:p>
      <w:pPr>
        <w:pStyle w:val="167"/>
        <w:spacing w:after="120" w:line="360" w:lineRule="auto"/>
        <w:ind w:firstLine="420" w:firstLineChars="200"/>
        <w:rPr>
          <w:rFonts w:ascii="宋体" w:hAnsi="宋体"/>
          <w:color w:val="000000"/>
          <w:szCs w:val="21"/>
        </w:rPr>
      </w:pPr>
      <w:r>
        <w:rPr>
          <w:rFonts w:ascii="宋体" w:hAnsi="宋体"/>
          <w:color w:val="000000"/>
          <w:szCs w:val="21"/>
        </w:rPr>
        <w:t>3.6 工程照管与成品、半成品保护</w:t>
      </w:r>
    </w:p>
    <w:p>
      <w:pPr>
        <w:pStyle w:val="167"/>
        <w:spacing w:before="120" w:after="120" w:line="360" w:lineRule="auto"/>
        <w:ind w:firstLine="420" w:firstLineChars="200"/>
        <w:rPr>
          <w:rFonts w:ascii="宋体" w:hAnsi="宋体"/>
          <w:color w:val="000000"/>
          <w:kern w:val="0"/>
          <w:szCs w:val="21"/>
          <w:u w:val="single"/>
        </w:rPr>
      </w:pPr>
      <w:r>
        <w:rPr>
          <w:rFonts w:ascii="宋体" w:hAnsi="宋体"/>
          <w:color w:val="000000"/>
          <w:kern w:val="0"/>
          <w:szCs w:val="21"/>
        </w:rPr>
        <w:t>承包人负责照管工程及工程相关的材料、工程设备的起始时间：</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ascii="宋体" w:hAnsi="宋体"/>
          <w:color w:val="000000"/>
          <w:kern w:val="0"/>
          <w:szCs w:val="21"/>
        </w:rPr>
        <w:t>。</w:t>
      </w:r>
    </w:p>
    <w:p>
      <w:pPr>
        <w:pStyle w:val="167"/>
        <w:spacing w:after="120" w:line="360" w:lineRule="auto"/>
        <w:ind w:firstLine="420" w:firstLineChars="200"/>
        <w:rPr>
          <w:rFonts w:ascii="宋体" w:hAnsi="宋体"/>
          <w:color w:val="000000"/>
          <w:szCs w:val="21"/>
        </w:rPr>
      </w:pPr>
      <w:r>
        <w:rPr>
          <w:rFonts w:ascii="宋体" w:hAnsi="宋体"/>
          <w:color w:val="000000"/>
          <w:szCs w:val="21"/>
        </w:rPr>
        <w:t>3.7 履约担保</w:t>
      </w:r>
    </w:p>
    <w:p>
      <w:pPr>
        <w:pStyle w:val="167"/>
        <w:spacing w:line="360" w:lineRule="auto"/>
        <w:ind w:firstLine="420" w:firstLineChars="200"/>
        <w:jc w:val="left"/>
        <w:rPr>
          <w:rFonts w:ascii="宋体" w:hAnsi="宋体"/>
          <w:color w:val="000000"/>
          <w:szCs w:val="21"/>
        </w:rPr>
      </w:pPr>
      <w:r>
        <w:rPr>
          <w:rFonts w:hint="eastAsia" w:ascii="宋体" w:hAnsi="宋体"/>
          <w:color w:val="000000"/>
          <w:szCs w:val="21"/>
        </w:rPr>
        <w:t>承包人是否提供履约担保：</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承包人提供履约担保的形式</w:t>
      </w:r>
      <w:r>
        <w:rPr>
          <w:rFonts w:hint="eastAsia" w:ascii="宋体" w:hAnsi="宋体"/>
          <w:color w:val="000000"/>
          <w:szCs w:val="21"/>
        </w:rPr>
        <w:t>、金额及期限的</w:t>
      </w:r>
      <w:r>
        <w:rPr>
          <w:rFonts w:ascii="宋体" w:hAnsi="宋体"/>
          <w:color w:val="000000"/>
          <w:szCs w:val="21"/>
        </w:rPr>
        <w:t>：担保或者保函；额度同发包人支付担保（不得超过中标合同金额的10%）</w:t>
      </w:r>
      <w:r>
        <w:rPr>
          <w:rFonts w:hint="eastAsia" w:ascii="宋体" w:hAnsi="宋体"/>
          <w:color w:val="000000"/>
          <w:szCs w:val="21"/>
        </w:rPr>
        <w:t>。</w:t>
      </w:r>
    </w:p>
    <w:p>
      <w:pPr>
        <w:pStyle w:val="167"/>
        <w:spacing w:line="360" w:lineRule="auto"/>
        <w:jc w:val="left"/>
        <w:rPr>
          <w:rFonts w:ascii="宋体" w:hAnsi="宋体"/>
          <w:color w:val="000000"/>
          <w:szCs w:val="21"/>
        </w:rPr>
      </w:pPr>
      <w:r>
        <w:rPr>
          <w:rFonts w:ascii="宋体" w:hAnsi="宋体"/>
          <w:color w:val="000000"/>
          <w:szCs w:val="21"/>
        </w:rPr>
        <w:t>。</w:t>
      </w:r>
    </w:p>
    <w:p>
      <w:pPr>
        <w:pStyle w:val="167"/>
        <w:keepNext/>
        <w:keepLines/>
        <w:spacing w:before="120" w:after="120" w:line="360" w:lineRule="auto"/>
        <w:outlineLvl w:val="3"/>
        <w:rPr>
          <w:rFonts w:ascii="宋体" w:hAnsi="宋体"/>
          <w:bCs/>
          <w:color w:val="000000"/>
          <w:szCs w:val="21"/>
        </w:rPr>
      </w:pPr>
      <w:bookmarkStart w:id="510" w:name="_Toc351203636"/>
      <w:r>
        <w:rPr>
          <w:rFonts w:ascii="宋体" w:hAnsi="宋体"/>
          <w:bCs/>
          <w:color w:val="000000"/>
          <w:szCs w:val="21"/>
        </w:rPr>
        <w:t>4</w:t>
      </w:r>
      <w:bookmarkStart w:id="511" w:name="_Toc296891202"/>
      <w:bookmarkStart w:id="512" w:name="_Toc296347161"/>
      <w:bookmarkStart w:id="513" w:name="_Toc296346663"/>
      <w:bookmarkStart w:id="514" w:name="_Toc292559366"/>
      <w:bookmarkStart w:id="515" w:name="_Toc267251413"/>
      <w:bookmarkStart w:id="516" w:name="_Toc296503162"/>
      <w:bookmarkStart w:id="517" w:name="_Toc296944501"/>
      <w:bookmarkStart w:id="518" w:name="_Toc296890990"/>
      <w:bookmarkStart w:id="519" w:name="_Toc292559871"/>
      <w:bookmarkStart w:id="520" w:name="_Toc297048348"/>
      <w:bookmarkStart w:id="521" w:name="_Toc297120462"/>
      <w:r>
        <w:rPr>
          <w:rFonts w:ascii="宋体" w:hAnsi="宋体"/>
          <w:bCs/>
          <w:color w:val="000000"/>
          <w:szCs w:val="21"/>
        </w:rPr>
        <w:t>. 监</w:t>
      </w:r>
      <w:bookmarkEnd w:id="511"/>
      <w:bookmarkEnd w:id="512"/>
      <w:bookmarkEnd w:id="513"/>
      <w:bookmarkEnd w:id="514"/>
      <w:bookmarkEnd w:id="515"/>
      <w:bookmarkEnd w:id="516"/>
      <w:bookmarkEnd w:id="517"/>
      <w:bookmarkEnd w:id="518"/>
      <w:bookmarkEnd w:id="519"/>
      <w:bookmarkEnd w:id="520"/>
      <w:bookmarkEnd w:id="521"/>
      <w:r>
        <w:rPr>
          <w:rFonts w:ascii="宋体" w:hAnsi="宋体"/>
          <w:bCs/>
          <w:color w:val="000000"/>
          <w:szCs w:val="21"/>
        </w:rPr>
        <w:t>理人</w:t>
      </w:r>
      <w:bookmarkEnd w:id="510"/>
    </w:p>
    <w:p>
      <w:pPr>
        <w:pStyle w:val="167"/>
        <w:spacing w:after="120" w:line="360" w:lineRule="auto"/>
        <w:ind w:firstLine="420" w:firstLineChars="200"/>
        <w:rPr>
          <w:rFonts w:ascii="宋体" w:hAnsi="宋体"/>
          <w:color w:val="000000"/>
          <w:szCs w:val="21"/>
        </w:rPr>
      </w:pPr>
      <w:r>
        <w:rPr>
          <w:rFonts w:ascii="宋体" w:hAnsi="宋体"/>
          <w:color w:val="000000"/>
          <w:szCs w:val="21"/>
        </w:rPr>
        <w:t>4.1监理人的一般规定</w:t>
      </w:r>
    </w:p>
    <w:p>
      <w:pPr>
        <w:pStyle w:val="167"/>
        <w:spacing w:line="360" w:lineRule="auto"/>
        <w:ind w:firstLine="420" w:firstLineChars="200"/>
        <w:jc w:val="left"/>
        <w:rPr>
          <w:rFonts w:ascii="宋体" w:hAnsi="宋体"/>
          <w:color w:val="000000"/>
          <w:szCs w:val="21"/>
        </w:rPr>
      </w:pPr>
      <w:r>
        <w:rPr>
          <w:rFonts w:ascii="宋体" w:hAnsi="宋体"/>
          <w:color w:val="000000"/>
          <w:szCs w:val="21"/>
        </w:rPr>
        <w:t>关于监理人的监理内容：</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关于监理人的监理权限：</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 xml:space="preserve">。 </w:t>
      </w:r>
    </w:p>
    <w:p>
      <w:pPr>
        <w:pStyle w:val="167"/>
        <w:spacing w:line="360" w:lineRule="auto"/>
        <w:ind w:firstLine="420" w:firstLineChars="200"/>
        <w:rPr>
          <w:rFonts w:ascii="宋体" w:hAnsi="宋体"/>
          <w:color w:val="000000"/>
          <w:szCs w:val="21"/>
          <w:u w:val="single"/>
        </w:rPr>
      </w:pPr>
      <w:r>
        <w:rPr>
          <w:rFonts w:ascii="宋体" w:hAnsi="宋体"/>
          <w:color w:val="000000"/>
          <w:szCs w:val="21"/>
        </w:rPr>
        <w:t>关于监理人在施工现场的办公场所、生活场所的提供和费用承担的约定：</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p>
    <w:p>
      <w:pPr>
        <w:pStyle w:val="167"/>
        <w:spacing w:line="360" w:lineRule="auto"/>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after="120" w:line="360" w:lineRule="auto"/>
        <w:ind w:firstLine="420" w:firstLineChars="200"/>
        <w:rPr>
          <w:rFonts w:ascii="宋体" w:hAnsi="宋体"/>
          <w:color w:val="000000"/>
          <w:szCs w:val="21"/>
        </w:rPr>
      </w:pPr>
      <w:r>
        <w:rPr>
          <w:rFonts w:ascii="宋体" w:hAnsi="宋体"/>
          <w:color w:val="000000"/>
          <w:szCs w:val="21"/>
        </w:rPr>
        <w:t>4.2 监理人员</w:t>
      </w:r>
    </w:p>
    <w:p>
      <w:pPr>
        <w:pStyle w:val="167"/>
        <w:spacing w:line="360" w:lineRule="auto"/>
        <w:ind w:firstLine="420" w:firstLineChars="200"/>
        <w:rPr>
          <w:rFonts w:ascii="宋体" w:hAnsi="宋体"/>
          <w:color w:val="000000"/>
          <w:szCs w:val="21"/>
        </w:rPr>
      </w:pPr>
      <w:r>
        <w:rPr>
          <w:rFonts w:ascii="宋体" w:hAnsi="宋体"/>
          <w:color w:val="000000"/>
          <w:szCs w:val="21"/>
        </w:rPr>
        <w:t>总监理工程师：</w:t>
      </w:r>
    </w:p>
    <w:p>
      <w:pPr>
        <w:pStyle w:val="167"/>
        <w:spacing w:line="360" w:lineRule="auto"/>
        <w:ind w:firstLine="420" w:firstLineChars="200"/>
        <w:rPr>
          <w:rFonts w:ascii="宋体" w:hAnsi="宋体"/>
          <w:color w:val="000000"/>
          <w:szCs w:val="21"/>
        </w:rPr>
      </w:pPr>
      <w:r>
        <w:rPr>
          <w:rFonts w:ascii="宋体" w:hAnsi="宋体"/>
          <w:color w:val="000000"/>
          <w:szCs w:val="21"/>
        </w:rPr>
        <w:t>姓    名：</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rPr>
      </w:pPr>
      <w:r>
        <w:rPr>
          <w:rFonts w:ascii="宋体" w:hAnsi="宋体"/>
          <w:color w:val="000000"/>
          <w:szCs w:val="21"/>
        </w:rPr>
        <w:t>职    务：</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rPr>
      </w:pPr>
      <w:r>
        <w:rPr>
          <w:rFonts w:ascii="宋体" w:hAnsi="宋体"/>
          <w:color w:val="000000"/>
          <w:szCs w:val="21"/>
        </w:rPr>
        <w:t>监理工程师执业资格证书号：</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rPr>
      </w:pPr>
      <w:r>
        <w:rPr>
          <w:rFonts w:ascii="宋体" w:hAnsi="宋体"/>
          <w:color w:val="000000"/>
          <w:szCs w:val="21"/>
        </w:rPr>
        <w:t>联系电话：</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rPr>
      </w:pPr>
      <w:r>
        <w:rPr>
          <w:rFonts w:ascii="宋体" w:hAnsi="宋体"/>
          <w:color w:val="000000"/>
          <w:szCs w:val="21"/>
        </w:rPr>
        <w:t>电子信箱：</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rPr>
      </w:pPr>
      <w:r>
        <w:rPr>
          <w:rFonts w:ascii="宋体" w:hAnsi="宋体"/>
          <w:color w:val="000000"/>
          <w:szCs w:val="21"/>
        </w:rPr>
        <w:t>通信地址：</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rPr>
      </w:pPr>
      <w:r>
        <w:rPr>
          <w:rFonts w:ascii="宋体" w:hAnsi="宋体"/>
          <w:color w:val="000000"/>
          <w:szCs w:val="21"/>
        </w:rPr>
        <w:t>关于监理人的其他约定：</w:t>
      </w:r>
      <w:r>
        <w:rPr>
          <w:rFonts w:ascii="宋体" w:hAnsi="宋体"/>
          <w:color w:val="000000"/>
          <w:szCs w:val="21"/>
          <w:u w:val="single"/>
        </w:rPr>
        <w:t xml:space="preserve">                   </w:t>
      </w:r>
      <w:r>
        <w:rPr>
          <w:rFonts w:ascii="宋体" w:hAnsi="宋体"/>
          <w:color w:val="000000"/>
          <w:szCs w:val="21"/>
        </w:rPr>
        <w:t>。</w:t>
      </w:r>
    </w:p>
    <w:p>
      <w:pPr>
        <w:pStyle w:val="167"/>
        <w:spacing w:after="120" w:line="360" w:lineRule="auto"/>
        <w:ind w:firstLine="420" w:firstLineChars="200"/>
        <w:rPr>
          <w:rFonts w:ascii="宋体" w:hAnsi="宋体"/>
          <w:color w:val="000000"/>
          <w:szCs w:val="21"/>
        </w:rPr>
      </w:pPr>
      <w:r>
        <w:rPr>
          <w:rFonts w:ascii="宋体" w:hAnsi="宋体"/>
          <w:color w:val="000000"/>
          <w:szCs w:val="21"/>
        </w:rPr>
        <w:t>4.4 商定或确定</w:t>
      </w:r>
    </w:p>
    <w:p>
      <w:pPr>
        <w:pStyle w:val="167"/>
        <w:spacing w:line="360" w:lineRule="auto"/>
        <w:ind w:firstLine="420" w:firstLineChars="200"/>
        <w:rPr>
          <w:rFonts w:ascii="宋体" w:hAnsi="宋体"/>
          <w:color w:val="000000"/>
          <w:szCs w:val="21"/>
        </w:rPr>
      </w:pPr>
      <w:bookmarkStart w:id="522" w:name="_Toc267251418"/>
      <w:r>
        <w:rPr>
          <w:rFonts w:ascii="宋体" w:hAnsi="宋体"/>
          <w:color w:val="000000"/>
          <w:szCs w:val="21"/>
        </w:rPr>
        <w:t>在发包人和承包人不能通过协商达成一致意见时，发包人授权监理人对以下事项进行确定：</w:t>
      </w:r>
    </w:p>
    <w:p>
      <w:pPr>
        <w:pStyle w:val="167"/>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keepNext/>
        <w:keepLines/>
        <w:spacing w:before="120" w:after="120" w:line="360" w:lineRule="auto"/>
        <w:outlineLvl w:val="3"/>
        <w:rPr>
          <w:rFonts w:ascii="宋体" w:hAnsi="宋体"/>
          <w:bCs/>
          <w:color w:val="000000"/>
          <w:szCs w:val="21"/>
        </w:rPr>
      </w:pPr>
      <w:bookmarkStart w:id="523" w:name="_Toc351203637"/>
      <w:r>
        <w:rPr>
          <w:rFonts w:ascii="宋体" w:hAnsi="宋体"/>
          <w:bCs/>
          <w:color w:val="000000"/>
          <w:szCs w:val="21"/>
        </w:rPr>
        <w:t>5</w:t>
      </w:r>
      <w:bookmarkEnd w:id="522"/>
      <w:bookmarkStart w:id="524" w:name="_Toc292559367"/>
      <w:bookmarkStart w:id="525" w:name="_Toc296346664"/>
      <w:bookmarkStart w:id="526" w:name="_Toc296891203"/>
      <w:bookmarkStart w:id="527" w:name="_Toc297048349"/>
      <w:bookmarkStart w:id="528" w:name="_Toc297120463"/>
      <w:bookmarkStart w:id="529" w:name="_Toc292559872"/>
      <w:bookmarkStart w:id="530" w:name="_Toc296944502"/>
      <w:bookmarkStart w:id="531" w:name="_Toc296503163"/>
      <w:bookmarkStart w:id="532" w:name="_Toc296890991"/>
      <w:bookmarkStart w:id="533" w:name="_Toc296347162"/>
      <w:r>
        <w:rPr>
          <w:rFonts w:ascii="宋体" w:hAnsi="宋体"/>
          <w:bCs/>
          <w:color w:val="000000"/>
          <w:szCs w:val="21"/>
        </w:rPr>
        <w:t>. 工程质量</w:t>
      </w:r>
      <w:bookmarkEnd w:id="523"/>
    </w:p>
    <w:p>
      <w:pPr>
        <w:pStyle w:val="167"/>
        <w:spacing w:after="120" w:line="360" w:lineRule="auto"/>
        <w:ind w:firstLine="420" w:firstLineChars="200"/>
        <w:rPr>
          <w:rFonts w:ascii="宋体" w:hAnsi="宋体"/>
          <w:color w:val="000000"/>
          <w:szCs w:val="21"/>
        </w:rPr>
      </w:pPr>
      <w:r>
        <w:rPr>
          <w:rFonts w:ascii="宋体" w:hAnsi="宋体"/>
          <w:color w:val="000000"/>
          <w:szCs w:val="21"/>
        </w:rPr>
        <w:t>5.1 质量要求</w:t>
      </w:r>
    </w:p>
    <w:p>
      <w:pPr>
        <w:pStyle w:val="167"/>
        <w:spacing w:line="360" w:lineRule="auto"/>
        <w:ind w:firstLine="420" w:firstLineChars="200"/>
        <w:jc w:val="left"/>
        <w:rPr>
          <w:rFonts w:ascii="宋体" w:hAnsi="宋体"/>
          <w:color w:val="000000"/>
          <w:szCs w:val="21"/>
          <w:u w:val="single"/>
        </w:rPr>
      </w:pPr>
      <w:r>
        <w:rPr>
          <w:rFonts w:ascii="宋体" w:hAnsi="宋体"/>
          <w:color w:val="000000"/>
          <w:szCs w:val="21"/>
        </w:rPr>
        <w:t>5</w:t>
      </w:r>
      <w:bookmarkStart w:id="534" w:name="_Toc304295527"/>
      <w:bookmarkStart w:id="535" w:name="_Toc318581164"/>
      <w:bookmarkStart w:id="536" w:name="_Toc297123496"/>
      <w:bookmarkStart w:id="537" w:name="_Toc300934949"/>
      <w:bookmarkStart w:id="538" w:name="_Toc303539106"/>
      <w:bookmarkStart w:id="539" w:name="_Toc312677997"/>
      <w:bookmarkStart w:id="540" w:name="_Toc297216155"/>
      <w:r>
        <w:rPr>
          <w:rFonts w:ascii="宋体" w:hAnsi="宋体"/>
          <w:color w:val="000000"/>
          <w:szCs w:val="21"/>
        </w:rPr>
        <w:t>.1.1 特殊质量标准和要求：</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关于工程奖项的约定：</w:t>
      </w:r>
      <w:r>
        <w:rPr>
          <w:rFonts w:hint="eastAsia" w:ascii="宋体" w:hAnsi="宋体"/>
          <w:color w:val="000000"/>
          <w:szCs w:val="21"/>
        </w:rPr>
        <w:t>达到市级优质结构、优良、卧龙杯，执行宛建（2009）30号文件规定；达到省级及以上标准，按豫建建（2007）59号文件执行。</w:t>
      </w:r>
    </w:p>
    <w:p>
      <w:pPr>
        <w:pStyle w:val="167"/>
        <w:spacing w:after="120" w:line="360" w:lineRule="auto"/>
        <w:ind w:firstLine="420" w:firstLineChars="200"/>
        <w:rPr>
          <w:rFonts w:ascii="宋体" w:hAnsi="宋体"/>
          <w:color w:val="000000"/>
          <w:szCs w:val="21"/>
        </w:rPr>
      </w:pPr>
      <w:r>
        <w:rPr>
          <w:rFonts w:ascii="宋体" w:hAnsi="宋体"/>
          <w:color w:val="000000"/>
          <w:szCs w:val="21"/>
        </w:rPr>
        <w:t>5.3 隐蔽工程检查</w:t>
      </w:r>
    </w:p>
    <w:p>
      <w:pPr>
        <w:pStyle w:val="167"/>
        <w:spacing w:line="360" w:lineRule="auto"/>
        <w:ind w:firstLine="420" w:firstLineChars="200"/>
        <w:jc w:val="left"/>
        <w:rPr>
          <w:rFonts w:ascii="宋体" w:hAnsi="宋体"/>
          <w:color w:val="000000"/>
          <w:szCs w:val="21"/>
          <w:u w:val="single"/>
        </w:rPr>
      </w:pPr>
      <w:r>
        <w:rPr>
          <w:rFonts w:ascii="宋体" w:hAnsi="宋体"/>
          <w:color w:val="000000"/>
          <w:szCs w:val="21"/>
        </w:rPr>
        <w:t>5.3.2承包人提前通知监理人隐蔽工程检查的期限的约定：</w:t>
      </w:r>
      <w:r>
        <w:rPr>
          <w:rFonts w:ascii="宋体" w:hAnsi="宋体"/>
          <w:color w:val="000000"/>
          <w:szCs w:val="21"/>
          <w:u w:val="single"/>
        </w:rPr>
        <w:t xml:space="preserve">    </w:t>
      </w:r>
    </w:p>
    <w:p>
      <w:pPr>
        <w:pStyle w:val="167"/>
        <w:spacing w:line="360" w:lineRule="auto"/>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监理人不能按时进行检查时，应提前</w:t>
      </w:r>
      <w:r>
        <w:rPr>
          <w:rFonts w:ascii="宋体" w:hAnsi="宋体"/>
          <w:color w:val="000000"/>
          <w:szCs w:val="21"/>
          <w:u w:val="single"/>
        </w:rPr>
        <w:t xml:space="preserve">       </w:t>
      </w:r>
      <w:r>
        <w:rPr>
          <w:rFonts w:ascii="宋体" w:hAnsi="宋体"/>
          <w:color w:val="000000"/>
          <w:szCs w:val="21"/>
        </w:rPr>
        <w:t>小时提交书面延期要求。</w:t>
      </w:r>
    </w:p>
    <w:p>
      <w:pPr>
        <w:pStyle w:val="167"/>
        <w:spacing w:line="360" w:lineRule="auto"/>
        <w:ind w:firstLine="420" w:firstLineChars="200"/>
        <w:jc w:val="left"/>
        <w:rPr>
          <w:rFonts w:ascii="宋体" w:hAnsi="宋体"/>
          <w:color w:val="000000"/>
          <w:szCs w:val="21"/>
        </w:rPr>
      </w:pPr>
      <w:r>
        <w:rPr>
          <w:rFonts w:ascii="宋体" w:hAnsi="宋体"/>
          <w:color w:val="000000"/>
          <w:szCs w:val="21"/>
        </w:rPr>
        <w:t>关于延期最长不得超过：</w:t>
      </w:r>
      <w:r>
        <w:rPr>
          <w:rFonts w:ascii="宋体" w:hAnsi="宋体"/>
          <w:color w:val="000000"/>
          <w:szCs w:val="21"/>
          <w:u w:val="single"/>
        </w:rPr>
        <w:t xml:space="preserve">         </w:t>
      </w:r>
      <w:r>
        <w:rPr>
          <w:rFonts w:ascii="宋体" w:hAnsi="宋体"/>
          <w:color w:val="000000"/>
          <w:szCs w:val="21"/>
        </w:rPr>
        <w:t>小时。</w:t>
      </w:r>
    </w:p>
    <w:p>
      <w:pPr>
        <w:pStyle w:val="167"/>
        <w:keepNext/>
        <w:keepLines/>
        <w:spacing w:before="120" w:after="120" w:line="360" w:lineRule="auto"/>
        <w:outlineLvl w:val="3"/>
        <w:rPr>
          <w:rFonts w:ascii="宋体" w:hAnsi="宋体"/>
          <w:bCs/>
          <w:color w:val="000000"/>
          <w:szCs w:val="21"/>
        </w:rPr>
      </w:pPr>
      <w:bookmarkStart w:id="541" w:name="_Toc351203638"/>
      <w:r>
        <w:rPr>
          <w:rFonts w:ascii="宋体" w:hAnsi="宋体"/>
          <w:bCs/>
          <w:color w:val="000000"/>
          <w:szCs w:val="21"/>
        </w:rPr>
        <w:t>6. 安全文明施工与环境保护</w:t>
      </w:r>
      <w:bookmarkEnd w:id="541"/>
    </w:p>
    <w:p>
      <w:pPr>
        <w:pStyle w:val="167"/>
        <w:spacing w:after="120" w:line="360" w:lineRule="auto"/>
        <w:ind w:firstLine="420" w:firstLineChars="200"/>
        <w:rPr>
          <w:rFonts w:ascii="宋体" w:hAnsi="宋体"/>
          <w:color w:val="000000"/>
          <w:szCs w:val="21"/>
        </w:rPr>
      </w:pPr>
      <w:r>
        <w:rPr>
          <w:rFonts w:ascii="宋体" w:hAnsi="宋体"/>
          <w:color w:val="000000"/>
          <w:szCs w:val="21"/>
        </w:rPr>
        <w:t>6.1安全文明施工</w:t>
      </w:r>
    </w:p>
    <w:p>
      <w:pPr>
        <w:pStyle w:val="167"/>
        <w:spacing w:line="360" w:lineRule="auto"/>
        <w:ind w:firstLine="420" w:firstLineChars="200"/>
        <w:jc w:val="left"/>
        <w:rPr>
          <w:rFonts w:ascii="宋体" w:hAnsi="宋体"/>
          <w:color w:val="000000"/>
          <w:szCs w:val="21"/>
          <w:u w:val="single"/>
        </w:rPr>
      </w:pPr>
      <w:r>
        <w:rPr>
          <w:rFonts w:ascii="宋体" w:hAnsi="宋体"/>
          <w:color w:val="000000"/>
          <w:szCs w:val="21"/>
        </w:rPr>
        <w:t>6.1.1 项目安全生产的达标目标及相应事项的约定：</w:t>
      </w:r>
      <w:r>
        <w:rPr>
          <w:rFonts w:ascii="宋体" w:hAnsi="宋体"/>
          <w:color w:val="000000"/>
          <w:szCs w:val="21"/>
          <w:u w:val="single"/>
        </w:rPr>
        <w:t xml:space="preserve">         </w:t>
      </w:r>
    </w:p>
    <w:p>
      <w:pPr>
        <w:pStyle w:val="167"/>
        <w:spacing w:line="360" w:lineRule="auto"/>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u w:val="single"/>
        </w:rPr>
      </w:pPr>
      <w:r>
        <w:rPr>
          <w:rFonts w:ascii="宋体" w:hAnsi="宋体"/>
          <w:color w:val="000000"/>
          <w:szCs w:val="21"/>
        </w:rPr>
        <w:t>6.1.4 关于治安保卫的特别约定：</w:t>
      </w:r>
      <w:r>
        <w:rPr>
          <w:rFonts w:ascii="宋体" w:hAnsi="宋体"/>
          <w:color w:val="000000"/>
          <w:szCs w:val="21"/>
          <w:u w:val="single"/>
        </w:rPr>
        <w:t xml:space="preserve">                         </w:t>
      </w:r>
    </w:p>
    <w:p>
      <w:pPr>
        <w:pStyle w:val="167"/>
        <w:spacing w:line="360" w:lineRule="auto"/>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hint="eastAsia" w:ascii="宋体" w:hAnsi="宋体"/>
          <w:color w:val="000000"/>
          <w:szCs w:val="21"/>
          <w:u w:val="single"/>
        </w:rPr>
      </w:pPr>
      <w:r>
        <w:rPr>
          <w:rFonts w:ascii="宋体" w:hAnsi="宋体"/>
          <w:color w:val="000000"/>
          <w:szCs w:val="21"/>
        </w:rPr>
        <w:t>关于编制施工场地治安管理计划的约定：</w:t>
      </w:r>
      <w:r>
        <w:rPr>
          <w:rFonts w:ascii="宋体" w:hAnsi="宋体"/>
          <w:color w:val="000000"/>
          <w:szCs w:val="21"/>
          <w:u w:val="single"/>
        </w:rPr>
        <w:t xml:space="preserve">                  </w:t>
      </w:r>
    </w:p>
    <w:p>
      <w:pPr>
        <w:pStyle w:val="167"/>
        <w:spacing w:line="360" w:lineRule="auto"/>
        <w:ind w:firstLine="420" w:firstLineChars="200"/>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hint="eastAsia" w:ascii="宋体" w:hAnsi="宋体"/>
          <w:color w:val="000000"/>
          <w:szCs w:val="21"/>
        </w:rPr>
        <w:t>6.1.5 文明施工</w:t>
      </w:r>
    </w:p>
    <w:p>
      <w:pPr>
        <w:pStyle w:val="167"/>
        <w:spacing w:line="360" w:lineRule="auto"/>
        <w:ind w:firstLine="420" w:firstLineChars="200"/>
        <w:jc w:val="left"/>
        <w:rPr>
          <w:rFonts w:ascii="宋体" w:hAnsi="宋体"/>
          <w:color w:val="000000"/>
          <w:szCs w:val="21"/>
          <w:u w:val="single"/>
        </w:rPr>
      </w:pPr>
      <w:r>
        <w:rPr>
          <w:rFonts w:hint="eastAsia" w:ascii="宋体" w:hAnsi="宋体"/>
          <w:color w:val="000000"/>
          <w:szCs w:val="21"/>
        </w:rPr>
        <w:t>合同当事人对文明施工的要求：</w:t>
      </w:r>
      <w:r>
        <w:rPr>
          <w:rFonts w:ascii="宋体" w:hAnsi="宋体"/>
          <w:color w:val="000000"/>
          <w:szCs w:val="21"/>
          <w:u w:val="single"/>
        </w:rPr>
        <w:t xml:space="preserve">              </w:t>
      </w:r>
      <w:r>
        <w:rPr>
          <w:rFonts w:hint="eastAsia" w:ascii="宋体" w:hAnsi="宋体"/>
          <w:color w:val="000000"/>
          <w:szCs w:val="21"/>
          <w:u w:val="single"/>
        </w:rPr>
        <w:t xml:space="preserve">            </w:t>
      </w:r>
    </w:p>
    <w:p>
      <w:pPr>
        <w:pStyle w:val="167"/>
        <w:spacing w:line="360" w:lineRule="auto"/>
        <w:jc w:val="left"/>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6.1.6 关于安全文明施工费支付比例和支付期限的约定：</w:t>
      </w:r>
      <w:r>
        <w:rPr>
          <w:rFonts w:ascii="宋体" w:hAnsi="宋体"/>
          <w:color w:val="000000"/>
          <w:szCs w:val="21"/>
          <w:u w:val="single"/>
        </w:rPr>
        <w:t xml:space="preserve">     </w:t>
      </w:r>
    </w:p>
    <w:p>
      <w:pPr>
        <w:pStyle w:val="167"/>
        <w:spacing w:line="360" w:lineRule="auto"/>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bookmarkEnd w:id="534"/>
    <w:bookmarkEnd w:id="535"/>
    <w:bookmarkEnd w:id="536"/>
    <w:bookmarkEnd w:id="537"/>
    <w:bookmarkEnd w:id="538"/>
    <w:bookmarkEnd w:id="539"/>
    <w:bookmarkEnd w:id="540"/>
    <w:p>
      <w:pPr>
        <w:pStyle w:val="167"/>
        <w:keepNext/>
        <w:keepLines/>
        <w:spacing w:before="120" w:after="120" w:line="360" w:lineRule="auto"/>
        <w:outlineLvl w:val="3"/>
        <w:rPr>
          <w:rFonts w:ascii="宋体" w:hAnsi="宋体"/>
          <w:bCs/>
          <w:color w:val="000000"/>
          <w:szCs w:val="21"/>
        </w:rPr>
      </w:pPr>
      <w:bookmarkStart w:id="542" w:name="_Toc351203639"/>
      <w:r>
        <w:rPr>
          <w:rFonts w:ascii="宋体" w:hAnsi="宋体"/>
          <w:bCs/>
          <w:color w:val="000000"/>
          <w:szCs w:val="21"/>
        </w:rPr>
        <w:t>7. 工期和进度</w:t>
      </w:r>
      <w:bookmarkEnd w:id="542"/>
    </w:p>
    <w:p>
      <w:pPr>
        <w:pStyle w:val="167"/>
        <w:spacing w:after="120" w:line="360" w:lineRule="auto"/>
        <w:ind w:firstLine="420" w:firstLineChars="200"/>
        <w:rPr>
          <w:rFonts w:ascii="宋体" w:hAnsi="宋体"/>
          <w:color w:val="000000"/>
          <w:szCs w:val="21"/>
        </w:rPr>
      </w:pPr>
      <w:r>
        <w:rPr>
          <w:rFonts w:ascii="宋体" w:hAnsi="宋体"/>
          <w:color w:val="000000"/>
          <w:szCs w:val="21"/>
        </w:rPr>
        <w:t>7.1 施工组织设计</w:t>
      </w:r>
    </w:p>
    <w:p>
      <w:pPr>
        <w:pStyle w:val="167"/>
        <w:autoSpaceDE w:val="0"/>
        <w:autoSpaceDN w:val="0"/>
        <w:adjustRightInd w:val="0"/>
        <w:spacing w:line="360" w:lineRule="auto"/>
        <w:ind w:firstLine="420" w:firstLineChars="200"/>
        <w:jc w:val="left"/>
        <w:rPr>
          <w:rFonts w:ascii="宋体" w:hAnsi="宋体"/>
          <w:color w:val="000000"/>
          <w:szCs w:val="21"/>
          <w:u w:val="single"/>
        </w:rPr>
      </w:pPr>
      <w:r>
        <w:rPr>
          <w:rFonts w:ascii="宋体" w:hAnsi="宋体"/>
          <w:color w:val="000000"/>
          <w:szCs w:val="21"/>
        </w:rPr>
        <w:t>7.1.</w:t>
      </w:r>
      <w:r>
        <w:rPr>
          <w:rFonts w:hint="eastAsia" w:ascii="宋体" w:hAnsi="宋体"/>
          <w:color w:val="000000"/>
          <w:szCs w:val="21"/>
        </w:rPr>
        <w:t>1 合</w:t>
      </w:r>
      <w:r>
        <w:rPr>
          <w:rFonts w:hint="eastAsia" w:ascii="宋体" w:hAnsi="宋体"/>
          <w:color w:val="000000"/>
          <w:kern w:val="0"/>
          <w:szCs w:val="21"/>
        </w:rPr>
        <w:t>同当事人约定的</w:t>
      </w:r>
      <w:r>
        <w:rPr>
          <w:rFonts w:ascii="宋体" w:hAnsi="宋体"/>
          <w:color w:val="000000"/>
          <w:kern w:val="0"/>
          <w:szCs w:val="21"/>
        </w:rPr>
        <w:t>施工组织设计</w:t>
      </w:r>
      <w:r>
        <w:rPr>
          <w:rFonts w:hint="eastAsia" w:ascii="宋体" w:hAnsi="宋体"/>
          <w:color w:val="000000"/>
          <w:kern w:val="0"/>
          <w:szCs w:val="21"/>
        </w:rPr>
        <w:t>应包括的其他内容</w:t>
      </w:r>
      <w:r>
        <w:rPr>
          <w:rFonts w:ascii="宋体" w:hAnsi="宋体"/>
          <w:color w:val="000000"/>
          <w:kern w:val="0"/>
          <w:szCs w:val="21"/>
        </w:rPr>
        <w:t>：</w:t>
      </w:r>
      <w:r>
        <w:rPr>
          <w:rFonts w:ascii="宋体" w:hAnsi="宋体"/>
          <w:color w:val="000000"/>
          <w:szCs w:val="21"/>
          <w:u w:val="single"/>
        </w:rPr>
        <w:t xml:space="preserve">  </w:t>
      </w:r>
      <w:r>
        <w:rPr>
          <w:rFonts w:hint="eastAsia" w:ascii="宋体" w:hAnsi="宋体"/>
          <w:color w:val="000000"/>
          <w:szCs w:val="21"/>
          <w:u w:val="single"/>
        </w:rPr>
        <w:t xml:space="preserve"> </w:t>
      </w:r>
    </w:p>
    <w:p>
      <w:pPr>
        <w:pStyle w:val="167"/>
        <w:autoSpaceDE w:val="0"/>
        <w:autoSpaceDN w:val="0"/>
        <w:adjustRightInd w:val="0"/>
        <w:spacing w:line="360" w:lineRule="auto"/>
        <w:jc w:val="left"/>
        <w:rPr>
          <w:rFonts w:ascii="宋体" w:hAnsi="宋体"/>
          <w:color w:val="000000"/>
          <w:kern w:val="0"/>
          <w:szCs w:val="21"/>
        </w:rPr>
      </w:pP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szCs w:val="21"/>
        </w:rPr>
        <w:t xml:space="preserve">7.1.2 </w:t>
      </w:r>
      <w:r>
        <w:rPr>
          <w:rFonts w:ascii="宋体" w:hAnsi="宋体"/>
          <w:color w:val="000000"/>
          <w:kern w:val="0"/>
          <w:szCs w:val="21"/>
        </w:rPr>
        <w:t>施工组织设计的提交和修改</w:t>
      </w:r>
    </w:p>
    <w:p>
      <w:pPr>
        <w:pStyle w:val="167"/>
        <w:autoSpaceDE w:val="0"/>
        <w:autoSpaceDN w:val="0"/>
        <w:adjustRightInd w:val="0"/>
        <w:spacing w:line="360" w:lineRule="auto"/>
        <w:ind w:firstLine="420" w:firstLineChars="200"/>
        <w:jc w:val="left"/>
        <w:rPr>
          <w:rFonts w:ascii="宋体" w:hAnsi="宋体"/>
          <w:color w:val="000000"/>
          <w:szCs w:val="21"/>
          <w:u w:val="single"/>
        </w:rPr>
      </w:pPr>
      <w:r>
        <w:rPr>
          <w:rFonts w:ascii="宋体" w:hAnsi="宋体"/>
          <w:color w:val="000000"/>
          <w:kern w:val="0"/>
          <w:szCs w:val="21"/>
        </w:rPr>
        <w:t>承包人提交详细施工组织设计的期限的约定：</w:t>
      </w:r>
      <w:r>
        <w:rPr>
          <w:rFonts w:ascii="宋体" w:hAnsi="宋体"/>
          <w:color w:val="000000"/>
          <w:szCs w:val="21"/>
          <w:u w:val="single"/>
        </w:rPr>
        <w:t xml:space="preserve">     </w:t>
      </w:r>
      <w:r>
        <w:rPr>
          <w:rFonts w:hint="eastAsia" w:ascii="宋体" w:hAnsi="宋体"/>
          <w:color w:val="000000"/>
          <w:szCs w:val="21"/>
          <w:u w:val="single"/>
        </w:rPr>
        <w:t xml:space="preserve">         </w:t>
      </w:r>
    </w:p>
    <w:p>
      <w:pPr>
        <w:pStyle w:val="167"/>
        <w:autoSpaceDE w:val="0"/>
        <w:autoSpaceDN w:val="0"/>
        <w:adjustRightInd w:val="0"/>
        <w:spacing w:line="360" w:lineRule="auto"/>
        <w:jc w:val="left"/>
        <w:rPr>
          <w:rFonts w:ascii="宋体" w:hAnsi="宋体"/>
          <w:color w:val="000000"/>
          <w:szCs w:val="21"/>
        </w:rPr>
      </w:pP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发包人和监理人在收到</w:t>
      </w:r>
      <w:r>
        <w:rPr>
          <w:rFonts w:hint="eastAsia" w:ascii="宋体" w:hAnsi="宋体"/>
          <w:color w:val="000000"/>
          <w:szCs w:val="21"/>
        </w:rPr>
        <w:t>详细的施工组织设计</w:t>
      </w:r>
      <w:r>
        <w:rPr>
          <w:rFonts w:ascii="宋体" w:hAnsi="宋体"/>
          <w:color w:val="000000"/>
          <w:szCs w:val="21"/>
        </w:rPr>
        <w:t>后确认或提出修改意见的期限：</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after="120" w:line="360" w:lineRule="auto"/>
        <w:ind w:firstLine="420" w:firstLineChars="200"/>
        <w:rPr>
          <w:rFonts w:ascii="宋体" w:hAnsi="宋体"/>
          <w:color w:val="000000"/>
          <w:szCs w:val="21"/>
        </w:rPr>
      </w:pPr>
      <w:r>
        <w:rPr>
          <w:rFonts w:ascii="宋体" w:hAnsi="宋体"/>
          <w:color w:val="000000"/>
          <w:szCs w:val="21"/>
        </w:rPr>
        <w:t>7</w:t>
      </w:r>
      <w:bookmarkStart w:id="543" w:name="_Toc300934966"/>
      <w:bookmarkStart w:id="544" w:name="_Toc312678005"/>
      <w:bookmarkStart w:id="545" w:name="_Toc303539123"/>
      <w:bookmarkStart w:id="546" w:name="_Toc297123514"/>
      <w:bookmarkStart w:id="547" w:name="_Toc304295541"/>
      <w:bookmarkStart w:id="548" w:name="_Toc312677479"/>
      <w:bookmarkStart w:id="549" w:name="_Toc297216173"/>
      <w:r>
        <w:rPr>
          <w:rFonts w:ascii="宋体" w:hAnsi="宋体"/>
          <w:color w:val="000000"/>
          <w:szCs w:val="21"/>
        </w:rPr>
        <w:t>.2 施工进度计划</w:t>
      </w:r>
    </w:p>
    <w:p>
      <w:pPr>
        <w:pStyle w:val="167"/>
        <w:spacing w:line="360" w:lineRule="auto"/>
        <w:ind w:firstLine="420" w:firstLineChars="200"/>
        <w:jc w:val="left"/>
        <w:rPr>
          <w:rFonts w:ascii="宋体" w:hAnsi="宋体"/>
          <w:color w:val="000000"/>
          <w:szCs w:val="21"/>
        </w:rPr>
      </w:pPr>
      <w:r>
        <w:rPr>
          <w:rFonts w:ascii="宋体" w:hAnsi="宋体"/>
          <w:color w:val="000000"/>
          <w:szCs w:val="21"/>
        </w:rPr>
        <w:t>7.2.2 施工进度计划的修订</w:t>
      </w:r>
    </w:p>
    <w:p>
      <w:pPr>
        <w:pStyle w:val="167"/>
        <w:spacing w:line="360" w:lineRule="auto"/>
        <w:ind w:firstLine="420" w:firstLineChars="200"/>
        <w:jc w:val="left"/>
        <w:rPr>
          <w:rFonts w:ascii="宋体" w:hAnsi="宋体"/>
          <w:color w:val="000000"/>
          <w:szCs w:val="21"/>
        </w:rPr>
      </w:pPr>
      <w:r>
        <w:rPr>
          <w:rFonts w:ascii="宋体" w:hAnsi="宋体"/>
          <w:color w:val="000000"/>
          <w:szCs w:val="21"/>
        </w:rPr>
        <w:t>发包人和监理人在收到修订的施工进度计划后确认或提出修改意见的期限：</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after="120" w:line="360" w:lineRule="auto"/>
        <w:ind w:firstLine="420" w:firstLineChars="200"/>
        <w:rPr>
          <w:rFonts w:ascii="宋体" w:hAnsi="宋体"/>
          <w:color w:val="000000"/>
          <w:szCs w:val="21"/>
        </w:rPr>
      </w:pPr>
      <w:r>
        <w:rPr>
          <w:rFonts w:ascii="宋体" w:hAnsi="宋体"/>
          <w:color w:val="000000"/>
          <w:szCs w:val="21"/>
        </w:rPr>
        <w:t>7.3 开工</w:t>
      </w:r>
    </w:p>
    <w:p>
      <w:pPr>
        <w:pStyle w:val="167"/>
        <w:spacing w:line="360" w:lineRule="auto"/>
        <w:ind w:firstLine="420" w:firstLineChars="200"/>
        <w:jc w:val="left"/>
        <w:rPr>
          <w:rFonts w:ascii="宋体" w:hAnsi="宋体"/>
          <w:color w:val="000000"/>
          <w:szCs w:val="21"/>
        </w:rPr>
      </w:pPr>
      <w:r>
        <w:rPr>
          <w:rFonts w:ascii="宋体" w:hAnsi="宋体"/>
          <w:color w:val="000000"/>
          <w:szCs w:val="21"/>
        </w:rPr>
        <w:t>7.3.1 开工准备</w:t>
      </w:r>
    </w:p>
    <w:p>
      <w:pPr>
        <w:pStyle w:val="167"/>
        <w:spacing w:line="360" w:lineRule="auto"/>
        <w:ind w:firstLine="645"/>
        <w:jc w:val="left"/>
        <w:rPr>
          <w:rFonts w:ascii="宋体" w:hAnsi="宋体"/>
          <w:color w:val="000000"/>
          <w:szCs w:val="21"/>
          <w:u w:val="single"/>
        </w:rPr>
      </w:pPr>
      <w:r>
        <w:rPr>
          <w:rFonts w:ascii="宋体" w:hAnsi="宋体"/>
          <w:color w:val="000000"/>
          <w:szCs w:val="21"/>
        </w:rPr>
        <w:t>关于承包人提交</w:t>
      </w:r>
      <w:r>
        <w:rPr>
          <w:rFonts w:ascii="宋体" w:hAnsi="宋体"/>
          <w:color w:val="000000"/>
          <w:kern w:val="0"/>
          <w:szCs w:val="21"/>
        </w:rPr>
        <w:t>工程开工报审表的期限：</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645"/>
        <w:jc w:val="left"/>
        <w:rPr>
          <w:rFonts w:ascii="宋体" w:hAnsi="宋体"/>
          <w:color w:val="000000"/>
          <w:szCs w:val="21"/>
          <w:u w:val="single"/>
        </w:rPr>
      </w:pPr>
      <w:r>
        <w:rPr>
          <w:rFonts w:ascii="宋体" w:hAnsi="宋体"/>
          <w:color w:val="000000"/>
          <w:szCs w:val="21"/>
        </w:rPr>
        <w:t>关于发包人应完成的其他开工准备工作及期限：</w:t>
      </w:r>
      <w:r>
        <w:rPr>
          <w:rFonts w:ascii="宋体" w:hAnsi="宋体"/>
          <w:color w:val="000000"/>
          <w:szCs w:val="21"/>
          <w:u w:val="single"/>
        </w:rPr>
        <w:t xml:space="preserve">             </w:t>
      </w:r>
    </w:p>
    <w:p>
      <w:pPr>
        <w:pStyle w:val="167"/>
        <w:spacing w:line="360" w:lineRule="auto"/>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u w:val="single"/>
        </w:rPr>
      </w:pPr>
      <w:r>
        <w:rPr>
          <w:rFonts w:ascii="宋体" w:hAnsi="宋体"/>
          <w:color w:val="000000"/>
          <w:szCs w:val="21"/>
        </w:rPr>
        <w:t>关于承包人应完成的其他开工准备工作及期限：</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7.3.2开工通知</w:t>
      </w:r>
    </w:p>
    <w:p>
      <w:pPr>
        <w:pStyle w:val="167"/>
        <w:spacing w:line="360" w:lineRule="auto"/>
        <w:ind w:firstLine="420" w:firstLineChars="200"/>
        <w:jc w:val="left"/>
        <w:rPr>
          <w:rFonts w:ascii="宋体" w:hAnsi="宋体"/>
          <w:color w:val="000000"/>
          <w:szCs w:val="21"/>
        </w:rPr>
      </w:pPr>
      <w:r>
        <w:rPr>
          <w:rFonts w:ascii="宋体" w:hAnsi="宋体"/>
          <w:color w:val="000000"/>
          <w:szCs w:val="21"/>
        </w:rPr>
        <w:t>因发包人原因造成监理人未能在计划开工日期之日起</w:t>
      </w:r>
      <w:r>
        <w:rPr>
          <w:rFonts w:ascii="宋体" w:hAnsi="宋体"/>
          <w:color w:val="000000"/>
          <w:szCs w:val="21"/>
          <w:u w:val="single"/>
        </w:rPr>
        <w:t xml:space="preserve">     </w:t>
      </w:r>
      <w:r>
        <w:rPr>
          <w:rFonts w:ascii="宋体" w:hAnsi="宋体"/>
          <w:color w:val="000000"/>
          <w:szCs w:val="21"/>
        </w:rPr>
        <w:t>天内发出开工通知的，承包人有权提出价格调整要求，或者解除合同。</w:t>
      </w:r>
    </w:p>
    <w:bookmarkEnd w:id="543"/>
    <w:bookmarkEnd w:id="544"/>
    <w:bookmarkEnd w:id="545"/>
    <w:bookmarkEnd w:id="546"/>
    <w:bookmarkEnd w:id="547"/>
    <w:bookmarkEnd w:id="548"/>
    <w:bookmarkEnd w:id="549"/>
    <w:p>
      <w:pPr>
        <w:pStyle w:val="167"/>
        <w:spacing w:after="120" w:line="360" w:lineRule="auto"/>
        <w:ind w:firstLine="420" w:firstLineChars="200"/>
        <w:rPr>
          <w:rFonts w:ascii="宋体" w:hAnsi="宋体"/>
          <w:color w:val="000000"/>
          <w:szCs w:val="21"/>
        </w:rPr>
      </w:pPr>
      <w:r>
        <w:rPr>
          <w:rFonts w:ascii="宋体" w:hAnsi="宋体"/>
          <w:color w:val="000000"/>
          <w:szCs w:val="21"/>
        </w:rPr>
        <w:t>7.4 测量放线</w:t>
      </w:r>
    </w:p>
    <w:p>
      <w:pPr>
        <w:pStyle w:val="167"/>
        <w:spacing w:line="360" w:lineRule="auto"/>
        <w:ind w:firstLine="420" w:firstLineChars="200"/>
        <w:jc w:val="left"/>
        <w:rPr>
          <w:rFonts w:ascii="宋体" w:hAnsi="宋体"/>
          <w:color w:val="000000"/>
          <w:szCs w:val="21"/>
          <w:u w:val="single"/>
        </w:rPr>
      </w:pPr>
      <w:r>
        <w:rPr>
          <w:rFonts w:ascii="宋体" w:hAnsi="宋体"/>
          <w:color w:val="000000"/>
          <w:szCs w:val="21"/>
        </w:rPr>
        <w:t>7.4.1发包人通过监理人向承包人提供测量基准点、基准线和水准点及其书面资料的期限：</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rPr>
        <w:t>。</w:t>
      </w:r>
    </w:p>
    <w:p>
      <w:pPr>
        <w:pStyle w:val="167"/>
        <w:spacing w:after="120" w:line="360" w:lineRule="auto"/>
        <w:ind w:firstLine="420" w:firstLineChars="200"/>
        <w:rPr>
          <w:rFonts w:ascii="宋体" w:hAnsi="宋体"/>
          <w:color w:val="000000"/>
          <w:szCs w:val="21"/>
        </w:rPr>
      </w:pPr>
      <w:r>
        <w:rPr>
          <w:rFonts w:ascii="宋体" w:hAnsi="宋体"/>
          <w:color w:val="000000"/>
          <w:szCs w:val="21"/>
        </w:rPr>
        <w:t>7</w:t>
      </w:r>
      <w:bookmarkStart w:id="550" w:name="_Toc312677484"/>
      <w:bookmarkStart w:id="551" w:name="_Toc300934968"/>
      <w:bookmarkStart w:id="552" w:name="_Toc297216175"/>
      <w:bookmarkStart w:id="553" w:name="_Toc303539125"/>
      <w:bookmarkStart w:id="554" w:name="_Toc312678010"/>
      <w:bookmarkStart w:id="555" w:name="_Toc304295546"/>
      <w:bookmarkStart w:id="556" w:name="_Toc297123516"/>
      <w:r>
        <w:rPr>
          <w:rFonts w:ascii="宋体" w:hAnsi="宋体"/>
          <w:color w:val="000000"/>
          <w:szCs w:val="21"/>
        </w:rPr>
        <w:t>.5 工期延误</w:t>
      </w:r>
    </w:p>
    <w:bookmarkEnd w:id="550"/>
    <w:bookmarkEnd w:id="551"/>
    <w:bookmarkEnd w:id="552"/>
    <w:bookmarkEnd w:id="553"/>
    <w:bookmarkEnd w:id="554"/>
    <w:bookmarkEnd w:id="555"/>
    <w:bookmarkEnd w:id="556"/>
    <w:p>
      <w:pPr>
        <w:pStyle w:val="167"/>
        <w:spacing w:line="360" w:lineRule="auto"/>
        <w:ind w:firstLine="420" w:firstLineChars="200"/>
        <w:jc w:val="left"/>
        <w:rPr>
          <w:rFonts w:ascii="宋体" w:hAnsi="宋体"/>
          <w:color w:val="000000"/>
          <w:szCs w:val="21"/>
        </w:rPr>
      </w:pPr>
      <w:r>
        <w:rPr>
          <w:rFonts w:ascii="宋体" w:hAnsi="宋体"/>
          <w:color w:val="000000"/>
          <w:szCs w:val="21"/>
        </w:rPr>
        <w:t>7.5.1 因发包人原因导致工期延误</w:t>
      </w:r>
    </w:p>
    <w:p>
      <w:pPr>
        <w:pStyle w:val="167"/>
        <w:spacing w:line="360" w:lineRule="auto"/>
        <w:ind w:firstLine="420" w:firstLineChars="200"/>
        <w:jc w:val="left"/>
        <w:rPr>
          <w:rFonts w:ascii="宋体" w:hAnsi="宋体"/>
          <w:color w:val="000000"/>
          <w:szCs w:val="21"/>
          <w:u w:val="single"/>
        </w:rPr>
      </w:pPr>
      <w:r>
        <w:rPr>
          <w:rFonts w:ascii="宋体" w:hAnsi="宋体"/>
          <w:color w:val="000000"/>
          <w:szCs w:val="21"/>
        </w:rPr>
        <w:t>（7）因发包人原因导致工期延误的其他情形：</w:t>
      </w:r>
      <w:r>
        <w:rPr>
          <w:rFonts w:ascii="宋体" w:hAnsi="宋体"/>
          <w:color w:val="000000"/>
          <w:szCs w:val="21"/>
          <w:u w:val="single"/>
        </w:rPr>
        <w:t xml:space="preserve">              </w:t>
      </w:r>
    </w:p>
    <w:p>
      <w:pPr>
        <w:pStyle w:val="167"/>
        <w:spacing w:line="360" w:lineRule="auto"/>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7</w:t>
      </w:r>
      <w:bookmarkStart w:id="557" w:name="_Toc312677486"/>
      <w:bookmarkStart w:id="558" w:name="_Toc312678012"/>
      <w:bookmarkStart w:id="559" w:name="_Toc318581169"/>
      <w:bookmarkStart w:id="560" w:name="_Toc304295548"/>
      <w:bookmarkStart w:id="561" w:name="_Toc303539127"/>
      <w:bookmarkStart w:id="562" w:name="_Toc297216177"/>
      <w:bookmarkStart w:id="563" w:name="_Toc300934970"/>
      <w:bookmarkStart w:id="564" w:name="_Toc297123518"/>
      <w:r>
        <w:rPr>
          <w:rFonts w:ascii="宋体" w:hAnsi="宋体"/>
          <w:color w:val="000000"/>
          <w:szCs w:val="21"/>
        </w:rPr>
        <w:t>.5.2 因承包人原因导致工期延误</w:t>
      </w:r>
    </w:p>
    <w:bookmarkEnd w:id="557"/>
    <w:bookmarkEnd w:id="558"/>
    <w:bookmarkEnd w:id="559"/>
    <w:p>
      <w:pPr>
        <w:pStyle w:val="167"/>
        <w:spacing w:line="360" w:lineRule="auto"/>
        <w:ind w:firstLine="420" w:firstLineChars="200"/>
        <w:jc w:val="left"/>
        <w:rPr>
          <w:rFonts w:ascii="宋体" w:hAnsi="宋体"/>
          <w:color w:val="000000"/>
          <w:szCs w:val="21"/>
          <w:u w:val="single"/>
        </w:rPr>
      </w:pPr>
      <w:r>
        <w:rPr>
          <w:rFonts w:ascii="宋体" w:hAnsi="宋体"/>
          <w:color w:val="000000"/>
          <w:szCs w:val="21"/>
        </w:rPr>
        <w:t>因</w:t>
      </w:r>
      <w:bookmarkStart w:id="565" w:name="_Toc312678013"/>
      <w:bookmarkStart w:id="566" w:name="_Toc312677487"/>
      <w:bookmarkStart w:id="567" w:name="_Toc318581170"/>
      <w:r>
        <w:rPr>
          <w:rFonts w:ascii="宋体" w:hAnsi="宋体"/>
          <w:color w:val="000000"/>
          <w:szCs w:val="21"/>
        </w:rPr>
        <w:t>承包人原因造成工期延误，逾期竣工违约金的计算方法为：</w:t>
      </w:r>
    </w:p>
    <w:p>
      <w:pPr>
        <w:pStyle w:val="167"/>
        <w:spacing w:line="360" w:lineRule="auto"/>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bookmarkEnd w:id="560"/>
      <w:bookmarkEnd w:id="561"/>
      <w:bookmarkEnd w:id="562"/>
      <w:bookmarkEnd w:id="563"/>
      <w:bookmarkEnd w:id="564"/>
      <w:bookmarkEnd w:id="565"/>
      <w:bookmarkEnd w:id="566"/>
    </w:p>
    <w:bookmarkEnd w:id="567"/>
    <w:p>
      <w:pPr>
        <w:pStyle w:val="167"/>
        <w:spacing w:line="360" w:lineRule="auto"/>
        <w:ind w:firstLine="420" w:firstLineChars="200"/>
        <w:jc w:val="left"/>
        <w:rPr>
          <w:rFonts w:ascii="宋体" w:hAnsi="宋体"/>
          <w:color w:val="000000"/>
          <w:szCs w:val="21"/>
        </w:rPr>
      </w:pPr>
      <w:r>
        <w:rPr>
          <w:rFonts w:ascii="宋体" w:hAnsi="宋体"/>
          <w:color w:val="000000"/>
          <w:szCs w:val="21"/>
        </w:rPr>
        <w:t>因承包人原因造成工期延误，逾</w:t>
      </w:r>
      <w:bookmarkStart w:id="568" w:name="_Toc318581171"/>
      <w:bookmarkStart w:id="569" w:name="_Toc312678014"/>
      <w:r>
        <w:rPr>
          <w:rFonts w:ascii="宋体" w:hAnsi="宋体"/>
          <w:color w:val="000000"/>
          <w:szCs w:val="21"/>
        </w:rPr>
        <w:t>期竣工违约金的上限：</w:t>
      </w:r>
      <w:r>
        <w:rPr>
          <w:rFonts w:ascii="宋体" w:hAnsi="宋体"/>
          <w:color w:val="000000"/>
          <w:szCs w:val="21"/>
          <w:u w:val="single"/>
        </w:rPr>
        <w:t xml:space="preserve">       </w:t>
      </w:r>
    </w:p>
    <w:p>
      <w:pPr>
        <w:pStyle w:val="167"/>
        <w:spacing w:line="360" w:lineRule="auto"/>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bookmarkEnd w:id="568"/>
    <w:bookmarkEnd w:id="569"/>
    <w:p>
      <w:pPr>
        <w:pStyle w:val="167"/>
        <w:spacing w:after="120" w:line="360" w:lineRule="auto"/>
        <w:ind w:firstLine="420" w:firstLineChars="200"/>
        <w:rPr>
          <w:rFonts w:ascii="宋体" w:hAnsi="宋体"/>
          <w:color w:val="000000"/>
          <w:szCs w:val="21"/>
        </w:rPr>
      </w:pPr>
      <w:r>
        <w:rPr>
          <w:rFonts w:ascii="宋体" w:hAnsi="宋体"/>
          <w:color w:val="000000"/>
          <w:szCs w:val="21"/>
        </w:rPr>
        <w:t>7</w:t>
      </w:r>
      <w:bookmarkStart w:id="570" w:name="_Toc304295549"/>
      <w:bookmarkStart w:id="571" w:name="_Toc297123519"/>
      <w:bookmarkStart w:id="572" w:name="_Toc303539128"/>
      <w:bookmarkStart w:id="573" w:name="_Toc312678015"/>
      <w:bookmarkStart w:id="574" w:name="_Toc297216178"/>
      <w:bookmarkStart w:id="575" w:name="_Toc300934971"/>
      <w:r>
        <w:rPr>
          <w:rFonts w:ascii="宋体" w:hAnsi="宋体"/>
          <w:color w:val="000000"/>
          <w:szCs w:val="21"/>
        </w:rPr>
        <w:t>.6 不</w:t>
      </w:r>
      <w:bookmarkEnd w:id="570"/>
      <w:bookmarkEnd w:id="571"/>
      <w:bookmarkEnd w:id="572"/>
      <w:bookmarkEnd w:id="573"/>
      <w:bookmarkEnd w:id="574"/>
      <w:bookmarkEnd w:id="575"/>
      <w:r>
        <w:rPr>
          <w:rFonts w:ascii="宋体" w:hAnsi="宋体"/>
          <w:color w:val="000000"/>
          <w:szCs w:val="21"/>
        </w:rPr>
        <w:t>利物质条件</w:t>
      </w:r>
    </w:p>
    <w:p>
      <w:pPr>
        <w:pStyle w:val="167"/>
        <w:spacing w:line="360" w:lineRule="auto"/>
        <w:ind w:firstLine="420" w:firstLineChars="200"/>
        <w:jc w:val="left"/>
        <w:rPr>
          <w:rFonts w:ascii="宋体" w:hAnsi="宋体"/>
          <w:color w:val="000000"/>
          <w:szCs w:val="21"/>
          <w:u w:val="single"/>
        </w:rPr>
      </w:pPr>
      <w:bookmarkStart w:id="576" w:name="_Toc297123520"/>
      <w:bookmarkStart w:id="577" w:name="_Toc297216179"/>
      <w:bookmarkStart w:id="578" w:name="_Toc318581172"/>
      <w:bookmarkStart w:id="579" w:name="_Toc312678016"/>
      <w:bookmarkStart w:id="580" w:name="_Toc300934972"/>
      <w:bookmarkStart w:id="581" w:name="_Toc304295550"/>
      <w:bookmarkStart w:id="582" w:name="_Toc303539129"/>
      <w:r>
        <w:rPr>
          <w:rFonts w:ascii="宋体" w:hAnsi="宋体"/>
          <w:color w:val="000000"/>
          <w:szCs w:val="21"/>
        </w:rPr>
        <w:t>不利物质条件的其他情形和有关约定：</w:t>
      </w:r>
      <w:r>
        <w:rPr>
          <w:rFonts w:ascii="宋体" w:hAnsi="宋体"/>
          <w:color w:val="000000"/>
          <w:szCs w:val="21"/>
          <w:u w:val="single"/>
        </w:rPr>
        <w:t xml:space="preserve">                    </w:t>
      </w:r>
    </w:p>
    <w:p>
      <w:pPr>
        <w:pStyle w:val="167"/>
        <w:spacing w:line="360" w:lineRule="auto"/>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bookmarkEnd w:id="576"/>
    <w:bookmarkEnd w:id="577"/>
    <w:bookmarkEnd w:id="578"/>
    <w:bookmarkEnd w:id="579"/>
    <w:bookmarkEnd w:id="580"/>
    <w:bookmarkEnd w:id="581"/>
    <w:bookmarkEnd w:id="582"/>
    <w:p>
      <w:pPr>
        <w:pStyle w:val="167"/>
        <w:spacing w:after="120" w:line="360" w:lineRule="auto"/>
        <w:ind w:firstLine="420" w:firstLineChars="200"/>
        <w:rPr>
          <w:rFonts w:ascii="宋体" w:hAnsi="宋体"/>
          <w:color w:val="000000"/>
          <w:szCs w:val="21"/>
        </w:rPr>
      </w:pPr>
      <w:r>
        <w:rPr>
          <w:rFonts w:ascii="宋体" w:hAnsi="宋体"/>
          <w:color w:val="000000"/>
          <w:szCs w:val="21"/>
        </w:rPr>
        <w:t>7</w:t>
      </w:r>
      <w:bookmarkStart w:id="583" w:name="_Toc300934973"/>
      <w:bookmarkStart w:id="584" w:name="_Toc297216180"/>
      <w:bookmarkStart w:id="585" w:name="_Toc304295551"/>
      <w:bookmarkStart w:id="586" w:name="_Toc297123521"/>
      <w:bookmarkStart w:id="587" w:name="_Toc312678017"/>
      <w:bookmarkStart w:id="588" w:name="_Toc303539130"/>
      <w:r>
        <w:rPr>
          <w:rFonts w:ascii="宋体" w:hAnsi="宋体"/>
          <w:color w:val="000000"/>
          <w:szCs w:val="21"/>
        </w:rPr>
        <w:t>.7异常恶劣的气候条件</w:t>
      </w:r>
    </w:p>
    <w:bookmarkEnd w:id="583"/>
    <w:bookmarkEnd w:id="584"/>
    <w:bookmarkEnd w:id="585"/>
    <w:bookmarkEnd w:id="586"/>
    <w:bookmarkEnd w:id="587"/>
    <w:bookmarkEnd w:id="588"/>
    <w:p>
      <w:pPr>
        <w:pStyle w:val="167"/>
        <w:spacing w:line="360" w:lineRule="auto"/>
        <w:ind w:firstLine="420" w:firstLineChars="200"/>
        <w:jc w:val="left"/>
        <w:rPr>
          <w:rFonts w:ascii="宋体" w:hAnsi="宋体"/>
          <w:color w:val="000000"/>
          <w:szCs w:val="21"/>
        </w:rPr>
      </w:pPr>
      <w:r>
        <w:rPr>
          <w:rFonts w:ascii="宋体" w:hAnsi="宋体"/>
          <w:color w:val="000000"/>
          <w:szCs w:val="21"/>
        </w:rPr>
        <w:t>发包人和承包人同意以下情形视为异常恶劣的气候条件：</w:t>
      </w:r>
    </w:p>
    <w:p>
      <w:pPr>
        <w:pStyle w:val="167"/>
        <w:spacing w:line="360" w:lineRule="auto"/>
        <w:ind w:firstLine="420" w:firstLineChars="200"/>
        <w:jc w:val="left"/>
        <w:rPr>
          <w:rFonts w:ascii="宋体" w:hAnsi="宋体"/>
          <w:color w:val="000000"/>
          <w:szCs w:val="21"/>
        </w:rPr>
      </w:pPr>
      <w:r>
        <w:rPr>
          <w:rFonts w:ascii="宋体" w:hAnsi="宋体"/>
          <w:color w:val="000000"/>
          <w:szCs w:val="21"/>
        </w:rPr>
        <w:t>（1）</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（2）</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（3）</w:t>
      </w:r>
      <w:r>
        <w:rPr>
          <w:rFonts w:ascii="宋体" w:hAnsi="宋体"/>
          <w:color w:val="000000"/>
          <w:szCs w:val="21"/>
          <w:u w:val="single"/>
        </w:rPr>
        <w:t xml:space="preserve">                                           </w:t>
      </w:r>
      <w:r>
        <w:rPr>
          <w:rFonts w:ascii="宋体" w:hAnsi="宋体"/>
          <w:color w:val="000000"/>
          <w:szCs w:val="21"/>
        </w:rPr>
        <w:t>。</w:t>
      </w:r>
    </w:p>
    <w:p>
      <w:pPr>
        <w:pStyle w:val="167"/>
        <w:spacing w:after="120" w:line="360" w:lineRule="auto"/>
        <w:ind w:firstLine="420" w:firstLineChars="200"/>
        <w:rPr>
          <w:rFonts w:ascii="宋体" w:hAnsi="宋体"/>
          <w:color w:val="000000"/>
          <w:szCs w:val="21"/>
        </w:rPr>
      </w:pPr>
      <w:r>
        <w:rPr>
          <w:rFonts w:ascii="宋体" w:hAnsi="宋体"/>
          <w:color w:val="000000"/>
          <w:szCs w:val="21"/>
        </w:rPr>
        <w:t>7.9 提前竣工的奖励</w:t>
      </w:r>
    </w:p>
    <w:p>
      <w:pPr>
        <w:pStyle w:val="167"/>
        <w:spacing w:line="360" w:lineRule="auto"/>
        <w:ind w:firstLine="420" w:firstLineChars="200"/>
        <w:jc w:val="left"/>
        <w:rPr>
          <w:rFonts w:ascii="宋体" w:hAnsi="宋体"/>
          <w:color w:val="000000"/>
          <w:szCs w:val="21"/>
        </w:rPr>
      </w:pPr>
      <w:r>
        <w:rPr>
          <w:rFonts w:ascii="宋体" w:hAnsi="宋体"/>
          <w:color w:val="000000"/>
          <w:szCs w:val="21"/>
        </w:rPr>
        <w:t>7.9.2提前竣工的奖励：</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keepNext/>
        <w:keepLines/>
        <w:spacing w:before="120" w:after="120" w:line="360" w:lineRule="auto"/>
        <w:outlineLvl w:val="3"/>
        <w:rPr>
          <w:rFonts w:ascii="宋体" w:hAnsi="宋体"/>
          <w:bCs/>
          <w:color w:val="000000"/>
          <w:szCs w:val="21"/>
        </w:rPr>
      </w:pPr>
      <w:bookmarkStart w:id="589" w:name="_Toc351203640"/>
      <w:r>
        <w:rPr>
          <w:rFonts w:ascii="宋体" w:hAnsi="宋体"/>
          <w:bCs/>
          <w:color w:val="000000"/>
          <w:szCs w:val="21"/>
        </w:rPr>
        <w:t>8. 材料与设备</w:t>
      </w:r>
      <w:bookmarkEnd w:id="589"/>
    </w:p>
    <w:bookmarkEnd w:id="524"/>
    <w:bookmarkEnd w:id="525"/>
    <w:bookmarkEnd w:id="526"/>
    <w:bookmarkEnd w:id="527"/>
    <w:bookmarkEnd w:id="528"/>
    <w:bookmarkEnd w:id="529"/>
    <w:bookmarkEnd w:id="530"/>
    <w:bookmarkEnd w:id="531"/>
    <w:bookmarkEnd w:id="532"/>
    <w:bookmarkEnd w:id="533"/>
    <w:p>
      <w:pPr>
        <w:pStyle w:val="167"/>
        <w:spacing w:after="120" w:line="360" w:lineRule="auto"/>
        <w:ind w:firstLine="420" w:firstLineChars="200"/>
        <w:rPr>
          <w:rFonts w:ascii="宋体" w:hAnsi="宋体"/>
          <w:color w:val="000000"/>
          <w:szCs w:val="21"/>
        </w:rPr>
      </w:pPr>
      <w:r>
        <w:rPr>
          <w:rFonts w:ascii="宋体" w:hAnsi="宋体"/>
          <w:color w:val="000000"/>
          <w:szCs w:val="21"/>
        </w:rPr>
        <w:t>8</w:t>
      </w:r>
      <w:bookmarkStart w:id="590" w:name="_Toc312678019"/>
      <w:bookmarkStart w:id="591" w:name="_Toc312677493"/>
      <w:bookmarkStart w:id="592" w:name="_Toc296503167"/>
      <w:bookmarkStart w:id="593" w:name="_Toc304295556"/>
      <w:bookmarkStart w:id="594" w:name="_Toc292559877"/>
      <w:bookmarkStart w:id="595" w:name="_Toc296944506"/>
      <w:bookmarkStart w:id="596" w:name="_Toc296890995"/>
      <w:bookmarkStart w:id="597" w:name="_Toc296891207"/>
      <w:bookmarkStart w:id="598" w:name="_Toc296346668"/>
      <w:bookmarkStart w:id="599" w:name="_Toc292559372"/>
      <w:bookmarkStart w:id="600" w:name="_Toc303539136"/>
      <w:bookmarkStart w:id="601" w:name="_Toc297120467"/>
      <w:bookmarkStart w:id="602" w:name="_Toc297216186"/>
      <w:bookmarkStart w:id="603" w:name="_Toc297123527"/>
      <w:bookmarkStart w:id="604" w:name="_Toc297048353"/>
      <w:bookmarkStart w:id="605" w:name="_Toc296347166"/>
      <w:bookmarkStart w:id="606" w:name="_Toc280868654"/>
      <w:bookmarkStart w:id="607" w:name="_Toc300934979"/>
      <w:bookmarkStart w:id="608" w:name="_Toc280868656"/>
      <w:bookmarkStart w:id="609" w:name="_Toc280868655"/>
      <w:bookmarkStart w:id="610" w:name="_Toc267251424"/>
      <w:r>
        <w:rPr>
          <w:rFonts w:ascii="宋体" w:hAnsi="宋体"/>
          <w:color w:val="000000"/>
          <w:szCs w:val="21"/>
        </w:rPr>
        <w:t>.4材料与工程设备的保管与使用</w:t>
      </w:r>
    </w:p>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p>
      <w:pPr>
        <w:pStyle w:val="167"/>
        <w:spacing w:line="360" w:lineRule="auto"/>
        <w:ind w:firstLine="420" w:firstLineChars="200"/>
        <w:jc w:val="left"/>
        <w:rPr>
          <w:rFonts w:ascii="宋体" w:hAnsi="宋体"/>
          <w:color w:val="000000"/>
          <w:szCs w:val="21"/>
          <w:u w:val="single"/>
        </w:rPr>
      </w:pPr>
      <w:r>
        <w:rPr>
          <w:rFonts w:ascii="宋体" w:hAnsi="宋体"/>
          <w:color w:val="000000"/>
          <w:szCs w:val="21"/>
        </w:rPr>
        <w:t>8</w:t>
      </w:r>
      <w:bookmarkStart w:id="611" w:name="_Toc292559373"/>
      <w:bookmarkStart w:id="612" w:name="_Toc292559878"/>
      <w:bookmarkStart w:id="613" w:name="_Toc303539137"/>
      <w:bookmarkStart w:id="614" w:name="_Toc318581173"/>
      <w:bookmarkStart w:id="615" w:name="_Toc297123528"/>
      <w:bookmarkStart w:id="616" w:name="_Toc312677494"/>
      <w:bookmarkStart w:id="617" w:name="_Toc296346669"/>
      <w:bookmarkStart w:id="618" w:name="_Toc296891208"/>
      <w:bookmarkStart w:id="619" w:name="_Toc304295557"/>
      <w:bookmarkStart w:id="620" w:name="_Toc300934980"/>
      <w:bookmarkStart w:id="621" w:name="_Toc312678020"/>
      <w:bookmarkStart w:id="622" w:name="_Toc297216187"/>
      <w:bookmarkStart w:id="623" w:name="_Toc297120468"/>
      <w:bookmarkStart w:id="624" w:name="_Toc296347167"/>
      <w:bookmarkStart w:id="625" w:name="_Toc296503168"/>
      <w:bookmarkStart w:id="626" w:name="_Toc297048354"/>
      <w:bookmarkStart w:id="627" w:name="_Toc296944507"/>
      <w:bookmarkStart w:id="628" w:name="_Toc296890996"/>
      <w:r>
        <w:rPr>
          <w:rFonts w:ascii="宋体" w:hAnsi="宋体"/>
          <w:color w:val="000000"/>
          <w:szCs w:val="21"/>
        </w:rPr>
        <w:t>.4.1发包人供应的材料设备的保管费用的承担：</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bookmarkEnd w:id="611"/>
      <w:bookmarkEnd w:id="612"/>
    </w:p>
    <w:p>
      <w:pPr>
        <w:pStyle w:val="167"/>
        <w:spacing w:after="120" w:line="360" w:lineRule="auto"/>
        <w:ind w:firstLine="420" w:firstLineChars="200"/>
        <w:rPr>
          <w:rFonts w:ascii="宋体" w:hAnsi="宋体"/>
          <w:color w:val="000000"/>
          <w:szCs w:val="21"/>
        </w:rPr>
      </w:pPr>
      <w:r>
        <w:rPr>
          <w:rFonts w:ascii="宋体" w:hAnsi="宋体"/>
          <w:color w:val="000000"/>
          <w:szCs w:val="21"/>
        </w:rPr>
        <w:t>8.6 样品</w:t>
      </w:r>
    </w:p>
    <w:p>
      <w:pPr>
        <w:pStyle w:val="167"/>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8.6.1</w:t>
      </w:r>
      <w:r>
        <w:rPr>
          <w:rFonts w:ascii="宋体" w:hAnsi="宋体"/>
          <w:color w:val="000000"/>
          <w:kern w:val="0"/>
          <w:szCs w:val="21"/>
        </w:rPr>
        <w:tab/>
      </w:r>
      <w:r>
        <w:rPr>
          <w:rFonts w:ascii="宋体" w:hAnsi="宋体"/>
          <w:color w:val="000000"/>
          <w:kern w:val="0"/>
          <w:szCs w:val="21"/>
        </w:rPr>
        <w:t>样品的报送</w:t>
      </w:r>
      <w:r>
        <w:rPr>
          <w:rFonts w:hint="eastAsia" w:ascii="宋体" w:hAnsi="宋体"/>
          <w:color w:val="000000"/>
          <w:kern w:val="0"/>
          <w:szCs w:val="21"/>
        </w:rPr>
        <w:t>与封存</w:t>
      </w:r>
    </w:p>
    <w:p>
      <w:pPr>
        <w:pStyle w:val="167"/>
        <w:autoSpaceDE w:val="0"/>
        <w:autoSpaceDN w:val="0"/>
        <w:adjustRightInd w:val="0"/>
        <w:spacing w:line="360" w:lineRule="auto"/>
        <w:ind w:firstLine="420" w:firstLineChars="200"/>
        <w:jc w:val="left"/>
        <w:rPr>
          <w:rFonts w:ascii="宋体" w:hAnsi="宋体"/>
          <w:color w:val="000000"/>
          <w:szCs w:val="21"/>
          <w:u w:val="single"/>
        </w:rPr>
      </w:pPr>
      <w:r>
        <w:rPr>
          <w:rFonts w:ascii="宋体" w:hAnsi="宋体"/>
          <w:color w:val="000000"/>
          <w:kern w:val="0"/>
          <w:szCs w:val="21"/>
        </w:rPr>
        <w:t>需要承包人报送样品的材料或工程设备，样品的种类、名称、规格、数量要求：</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autoSpaceDE w:val="0"/>
        <w:autoSpaceDN w:val="0"/>
        <w:adjustRightInd w:val="0"/>
        <w:spacing w:line="360" w:lineRule="auto"/>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after="120" w:line="360" w:lineRule="auto"/>
        <w:ind w:firstLine="420" w:firstLineChars="200"/>
        <w:rPr>
          <w:rFonts w:ascii="宋体" w:hAnsi="宋体"/>
          <w:color w:val="000000"/>
          <w:szCs w:val="21"/>
        </w:rPr>
      </w:pPr>
      <w:r>
        <w:rPr>
          <w:rFonts w:ascii="宋体" w:hAnsi="宋体"/>
          <w:color w:val="000000"/>
          <w:szCs w:val="21"/>
        </w:rPr>
        <w:t>8.8 施工设备和临时设施</w:t>
      </w:r>
    </w:p>
    <w:p>
      <w:pPr>
        <w:pStyle w:val="167"/>
        <w:autoSpaceDE w:val="0"/>
        <w:autoSpaceDN w:val="0"/>
        <w:adjustRightInd w:val="0"/>
        <w:spacing w:line="360" w:lineRule="auto"/>
        <w:ind w:firstLine="420" w:firstLineChars="200"/>
        <w:jc w:val="left"/>
        <w:rPr>
          <w:rFonts w:ascii="宋体" w:hAnsi="宋体"/>
          <w:color w:val="000000"/>
          <w:szCs w:val="21"/>
        </w:rPr>
      </w:pPr>
      <w:r>
        <w:rPr>
          <w:rFonts w:ascii="宋体" w:hAnsi="宋体"/>
          <w:color w:val="000000"/>
          <w:szCs w:val="21"/>
        </w:rPr>
        <w:t>8.8.1 承包人提供的施工设备和临时设施</w:t>
      </w:r>
    </w:p>
    <w:p>
      <w:pPr>
        <w:pStyle w:val="167"/>
        <w:autoSpaceDE w:val="0"/>
        <w:autoSpaceDN w:val="0"/>
        <w:adjustRightInd w:val="0"/>
        <w:spacing w:line="360" w:lineRule="auto"/>
        <w:ind w:firstLine="420" w:firstLineChars="200"/>
        <w:jc w:val="left"/>
        <w:rPr>
          <w:rFonts w:ascii="宋体" w:hAnsi="宋体"/>
          <w:color w:val="000000"/>
          <w:szCs w:val="21"/>
          <w:u w:val="single"/>
        </w:rPr>
      </w:pPr>
      <w:r>
        <w:rPr>
          <w:rFonts w:ascii="宋体" w:hAnsi="宋体"/>
          <w:color w:val="000000"/>
          <w:szCs w:val="21"/>
        </w:rPr>
        <w:t>关于修建临时设施费用承担的约定：</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p>
    <w:p>
      <w:pPr>
        <w:pStyle w:val="167"/>
        <w:autoSpaceDE w:val="0"/>
        <w:autoSpaceDN w:val="0"/>
        <w:adjustRightInd w:val="0"/>
        <w:spacing w:line="360" w:lineRule="auto"/>
        <w:jc w:val="left"/>
        <w:rPr>
          <w:rFonts w:ascii="宋体" w:hAnsi="宋体"/>
          <w:color w:val="000000"/>
          <w:szCs w:val="21"/>
        </w:rPr>
      </w:pP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Pr>
        <w:pStyle w:val="167"/>
        <w:keepNext/>
        <w:keepLines/>
        <w:spacing w:before="120" w:after="120" w:line="360" w:lineRule="auto"/>
        <w:outlineLvl w:val="3"/>
        <w:rPr>
          <w:rFonts w:ascii="宋体" w:hAnsi="宋体"/>
          <w:bCs/>
          <w:color w:val="000000"/>
          <w:szCs w:val="21"/>
        </w:rPr>
      </w:pPr>
      <w:bookmarkStart w:id="629" w:name="_Toc351203641"/>
      <w:r>
        <w:rPr>
          <w:rFonts w:ascii="宋体" w:hAnsi="宋体"/>
          <w:bCs/>
          <w:color w:val="000000"/>
          <w:szCs w:val="21"/>
        </w:rPr>
        <w:t>9</w:t>
      </w:r>
      <w:bookmarkEnd w:id="608"/>
      <w:bookmarkEnd w:id="609"/>
      <w:bookmarkEnd w:id="610"/>
      <w:bookmarkStart w:id="630" w:name="_Toc300934982"/>
      <w:bookmarkStart w:id="631" w:name="_Toc312677495"/>
      <w:bookmarkStart w:id="632" w:name="_Toc304295559"/>
      <w:bookmarkStart w:id="633" w:name="_Toc303539139"/>
      <w:bookmarkStart w:id="634" w:name="_Toc297123533"/>
      <w:bookmarkStart w:id="635" w:name="_Toc297216192"/>
      <w:bookmarkStart w:id="636" w:name="_Toc312678021"/>
      <w:bookmarkStart w:id="637" w:name="_Toc296944512"/>
      <w:bookmarkStart w:id="638" w:name="_Toc297120473"/>
      <w:bookmarkStart w:id="639" w:name="_Toc296347172"/>
      <w:bookmarkStart w:id="640" w:name="_Toc296346674"/>
      <w:bookmarkStart w:id="641" w:name="_Toc296503173"/>
      <w:bookmarkStart w:id="642" w:name="_Toc296891213"/>
      <w:bookmarkStart w:id="643" w:name="_Toc296891001"/>
      <w:bookmarkStart w:id="644" w:name="_Toc292559378"/>
      <w:bookmarkStart w:id="645" w:name="_Toc267251427"/>
      <w:bookmarkStart w:id="646" w:name="_Toc297048359"/>
      <w:bookmarkStart w:id="647" w:name="_Toc267251428"/>
      <w:bookmarkStart w:id="648" w:name="_Toc292559883"/>
      <w:r>
        <w:rPr>
          <w:rFonts w:ascii="宋体" w:hAnsi="宋体"/>
          <w:bCs/>
          <w:color w:val="000000"/>
          <w:szCs w:val="21"/>
        </w:rPr>
        <w:t>. 试验与检验</w:t>
      </w:r>
      <w:bookmarkEnd w:id="629"/>
    </w:p>
    <w:bookmarkEnd w:id="630"/>
    <w:bookmarkEnd w:id="631"/>
    <w:bookmarkEnd w:id="632"/>
    <w:bookmarkEnd w:id="633"/>
    <w:bookmarkEnd w:id="634"/>
    <w:bookmarkEnd w:id="635"/>
    <w:bookmarkEnd w:id="636"/>
    <w:p>
      <w:pPr>
        <w:pStyle w:val="167"/>
        <w:spacing w:after="120" w:line="360" w:lineRule="auto"/>
        <w:ind w:firstLine="420" w:firstLineChars="200"/>
        <w:rPr>
          <w:rFonts w:ascii="宋体" w:hAnsi="宋体"/>
          <w:color w:val="000000"/>
          <w:szCs w:val="21"/>
        </w:rPr>
      </w:pPr>
      <w:r>
        <w:rPr>
          <w:rFonts w:ascii="宋体" w:hAnsi="宋体"/>
          <w:color w:val="000000"/>
          <w:szCs w:val="21"/>
        </w:rPr>
        <w:t>9</w:t>
      </w:r>
      <w:bookmarkStart w:id="649" w:name="_Toc312677496"/>
      <w:bookmarkStart w:id="650" w:name="_Toc304295560"/>
      <w:bookmarkStart w:id="651" w:name="_Toc300934983"/>
      <w:bookmarkStart w:id="652" w:name="_Toc303539140"/>
      <w:bookmarkStart w:id="653" w:name="_Toc312678022"/>
      <w:bookmarkStart w:id="654" w:name="_Toc297123534"/>
      <w:bookmarkStart w:id="655" w:name="_Toc297216193"/>
      <w:r>
        <w:rPr>
          <w:rFonts w:ascii="宋体" w:hAnsi="宋体"/>
          <w:color w:val="000000"/>
          <w:szCs w:val="21"/>
        </w:rPr>
        <w:t>.1试验设备与试验人员</w:t>
      </w:r>
    </w:p>
    <w:bookmarkEnd w:id="649"/>
    <w:bookmarkEnd w:id="650"/>
    <w:bookmarkEnd w:id="651"/>
    <w:bookmarkEnd w:id="652"/>
    <w:bookmarkEnd w:id="653"/>
    <w:bookmarkEnd w:id="654"/>
    <w:bookmarkEnd w:id="655"/>
    <w:p>
      <w:pPr>
        <w:pStyle w:val="167"/>
        <w:spacing w:line="360" w:lineRule="auto"/>
        <w:ind w:firstLine="420" w:firstLineChars="200"/>
        <w:jc w:val="left"/>
        <w:rPr>
          <w:rFonts w:ascii="宋体" w:hAnsi="宋体"/>
          <w:color w:val="000000"/>
          <w:szCs w:val="21"/>
        </w:rPr>
      </w:pPr>
      <w:r>
        <w:rPr>
          <w:rFonts w:ascii="宋体" w:hAnsi="宋体"/>
          <w:color w:val="000000"/>
          <w:szCs w:val="21"/>
        </w:rPr>
        <w:t>9</w:t>
      </w:r>
      <w:bookmarkStart w:id="656" w:name="_Toc312677497"/>
      <w:bookmarkStart w:id="657" w:name="_Toc303539141"/>
      <w:bookmarkStart w:id="658" w:name="_Toc297123535"/>
      <w:bookmarkStart w:id="659" w:name="_Toc300934984"/>
      <w:bookmarkStart w:id="660" w:name="_Toc304295561"/>
      <w:bookmarkStart w:id="661" w:name="_Toc297216194"/>
      <w:bookmarkStart w:id="662" w:name="_Toc312678023"/>
      <w:bookmarkStart w:id="663" w:name="_Toc318581174"/>
      <w:r>
        <w:rPr>
          <w:rFonts w:ascii="宋体" w:hAnsi="宋体"/>
          <w:color w:val="000000"/>
          <w:szCs w:val="21"/>
        </w:rPr>
        <w:t>.1.2 试验设备</w:t>
      </w:r>
    </w:p>
    <w:p>
      <w:pPr>
        <w:pStyle w:val="167"/>
        <w:spacing w:line="360" w:lineRule="auto"/>
        <w:ind w:firstLine="420" w:firstLineChars="200"/>
        <w:jc w:val="left"/>
        <w:rPr>
          <w:rFonts w:ascii="宋体" w:hAnsi="宋体"/>
          <w:color w:val="000000"/>
          <w:szCs w:val="21"/>
          <w:u w:val="single"/>
        </w:rPr>
      </w:pPr>
      <w:r>
        <w:rPr>
          <w:rFonts w:ascii="宋体" w:hAnsi="宋体"/>
          <w:color w:val="000000"/>
          <w:szCs w:val="21"/>
        </w:rPr>
        <w:t>施工现场需要配置的试验场所：</w:t>
      </w:r>
      <w:bookmarkEnd w:id="656"/>
      <w:bookmarkEnd w:id="657"/>
      <w:bookmarkEnd w:id="658"/>
      <w:bookmarkEnd w:id="659"/>
      <w:bookmarkEnd w:id="660"/>
      <w:bookmarkEnd w:id="661"/>
      <w:bookmarkEnd w:id="662"/>
      <w:bookmarkStart w:id="664" w:name="_Toc303539142"/>
      <w:bookmarkStart w:id="665" w:name="_Toc304295562"/>
      <w:bookmarkStart w:id="666" w:name="_Toc300934985"/>
      <w:bookmarkStart w:id="667" w:name="_Toc297123536"/>
      <w:bookmarkStart w:id="668" w:name="_Toc312677498"/>
      <w:bookmarkStart w:id="669" w:name="_Toc312678024"/>
      <w:bookmarkStart w:id="670" w:name="_Toc297216195"/>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r>
        <w:rPr>
          <w:rFonts w:hint="eastAsia" w:ascii="宋体" w:hAnsi="宋体"/>
          <w:color w:val="000000"/>
          <w:szCs w:val="21"/>
        </w:rPr>
        <w:t xml:space="preserve"> </w:t>
      </w:r>
    </w:p>
    <w:p>
      <w:pPr>
        <w:pStyle w:val="167"/>
        <w:spacing w:line="360" w:lineRule="auto"/>
        <w:ind w:firstLine="420" w:firstLineChars="200"/>
        <w:jc w:val="left"/>
        <w:rPr>
          <w:rFonts w:ascii="宋体" w:hAnsi="宋体"/>
          <w:color w:val="000000"/>
          <w:szCs w:val="21"/>
          <w:u w:val="single"/>
        </w:rPr>
      </w:pPr>
      <w:r>
        <w:rPr>
          <w:rFonts w:ascii="宋体" w:hAnsi="宋体"/>
          <w:color w:val="000000"/>
          <w:szCs w:val="21"/>
        </w:rPr>
        <w:t>施工现场需要配备的试验设备：</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u w:val="single"/>
        </w:rPr>
      </w:pPr>
      <w:r>
        <w:rPr>
          <w:rFonts w:ascii="宋体" w:hAnsi="宋体"/>
          <w:color w:val="000000"/>
          <w:szCs w:val="21"/>
        </w:rPr>
        <w:t>施工现场需要具备的其他试验条件：</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after="120" w:line="360" w:lineRule="auto"/>
        <w:ind w:firstLine="420" w:firstLineChars="200"/>
        <w:rPr>
          <w:rFonts w:ascii="宋体" w:hAnsi="宋体"/>
          <w:color w:val="000000"/>
          <w:szCs w:val="21"/>
        </w:rPr>
      </w:pPr>
      <w:r>
        <w:rPr>
          <w:rFonts w:ascii="宋体" w:hAnsi="宋体"/>
          <w:color w:val="000000"/>
          <w:szCs w:val="21"/>
        </w:rPr>
        <w:t>9.4 现场工艺试验</w:t>
      </w:r>
      <w:r>
        <w:rPr>
          <w:rFonts w:hint="eastAsia" w:ascii="宋体" w:hAnsi="宋体"/>
          <w:color w:val="000000"/>
          <w:szCs w:val="21"/>
        </w:rPr>
        <w:t xml:space="preserve"> </w:t>
      </w:r>
    </w:p>
    <w:p>
      <w:pPr>
        <w:pStyle w:val="167"/>
        <w:spacing w:line="360" w:lineRule="auto"/>
        <w:ind w:firstLine="420" w:firstLineChars="200"/>
        <w:jc w:val="left"/>
        <w:rPr>
          <w:rFonts w:ascii="宋体" w:hAnsi="宋体"/>
          <w:color w:val="000000"/>
          <w:szCs w:val="21"/>
          <w:u w:val="single"/>
        </w:rPr>
      </w:pPr>
      <w:r>
        <w:rPr>
          <w:rFonts w:ascii="宋体" w:hAnsi="宋体"/>
          <w:color w:val="000000"/>
          <w:szCs w:val="21"/>
        </w:rPr>
        <w:t>现场工艺试验的有关约定：</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jc w:val="left"/>
        <w:rPr>
          <w:rFonts w:ascii="宋体" w:hAnsi="宋体"/>
          <w:color w:val="000000"/>
          <w:szCs w:val="21"/>
        </w:rPr>
      </w:pP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bookmarkEnd w:id="663"/>
    <w:bookmarkEnd w:id="664"/>
    <w:bookmarkEnd w:id="665"/>
    <w:bookmarkEnd w:id="666"/>
    <w:bookmarkEnd w:id="667"/>
    <w:bookmarkEnd w:id="668"/>
    <w:bookmarkEnd w:id="669"/>
    <w:bookmarkEnd w:id="670"/>
    <w:p>
      <w:pPr>
        <w:pStyle w:val="167"/>
        <w:keepNext/>
        <w:keepLines/>
        <w:spacing w:before="120" w:after="120" w:line="360" w:lineRule="auto"/>
        <w:ind w:firstLine="420" w:firstLineChars="200"/>
        <w:outlineLvl w:val="3"/>
        <w:rPr>
          <w:rFonts w:ascii="宋体" w:hAnsi="宋体"/>
          <w:bCs/>
          <w:color w:val="000000"/>
          <w:szCs w:val="21"/>
        </w:rPr>
      </w:pPr>
      <w:bookmarkStart w:id="671" w:name="_Toc351203642"/>
      <w:r>
        <w:rPr>
          <w:rFonts w:ascii="宋体" w:hAnsi="宋体"/>
          <w:bCs/>
          <w:color w:val="000000"/>
          <w:szCs w:val="21"/>
        </w:rPr>
        <w:t>1</w:t>
      </w:r>
      <w:bookmarkEnd w:id="637"/>
      <w:bookmarkEnd w:id="638"/>
      <w:bookmarkEnd w:id="639"/>
      <w:bookmarkEnd w:id="640"/>
      <w:bookmarkEnd w:id="641"/>
      <w:bookmarkEnd w:id="642"/>
      <w:bookmarkEnd w:id="643"/>
      <w:bookmarkEnd w:id="644"/>
      <w:bookmarkEnd w:id="645"/>
      <w:bookmarkEnd w:id="646"/>
      <w:bookmarkEnd w:id="647"/>
      <w:bookmarkEnd w:id="648"/>
      <w:bookmarkStart w:id="672" w:name="_Toc292559903"/>
      <w:bookmarkStart w:id="673" w:name="_Toc296503193"/>
      <w:bookmarkStart w:id="674" w:name="_Toc303539146"/>
      <w:bookmarkStart w:id="675" w:name="_Toc296891233"/>
      <w:bookmarkStart w:id="676" w:name="_Toc297123540"/>
      <w:bookmarkStart w:id="677" w:name="_Toc296891021"/>
      <w:bookmarkStart w:id="678" w:name="_Toc296944532"/>
      <w:bookmarkStart w:id="679" w:name="_Toc297120493"/>
      <w:bookmarkStart w:id="680" w:name="_Toc297216199"/>
      <w:bookmarkStart w:id="681" w:name="_Toc297048379"/>
      <w:bookmarkStart w:id="682" w:name="_Toc296347192"/>
      <w:bookmarkStart w:id="683" w:name="_Toc296346694"/>
      <w:bookmarkStart w:id="684" w:name="_Toc304295566"/>
      <w:bookmarkStart w:id="685" w:name="_Toc300934989"/>
      <w:bookmarkStart w:id="686" w:name="_Toc292559398"/>
      <w:bookmarkStart w:id="687" w:name="_Toc312678025"/>
      <w:bookmarkStart w:id="688" w:name="_Toc312677499"/>
      <w:bookmarkStart w:id="689" w:name="_Toc267251440"/>
      <w:bookmarkStart w:id="690" w:name="_Toc267251433"/>
      <w:bookmarkStart w:id="691" w:name="_Toc267251435"/>
      <w:bookmarkStart w:id="692" w:name="_Toc267251441"/>
      <w:bookmarkStart w:id="693" w:name="_Toc267251437"/>
      <w:bookmarkStart w:id="694" w:name="_Toc267251439"/>
      <w:bookmarkStart w:id="695" w:name="_Toc267251442"/>
      <w:r>
        <w:rPr>
          <w:rFonts w:ascii="宋体" w:hAnsi="宋体"/>
          <w:bCs/>
          <w:color w:val="000000"/>
          <w:szCs w:val="21"/>
        </w:rPr>
        <w:t>0. 变更</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bookmarkEnd w:id="687"/>
    <w:bookmarkEnd w:id="688"/>
    <w:p>
      <w:pPr>
        <w:pStyle w:val="167"/>
        <w:spacing w:after="120" w:line="360" w:lineRule="auto"/>
        <w:ind w:firstLine="420" w:firstLineChars="200"/>
        <w:rPr>
          <w:rFonts w:ascii="宋体" w:hAnsi="宋体"/>
          <w:color w:val="000000"/>
          <w:szCs w:val="21"/>
        </w:rPr>
      </w:pPr>
      <w:r>
        <w:rPr>
          <w:rFonts w:ascii="宋体" w:hAnsi="宋体"/>
          <w:color w:val="000000"/>
          <w:szCs w:val="21"/>
        </w:rPr>
        <w:t>1</w:t>
      </w:r>
      <w:bookmarkStart w:id="696" w:name="_Toc296891234"/>
      <w:bookmarkStart w:id="697" w:name="_Toc297048380"/>
      <w:bookmarkStart w:id="698" w:name="_Toc300934990"/>
      <w:bookmarkStart w:id="699" w:name="_Toc297123541"/>
      <w:bookmarkStart w:id="700" w:name="_Toc297216200"/>
      <w:bookmarkStart w:id="701" w:name="_Toc296891022"/>
      <w:bookmarkStart w:id="702" w:name="_Toc303539147"/>
      <w:bookmarkStart w:id="703" w:name="_Toc296346695"/>
      <w:bookmarkStart w:id="704" w:name="_Toc312677500"/>
      <w:bookmarkStart w:id="705" w:name="_Toc296347193"/>
      <w:bookmarkStart w:id="706" w:name="_Toc292559399"/>
      <w:bookmarkStart w:id="707" w:name="_Toc297120494"/>
      <w:bookmarkStart w:id="708" w:name="_Toc292559904"/>
      <w:bookmarkStart w:id="709" w:name="_Toc296944533"/>
      <w:bookmarkStart w:id="710" w:name="_Toc304295567"/>
      <w:bookmarkStart w:id="711" w:name="_Toc312678026"/>
      <w:bookmarkStart w:id="712" w:name="_Toc296503194"/>
      <w:r>
        <w:rPr>
          <w:rFonts w:ascii="宋体" w:hAnsi="宋体"/>
          <w:color w:val="000000"/>
          <w:szCs w:val="21"/>
        </w:rPr>
        <w:t>0.1变更的范围</w:t>
      </w:r>
    </w:p>
    <w:p>
      <w:pPr>
        <w:pStyle w:val="167"/>
        <w:spacing w:line="360" w:lineRule="auto"/>
        <w:ind w:firstLine="600"/>
        <w:jc w:val="left"/>
        <w:rPr>
          <w:rFonts w:ascii="宋体" w:hAnsi="宋体"/>
          <w:color w:val="000000"/>
          <w:szCs w:val="21"/>
          <w:u w:val="single"/>
        </w:rPr>
      </w:pPr>
      <w:r>
        <w:rPr>
          <w:rFonts w:ascii="宋体" w:hAnsi="宋体"/>
          <w:color w:val="000000"/>
          <w:szCs w:val="21"/>
        </w:rPr>
        <w:t>关于变更的范围的约定：</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jc w:val="left"/>
        <w:rPr>
          <w:rFonts w:ascii="宋体" w:hAnsi="宋体"/>
          <w:color w:val="000000"/>
          <w:szCs w:val="21"/>
        </w:rPr>
      </w:pPr>
      <w:r>
        <w:rPr>
          <w:rFonts w:hint="eastAsia" w:ascii="宋体" w:hAnsi="宋体"/>
          <w:color w:val="000000"/>
          <w:szCs w:val="21"/>
          <w:u w:val="single"/>
        </w:rPr>
        <w:t xml:space="preserve">                                                         </w:t>
      </w:r>
      <w:r>
        <w:rPr>
          <w:rFonts w:ascii="宋体" w:hAnsi="宋体"/>
          <w:color w:val="000000"/>
          <w:szCs w:val="21"/>
        </w:rPr>
        <w:t>。</w:t>
      </w:r>
    </w:p>
    <w:p>
      <w:pPr>
        <w:pStyle w:val="167"/>
        <w:spacing w:after="120" w:line="360" w:lineRule="auto"/>
        <w:ind w:firstLine="420" w:firstLineChars="200"/>
        <w:rPr>
          <w:rFonts w:ascii="宋体" w:hAnsi="宋体"/>
          <w:color w:val="000000"/>
          <w:szCs w:val="21"/>
        </w:rPr>
      </w:pPr>
      <w:r>
        <w:rPr>
          <w:rFonts w:ascii="宋体" w:hAnsi="宋体"/>
          <w:color w:val="000000"/>
          <w:szCs w:val="21"/>
        </w:rPr>
        <w:t>10.4 变更估价</w:t>
      </w:r>
    </w:p>
    <w:p>
      <w:pPr>
        <w:pStyle w:val="167"/>
        <w:spacing w:line="360" w:lineRule="auto"/>
        <w:ind w:firstLine="420" w:firstLineChars="200"/>
        <w:jc w:val="left"/>
        <w:rPr>
          <w:rFonts w:ascii="宋体" w:hAnsi="宋体"/>
          <w:color w:val="000000"/>
          <w:szCs w:val="21"/>
        </w:rPr>
      </w:pPr>
      <w:r>
        <w:rPr>
          <w:rFonts w:hint="eastAsia" w:ascii="宋体" w:hAnsi="宋体"/>
          <w:color w:val="000000"/>
          <w:szCs w:val="21"/>
        </w:rPr>
        <w:t>10.4.1 变更估价原则</w:t>
      </w:r>
    </w:p>
    <w:p>
      <w:pPr>
        <w:pStyle w:val="167"/>
        <w:spacing w:line="360" w:lineRule="auto"/>
        <w:ind w:firstLine="420" w:firstLineChars="200"/>
        <w:jc w:val="left"/>
        <w:rPr>
          <w:rFonts w:ascii="宋体" w:hAnsi="宋体"/>
          <w:color w:val="000000"/>
          <w:szCs w:val="21"/>
          <w:u w:val="single"/>
        </w:rPr>
      </w:pPr>
      <w:r>
        <w:rPr>
          <w:rFonts w:ascii="宋体" w:hAnsi="宋体"/>
          <w:color w:val="000000"/>
          <w:szCs w:val="21"/>
        </w:rPr>
        <w:t xml:space="preserve">关于变更估价的约定: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jc w:val="left"/>
        <w:rPr>
          <w:rFonts w:ascii="宋体" w:hAnsi="宋体"/>
          <w:color w:val="000000"/>
          <w:szCs w:val="21"/>
          <w:u w:val="single"/>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after="120" w:line="360" w:lineRule="auto"/>
        <w:ind w:firstLine="420" w:firstLineChars="200"/>
        <w:rPr>
          <w:rFonts w:ascii="宋体" w:hAnsi="宋体"/>
          <w:color w:val="000000"/>
          <w:szCs w:val="21"/>
        </w:rPr>
      </w:pPr>
      <w:r>
        <w:rPr>
          <w:rFonts w:ascii="宋体" w:hAnsi="宋体"/>
          <w:color w:val="000000"/>
          <w:szCs w:val="21"/>
        </w:rPr>
        <w:t>1</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Start w:id="713" w:name="_Toc297123544"/>
      <w:bookmarkStart w:id="714" w:name="_Toc303539150"/>
      <w:bookmarkStart w:id="715" w:name="_Toc297048383"/>
      <w:bookmarkStart w:id="716" w:name="_Toc296891237"/>
      <w:bookmarkStart w:id="717" w:name="_Toc300934993"/>
      <w:bookmarkStart w:id="718" w:name="_Toc296346698"/>
      <w:bookmarkStart w:id="719" w:name="_Toc292559907"/>
      <w:bookmarkStart w:id="720" w:name="_Toc296891025"/>
      <w:bookmarkStart w:id="721" w:name="_Toc292559402"/>
      <w:bookmarkStart w:id="722" w:name="_Toc296944536"/>
      <w:bookmarkStart w:id="723" w:name="_Toc297120497"/>
      <w:bookmarkStart w:id="724" w:name="_Toc297216203"/>
      <w:bookmarkStart w:id="725" w:name="_Toc296347196"/>
      <w:bookmarkStart w:id="726" w:name="_Toc296503197"/>
      <w:bookmarkStart w:id="727" w:name="_Toc304295570"/>
      <w:bookmarkStart w:id="728" w:name="_Toc312678029"/>
      <w:bookmarkStart w:id="729" w:name="_Toc312677503"/>
      <w:r>
        <w:rPr>
          <w:rFonts w:ascii="宋体" w:hAnsi="宋体"/>
          <w:color w:val="000000"/>
          <w:szCs w:val="21"/>
        </w:rPr>
        <w:t>0.5承</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Start w:id="730" w:name="_Toc297123545"/>
      <w:bookmarkStart w:id="731" w:name="_Toc292559408"/>
      <w:bookmarkStart w:id="732" w:name="_Toc303539151"/>
      <w:bookmarkStart w:id="733" w:name="_Toc297120503"/>
      <w:bookmarkStart w:id="734" w:name="_Toc292559913"/>
      <w:bookmarkStart w:id="735" w:name="_Toc296944542"/>
      <w:bookmarkStart w:id="736" w:name="_Toc296891243"/>
      <w:bookmarkStart w:id="737" w:name="_Toc296891031"/>
      <w:bookmarkStart w:id="738" w:name="_Toc296503203"/>
      <w:bookmarkStart w:id="739" w:name="_Toc297048389"/>
      <w:bookmarkStart w:id="740" w:name="_Toc297216204"/>
      <w:bookmarkStart w:id="741" w:name="_Toc296347202"/>
      <w:bookmarkStart w:id="742" w:name="_Toc296346704"/>
      <w:bookmarkStart w:id="743" w:name="_Toc300934994"/>
      <w:r>
        <w:rPr>
          <w:rFonts w:ascii="宋体" w:hAnsi="宋体"/>
          <w:color w:val="000000"/>
          <w:szCs w:val="21"/>
        </w:rPr>
        <w:t>包人的合理化建议</w:t>
      </w:r>
    </w:p>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p>
      <w:pPr>
        <w:pStyle w:val="167"/>
        <w:spacing w:line="360" w:lineRule="auto"/>
        <w:ind w:firstLine="420" w:firstLineChars="200"/>
        <w:jc w:val="left"/>
        <w:rPr>
          <w:rFonts w:ascii="宋体" w:hAnsi="宋体"/>
          <w:color w:val="000000"/>
          <w:szCs w:val="21"/>
        </w:rPr>
      </w:pPr>
      <w:r>
        <w:rPr>
          <w:rFonts w:ascii="宋体" w:hAnsi="宋体"/>
          <w:color w:val="000000"/>
          <w:szCs w:val="21"/>
        </w:rPr>
        <w:t>监理人审查承包人合理化建议的期限：</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发包人审批承包人合理化建议的期限：</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u w:val="single"/>
        </w:rPr>
      </w:pPr>
      <w:r>
        <w:rPr>
          <w:rFonts w:ascii="宋体" w:hAnsi="宋体"/>
          <w:color w:val="000000"/>
          <w:szCs w:val="21"/>
        </w:rPr>
        <w:t>承</w:t>
      </w:r>
      <w:bookmarkStart w:id="744" w:name="_Toc312677504"/>
      <w:bookmarkStart w:id="745" w:name="_Toc296346705"/>
      <w:bookmarkStart w:id="746" w:name="_Toc296944543"/>
      <w:bookmarkStart w:id="747" w:name="_Toc296891032"/>
      <w:bookmarkStart w:id="748" w:name="_Toc297216205"/>
      <w:bookmarkStart w:id="749" w:name="_Toc296503204"/>
      <w:bookmarkStart w:id="750" w:name="_Toc304295571"/>
      <w:bookmarkStart w:id="751" w:name="_Toc300934995"/>
      <w:bookmarkStart w:id="752" w:name="_Toc297048390"/>
      <w:bookmarkStart w:id="753" w:name="_Toc292559409"/>
      <w:bookmarkStart w:id="754" w:name="_Toc296347203"/>
      <w:bookmarkStart w:id="755" w:name="_Toc296891244"/>
      <w:bookmarkStart w:id="756" w:name="_Toc292559914"/>
      <w:bookmarkStart w:id="757" w:name="_Toc318581175"/>
      <w:bookmarkStart w:id="758" w:name="_Toc312678030"/>
      <w:bookmarkStart w:id="759" w:name="_Toc303539152"/>
      <w:bookmarkStart w:id="760" w:name="_Toc297123546"/>
      <w:bookmarkStart w:id="761" w:name="_Toc297120504"/>
      <w:r>
        <w:rPr>
          <w:rFonts w:ascii="宋体" w:hAnsi="宋体"/>
          <w:color w:val="000000"/>
          <w:szCs w:val="21"/>
        </w:rPr>
        <w:t>包人提出的合理化建议降低了合同价格或者提高了工程经济效益的奖励的方法和金额为：</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jc w:val="left"/>
        <w:rPr>
          <w:rFonts w:ascii="宋体" w:hAnsi="宋体"/>
          <w:color w:val="000000"/>
          <w:szCs w:val="21"/>
          <w:u w:val="single"/>
        </w:rPr>
      </w:pP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p>
      <w:pPr>
        <w:pStyle w:val="167"/>
        <w:spacing w:after="120" w:line="360" w:lineRule="auto"/>
        <w:ind w:firstLine="420" w:firstLineChars="200"/>
        <w:rPr>
          <w:rFonts w:ascii="宋体" w:hAnsi="宋体"/>
          <w:color w:val="000000"/>
          <w:szCs w:val="21"/>
        </w:rPr>
      </w:pPr>
      <w:r>
        <w:rPr>
          <w:rFonts w:ascii="宋体" w:hAnsi="宋体"/>
          <w:color w:val="000000"/>
          <w:szCs w:val="21"/>
        </w:rPr>
        <w:t>1</w:t>
      </w:r>
      <w:bookmarkStart w:id="762" w:name="_Toc297216207"/>
      <w:bookmarkStart w:id="763" w:name="_Toc296503199"/>
      <w:bookmarkStart w:id="764" w:name="_Toc296346700"/>
      <w:bookmarkStart w:id="765" w:name="_Toc292559909"/>
      <w:bookmarkStart w:id="766" w:name="_Toc297123548"/>
      <w:bookmarkStart w:id="767" w:name="_Toc312678033"/>
      <w:bookmarkStart w:id="768" w:name="_Toc296891027"/>
      <w:bookmarkStart w:id="769" w:name="_Toc296891239"/>
      <w:bookmarkStart w:id="770" w:name="_Toc304295574"/>
      <w:bookmarkStart w:id="771" w:name="_Toc292559404"/>
      <w:bookmarkStart w:id="772" w:name="_Toc297048385"/>
      <w:bookmarkStart w:id="773" w:name="_Toc300934997"/>
      <w:bookmarkStart w:id="774" w:name="_Toc303539154"/>
      <w:bookmarkStart w:id="775" w:name="_Toc312677507"/>
      <w:bookmarkStart w:id="776" w:name="_Toc296944538"/>
      <w:bookmarkStart w:id="777" w:name="_Toc296347198"/>
      <w:bookmarkStart w:id="778" w:name="_Toc297120499"/>
      <w:r>
        <w:rPr>
          <w:rFonts w:ascii="宋体" w:hAnsi="宋体"/>
          <w:color w:val="000000"/>
          <w:szCs w:val="21"/>
        </w:rPr>
        <w:t>0.7 暂估价</w:t>
      </w:r>
    </w:p>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p>
      <w:pPr>
        <w:pStyle w:val="167"/>
        <w:spacing w:line="360" w:lineRule="auto"/>
        <w:ind w:firstLine="420" w:firstLineChars="200"/>
        <w:jc w:val="left"/>
        <w:rPr>
          <w:rFonts w:ascii="宋体" w:hAnsi="宋体"/>
          <w:color w:val="000000"/>
          <w:szCs w:val="21"/>
        </w:rPr>
      </w:pPr>
      <w:r>
        <w:rPr>
          <w:rFonts w:ascii="宋体" w:hAnsi="宋体"/>
          <w:color w:val="000000"/>
          <w:kern w:val="0"/>
          <w:szCs w:val="21"/>
        </w:rPr>
        <w:t>暂</w:t>
      </w:r>
      <w:bookmarkStart w:id="779" w:name="_Toc312678034"/>
      <w:bookmarkStart w:id="780" w:name="_Toc318581176"/>
      <w:bookmarkStart w:id="781" w:name="_Toc312677508"/>
      <w:r>
        <w:rPr>
          <w:rFonts w:ascii="宋体" w:hAnsi="宋体"/>
          <w:color w:val="000000"/>
          <w:kern w:val="0"/>
          <w:szCs w:val="21"/>
        </w:rPr>
        <w:t>估价材料和工程设备的明细详见附件</w:t>
      </w:r>
      <w:r>
        <w:rPr>
          <w:rFonts w:hint="eastAsia" w:ascii="宋体" w:hAnsi="宋体"/>
          <w:color w:val="000000"/>
          <w:kern w:val="0"/>
          <w:szCs w:val="21"/>
        </w:rPr>
        <w:t>11：《</w:t>
      </w:r>
      <w:r>
        <w:rPr>
          <w:rFonts w:ascii="宋体" w:hAnsi="宋体"/>
          <w:color w:val="000000"/>
          <w:szCs w:val="21"/>
        </w:rPr>
        <w:t>暂估价一览表</w:t>
      </w:r>
      <w:r>
        <w:rPr>
          <w:rFonts w:hint="eastAsia" w:ascii="宋体" w:hAnsi="宋体"/>
          <w:color w:val="000000"/>
          <w:szCs w:val="21"/>
        </w:rPr>
        <w:t>》</w:t>
      </w:r>
      <w:r>
        <w:rPr>
          <w:rFonts w:hint="eastAsia" w:ascii="宋体" w:hAnsi="宋体"/>
          <w:color w:val="000000"/>
          <w:kern w:val="0"/>
          <w:szCs w:val="21"/>
        </w:rPr>
        <w:t>。</w:t>
      </w:r>
    </w:p>
    <w:bookmarkEnd w:id="779"/>
    <w:bookmarkEnd w:id="780"/>
    <w:bookmarkEnd w:id="781"/>
    <w:p>
      <w:pPr>
        <w:pStyle w:val="167"/>
        <w:spacing w:line="360" w:lineRule="auto"/>
        <w:ind w:firstLine="420" w:firstLineChars="200"/>
        <w:jc w:val="left"/>
        <w:rPr>
          <w:rFonts w:ascii="宋体" w:hAnsi="宋体"/>
          <w:color w:val="000000"/>
          <w:szCs w:val="21"/>
        </w:rPr>
      </w:pPr>
      <w:r>
        <w:rPr>
          <w:rFonts w:ascii="宋体" w:hAnsi="宋体"/>
          <w:color w:val="000000"/>
          <w:szCs w:val="21"/>
        </w:rPr>
        <w:t>1</w:t>
      </w:r>
      <w:bookmarkStart w:id="782" w:name="_Toc312678035"/>
      <w:bookmarkStart w:id="783" w:name="_Toc312677509"/>
      <w:bookmarkStart w:id="784" w:name="_Toc318581177"/>
      <w:r>
        <w:rPr>
          <w:rFonts w:ascii="宋体" w:hAnsi="宋体"/>
          <w:color w:val="000000"/>
          <w:szCs w:val="21"/>
        </w:rPr>
        <w:t>0.7.1 依法必须招标的暂估价项目</w:t>
      </w:r>
    </w:p>
    <w:bookmarkEnd w:id="782"/>
    <w:bookmarkEnd w:id="783"/>
    <w:bookmarkEnd w:id="784"/>
    <w:p>
      <w:pPr>
        <w:pStyle w:val="167"/>
        <w:spacing w:line="360" w:lineRule="auto"/>
        <w:ind w:firstLine="420" w:firstLineChars="200"/>
        <w:jc w:val="left"/>
        <w:rPr>
          <w:rFonts w:ascii="宋体" w:hAnsi="宋体"/>
          <w:color w:val="000000"/>
          <w:szCs w:val="21"/>
        </w:rPr>
      </w:pPr>
      <w:r>
        <w:rPr>
          <w:rFonts w:ascii="宋体" w:hAnsi="宋体"/>
          <w:color w:val="000000"/>
          <w:szCs w:val="21"/>
        </w:rPr>
        <w:t>对于依法必须招标的暂估价项目的确认和批准采取第</w:t>
      </w:r>
      <w:r>
        <w:rPr>
          <w:rFonts w:ascii="宋体" w:hAnsi="宋体"/>
          <w:color w:val="000000"/>
          <w:szCs w:val="21"/>
          <w:u w:val="single"/>
        </w:rPr>
        <w:t xml:space="preserve">    </w:t>
      </w:r>
      <w:r>
        <w:rPr>
          <w:rFonts w:ascii="宋体" w:hAnsi="宋体"/>
          <w:color w:val="000000"/>
          <w:szCs w:val="21"/>
        </w:rPr>
        <w:t>种方式确定。</w:t>
      </w:r>
    </w:p>
    <w:p>
      <w:pPr>
        <w:pStyle w:val="167"/>
        <w:spacing w:line="360" w:lineRule="auto"/>
        <w:ind w:firstLine="420" w:firstLineChars="200"/>
        <w:jc w:val="left"/>
        <w:rPr>
          <w:rFonts w:ascii="宋体" w:hAnsi="宋体"/>
          <w:color w:val="000000"/>
          <w:szCs w:val="21"/>
        </w:rPr>
      </w:pPr>
      <w:r>
        <w:rPr>
          <w:rFonts w:ascii="宋体" w:hAnsi="宋体"/>
          <w:color w:val="000000"/>
          <w:szCs w:val="21"/>
        </w:rPr>
        <w:t>10.7.2 不属于依法必须招标的暂估价项目</w:t>
      </w:r>
    </w:p>
    <w:p>
      <w:pPr>
        <w:pStyle w:val="167"/>
        <w:spacing w:line="360" w:lineRule="auto"/>
        <w:ind w:firstLine="420" w:firstLineChars="200"/>
        <w:jc w:val="left"/>
        <w:rPr>
          <w:rFonts w:ascii="宋体" w:hAnsi="宋体"/>
          <w:color w:val="000000"/>
          <w:szCs w:val="21"/>
        </w:rPr>
      </w:pPr>
      <w:r>
        <w:rPr>
          <w:rFonts w:ascii="宋体" w:hAnsi="宋体"/>
          <w:color w:val="000000"/>
          <w:szCs w:val="21"/>
        </w:rPr>
        <w:t>对于不属于依法必须招标的暂估价项目的确认和批准采取第</w:t>
      </w:r>
      <w:r>
        <w:rPr>
          <w:rFonts w:ascii="宋体" w:hAnsi="宋体"/>
          <w:color w:val="000000"/>
          <w:szCs w:val="21"/>
          <w:u w:val="single"/>
        </w:rPr>
        <w:t xml:space="preserve">   </w:t>
      </w:r>
      <w:r>
        <w:rPr>
          <w:rFonts w:ascii="宋体" w:hAnsi="宋体"/>
          <w:color w:val="000000"/>
          <w:szCs w:val="21"/>
        </w:rPr>
        <w:t xml:space="preserve"> 种方式确定。</w:t>
      </w:r>
    </w:p>
    <w:p>
      <w:pPr>
        <w:pStyle w:val="167"/>
        <w:spacing w:line="360" w:lineRule="auto"/>
        <w:ind w:firstLine="420" w:firstLineChars="200"/>
        <w:jc w:val="left"/>
        <w:rPr>
          <w:rFonts w:ascii="宋体" w:hAnsi="宋体"/>
          <w:color w:val="000000"/>
          <w:kern w:val="0"/>
          <w:szCs w:val="21"/>
        </w:rPr>
      </w:pPr>
      <w:r>
        <w:rPr>
          <w:rFonts w:ascii="宋体" w:hAnsi="宋体"/>
          <w:color w:val="000000"/>
          <w:szCs w:val="21"/>
        </w:rPr>
        <w:t>第3种方式：</w:t>
      </w:r>
      <w:r>
        <w:rPr>
          <w:rFonts w:ascii="宋体" w:hAnsi="宋体"/>
          <w:color w:val="000000"/>
          <w:kern w:val="0"/>
          <w:szCs w:val="21"/>
        </w:rPr>
        <w:t>承包人直接实施的暂估价项目</w:t>
      </w:r>
    </w:p>
    <w:p>
      <w:pPr>
        <w:pStyle w:val="167"/>
        <w:spacing w:line="360" w:lineRule="auto"/>
        <w:ind w:firstLine="420" w:firstLineChars="200"/>
        <w:jc w:val="left"/>
        <w:rPr>
          <w:rFonts w:ascii="宋体" w:hAnsi="宋体"/>
          <w:color w:val="000000"/>
          <w:szCs w:val="21"/>
        </w:rPr>
      </w:pPr>
      <w:r>
        <w:rPr>
          <w:rFonts w:ascii="宋体" w:hAnsi="宋体"/>
          <w:color w:val="000000"/>
          <w:szCs w:val="21"/>
        </w:rPr>
        <w:t>承包人直接实施的暂估价项目的约定：</w:t>
      </w:r>
      <w:r>
        <w:rPr>
          <w:rFonts w:ascii="宋体" w:hAnsi="宋体"/>
          <w:color w:val="000000"/>
          <w:szCs w:val="21"/>
          <w:u w:val="single"/>
        </w:rPr>
        <w:t xml:space="preserve">                     </w:t>
      </w:r>
    </w:p>
    <w:p>
      <w:pPr>
        <w:pStyle w:val="167"/>
        <w:spacing w:line="360" w:lineRule="auto"/>
        <w:jc w:val="left"/>
        <w:rPr>
          <w:rFonts w:ascii="宋体" w:hAnsi="宋体"/>
          <w:color w:val="000000"/>
          <w:szCs w:val="21"/>
        </w:rPr>
      </w:pP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after="120" w:line="360" w:lineRule="auto"/>
        <w:ind w:firstLine="420" w:firstLineChars="200"/>
        <w:rPr>
          <w:rFonts w:ascii="宋体" w:hAnsi="宋体"/>
          <w:color w:val="000000"/>
          <w:szCs w:val="21"/>
        </w:rPr>
      </w:pPr>
      <w:r>
        <w:rPr>
          <w:rFonts w:ascii="宋体" w:hAnsi="宋体"/>
          <w:color w:val="000000"/>
          <w:szCs w:val="21"/>
        </w:rPr>
        <w:t>10.8 暂列金额</w:t>
      </w:r>
    </w:p>
    <w:p>
      <w:pPr>
        <w:pStyle w:val="167"/>
        <w:autoSpaceDE w:val="0"/>
        <w:autoSpaceDN w:val="0"/>
        <w:adjustRightInd w:val="0"/>
        <w:spacing w:line="360" w:lineRule="auto"/>
        <w:ind w:firstLine="420" w:firstLineChars="200"/>
        <w:jc w:val="left"/>
        <w:rPr>
          <w:rFonts w:ascii="宋体" w:hAnsi="宋体"/>
          <w:color w:val="000000"/>
          <w:szCs w:val="21"/>
          <w:u w:val="single"/>
        </w:rPr>
      </w:pPr>
      <w:r>
        <w:rPr>
          <w:rFonts w:hint="eastAsia" w:ascii="宋体" w:hAnsi="宋体"/>
          <w:color w:val="000000"/>
          <w:kern w:val="0"/>
          <w:szCs w:val="21"/>
        </w:rPr>
        <w:t>合同当事人关于暂列金额使用的约定：</w:t>
      </w:r>
      <w:r>
        <w:rPr>
          <w:rFonts w:ascii="宋体" w:hAnsi="宋体"/>
          <w:color w:val="000000"/>
          <w:szCs w:val="21"/>
          <w:u w:val="single"/>
        </w:rPr>
        <w:t xml:space="preserve">               </w:t>
      </w:r>
      <w:r>
        <w:rPr>
          <w:rFonts w:hint="eastAsia" w:ascii="宋体" w:hAnsi="宋体"/>
          <w:color w:val="000000"/>
          <w:szCs w:val="21"/>
          <w:u w:val="single"/>
        </w:rPr>
        <w:t xml:space="preserve">      </w:t>
      </w:r>
    </w:p>
    <w:p>
      <w:pPr>
        <w:pStyle w:val="167"/>
        <w:autoSpaceDE w:val="0"/>
        <w:autoSpaceDN w:val="0"/>
        <w:adjustRightInd w:val="0"/>
        <w:spacing w:line="360" w:lineRule="auto"/>
        <w:jc w:val="left"/>
        <w:rPr>
          <w:rFonts w:ascii="宋体" w:hAnsi="宋体"/>
          <w:color w:val="000000"/>
          <w:kern w:val="0"/>
          <w:szCs w:val="21"/>
        </w:rPr>
      </w:pPr>
      <w:r>
        <w:rPr>
          <w:rFonts w:hint="eastAsia" w:ascii="宋体" w:hAnsi="宋体"/>
          <w:color w:val="000000"/>
          <w:szCs w:val="21"/>
          <w:u w:val="single"/>
        </w:rPr>
        <w:t xml:space="preserve">                                                         </w:t>
      </w:r>
      <w:r>
        <w:rPr>
          <w:rFonts w:hint="eastAsia" w:ascii="宋体" w:hAnsi="宋体"/>
          <w:color w:val="000000"/>
          <w:kern w:val="0"/>
          <w:szCs w:val="21"/>
        </w:rPr>
        <w:t>。</w:t>
      </w:r>
    </w:p>
    <w:p>
      <w:pPr>
        <w:pStyle w:val="167"/>
        <w:keepNext/>
        <w:keepLines/>
        <w:spacing w:before="120" w:after="120" w:line="360" w:lineRule="auto"/>
        <w:outlineLvl w:val="3"/>
        <w:rPr>
          <w:rFonts w:ascii="宋体" w:hAnsi="宋体"/>
          <w:bCs/>
          <w:color w:val="000000"/>
          <w:szCs w:val="21"/>
        </w:rPr>
      </w:pPr>
      <w:bookmarkStart w:id="785" w:name="_Toc351203643"/>
      <w:r>
        <w:rPr>
          <w:rFonts w:ascii="宋体" w:hAnsi="宋体"/>
          <w:bCs/>
          <w:color w:val="000000"/>
          <w:szCs w:val="21"/>
        </w:rPr>
        <w:t>11. 价格调整</w:t>
      </w:r>
      <w:bookmarkEnd w:id="785"/>
    </w:p>
    <w:p>
      <w:pPr>
        <w:pStyle w:val="167"/>
        <w:spacing w:after="120" w:line="360" w:lineRule="auto"/>
        <w:ind w:firstLine="420" w:firstLineChars="200"/>
        <w:rPr>
          <w:rFonts w:ascii="宋体" w:hAnsi="宋体"/>
          <w:color w:val="000000"/>
          <w:szCs w:val="21"/>
        </w:rPr>
      </w:pPr>
      <w:bookmarkStart w:id="786" w:name="_Toc296346702"/>
      <w:bookmarkStart w:id="787" w:name="_Toc297216209"/>
      <w:bookmarkStart w:id="788" w:name="_Toc292559406"/>
      <w:bookmarkStart w:id="789" w:name="_Toc297120501"/>
      <w:bookmarkStart w:id="790" w:name="_Toc296503201"/>
      <w:bookmarkStart w:id="791" w:name="_Toc296891241"/>
      <w:bookmarkStart w:id="792" w:name="_Toc304295577"/>
      <w:bookmarkStart w:id="793" w:name="_Toc297123550"/>
      <w:bookmarkStart w:id="794" w:name="_Toc296944540"/>
      <w:bookmarkStart w:id="795" w:name="_Toc300935000"/>
      <w:bookmarkStart w:id="796" w:name="_Toc297048387"/>
      <w:bookmarkStart w:id="797" w:name="_Toc303539157"/>
      <w:bookmarkStart w:id="798" w:name="_Toc292559911"/>
      <w:bookmarkStart w:id="799" w:name="_Toc296347200"/>
      <w:bookmarkStart w:id="800" w:name="_Toc296891029"/>
      <w:bookmarkStart w:id="801" w:name="_Toc312678039"/>
      <w:r>
        <w:rPr>
          <w:rFonts w:ascii="宋体" w:hAnsi="宋体"/>
          <w:color w:val="000000"/>
          <w:szCs w:val="21"/>
        </w:rPr>
        <w:t>11.1 市场价格波动引起的调整</w:t>
      </w:r>
    </w:p>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Pr>
        <w:pStyle w:val="167"/>
        <w:spacing w:line="360" w:lineRule="auto"/>
        <w:ind w:firstLine="420" w:firstLineChars="200"/>
        <w:jc w:val="left"/>
        <w:rPr>
          <w:rFonts w:ascii="宋体" w:hAnsi="宋体"/>
          <w:color w:val="000000"/>
          <w:szCs w:val="21"/>
        </w:rPr>
      </w:pPr>
      <w:r>
        <w:rPr>
          <w:rFonts w:ascii="宋体" w:hAnsi="宋体"/>
          <w:color w:val="000000"/>
          <w:kern w:val="0"/>
          <w:szCs w:val="21"/>
        </w:rPr>
        <w:t>市场价格波动是否调整合同价格的约定：</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因市场价格波动调整合同价格，采用以下第</w:t>
      </w:r>
      <w:r>
        <w:rPr>
          <w:rFonts w:ascii="宋体" w:hAnsi="宋体"/>
          <w:color w:val="000000"/>
          <w:szCs w:val="21"/>
          <w:u w:val="single"/>
        </w:rPr>
        <w:t xml:space="preserve">    </w:t>
      </w:r>
      <w:r>
        <w:rPr>
          <w:rFonts w:ascii="宋体" w:hAnsi="宋体"/>
          <w:color w:val="000000"/>
          <w:szCs w:val="21"/>
        </w:rPr>
        <w:t>种方式对合同价格进行调整：</w:t>
      </w:r>
    </w:p>
    <w:p>
      <w:pPr>
        <w:pStyle w:val="167"/>
        <w:spacing w:line="360" w:lineRule="auto"/>
        <w:ind w:firstLine="420" w:firstLineChars="200"/>
        <w:jc w:val="left"/>
        <w:rPr>
          <w:rFonts w:ascii="宋体" w:hAnsi="宋体"/>
          <w:color w:val="000000"/>
          <w:szCs w:val="21"/>
        </w:rPr>
      </w:pPr>
      <w:r>
        <w:rPr>
          <w:rFonts w:ascii="宋体" w:hAnsi="宋体"/>
          <w:color w:val="000000"/>
          <w:szCs w:val="21"/>
        </w:rPr>
        <w:t>第1种方式：采用价格指数</w:t>
      </w:r>
      <w:r>
        <w:rPr>
          <w:rFonts w:hint="eastAsia" w:ascii="宋体" w:hAnsi="宋体"/>
          <w:color w:val="000000"/>
          <w:szCs w:val="21"/>
        </w:rPr>
        <w:t>进行价格</w:t>
      </w:r>
      <w:r>
        <w:rPr>
          <w:rFonts w:ascii="宋体" w:hAnsi="宋体"/>
          <w:color w:val="000000"/>
          <w:szCs w:val="21"/>
        </w:rPr>
        <w:t>调整。</w:t>
      </w:r>
    </w:p>
    <w:p>
      <w:pPr>
        <w:pStyle w:val="167"/>
        <w:spacing w:line="360" w:lineRule="auto"/>
        <w:ind w:firstLine="420" w:firstLineChars="200"/>
        <w:jc w:val="left"/>
        <w:rPr>
          <w:rFonts w:ascii="宋体" w:hAnsi="宋体"/>
          <w:color w:val="000000"/>
          <w:szCs w:val="21"/>
          <w:u w:val="single"/>
        </w:rPr>
      </w:pPr>
      <w:r>
        <w:rPr>
          <w:rFonts w:ascii="宋体" w:hAnsi="宋体"/>
          <w:color w:val="000000"/>
          <w:szCs w:val="21"/>
        </w:rPr>
        <w:t>关于各可调因子、定值和变值权重，以及基本价格指数及其来源的约定：</w:t>
      </w:r>
      <w:r>
        <w:rPr>
          <w:rFonts w:ascii="宋体" w:hAnsi="宋体"/>
          <w:color w:val="000000"/>
          <w:szCs w:val="21"/>
          <w:u w:val="single"/>
        </w:rPr>
        <w:t xml:space="preserve">                                                </w:t>
      </w:r>
      <w:r>
        <w:rPr>
          <w:rFonts w:ascii="宋体" w:hAnsi="宋体"/>
          <w:color w:val="000000"/>
          <w:szCs w:val="21"/>
        </w:rPr>
        <w:t xml:space="preserve">；  </w:t>
      </w:r>
    </w:p>
    <w:p>
      <w:pPr>
        <w:pStyle w:val="167"/>
        <w:spacing w:line="360" w:lineRule="auto"/>
        <w:ind w:firstLine="420" w:firstLineChars="200"/>
        <w:jc w:val="left"/>
        <w:rPr>
          <w:rFonts w:ascii="宋体" w:hAnsi="宋体"/>
          <w:color w:val="000000"/>
          <w:szCs w:val="21"/>
        </w:rPr>
      </w:pPr>
      <w:r>
        <w:rPr>
          <w:rFonts w:ascii="宋体" w:hAnsi="宋体"/>
          <w:color w:val="000000"/>
          <w:szCs w:val="21"/>
        </w:rPr>
        <w:t>第2种方式：采用造价信息</w:t>
      </w:r>
      <w:r>
        <w:rPr>
          <w:rFonts w:hint="eastAsia" w:ascii="宋体" w:hAnsi="宋体"/>
          <w:color w:val="000000"/>
          <w:szCs w:val="21"/>
        </w:rPr>
        <w:t>进行价格</w:t>
      </w:r>
      <w:r>
        <w:rPr>
          <w:rFonts w:ascii="宋体" w:hAnsi="宋体"/>
          <w:color w:val="000000"/>
          <w:szCs w:val="21"/>
        </w:rPr>
        <w:t>调整。</w:t>
      </w:r>
    </w:p>
    <w:p>
      <w:pPr>
        <w:pStyle w:val="167"/>
        <w:spacing w:line="360" w:lineRule="auto"/>
        <w:ind w:firstLine="420" w:firstLineChars="200"/>
        <w:jc w:val="left"/>
        <w:rPr>
          <w:rFonts w:ascii="宋体" w:hAnsi="宋体"/>
          <w:color w:val="000000"/>
          <w:szCs w:val="21"/>
        </w:rPr>
      </w:pPr>
      <w:r>
        <w:rPr>
          <w:rFonts w:ascii="宋体" w:hAnsi="宋体"/>
          <w:color w:val="000000"/>
          <w:szCs w:val="21"/>
        </w:rPr>
        <w:t>（2）关于基准价格的约定：</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专用合同条款</w:t>
      </w:r>
      <w:r>
        <w:rPr>
          <w:rFonts w:hint="eastAsia" w:ascii="宋体" w:hAnsi="宋体" w:cs="宋体"/>
          <w:color w:val="000000"/>
          <w:szCs w:val="21"/>
        </w:rPr>
        <w:t>①</w:t>
      </w:r>
      <w:r>
        <w:rPr>
          <w:rFonts w:ascii="宋体" w:hAnsi="宋体"/>
          <w:color w:val="000000"/>
          <w:szCs w:val="21"/>
        </w:rPr>
        <w:t>承包人在已标价工程量清单或预算书中载明的材料单价低于基准价格的：专用合同条款合同履行期间材料单价涨幅以基准价格为基础超过</w:t>
      </w:r>
      <w:r>
        <w:rPr>
          <w:rFonts w:ascii="宋体" w:hAnsi="宋体"/>
          <w:color w:val="000000"/>
          <w:szCs w:val="21"/>
          <w:u w:val="single"/>
        </w:rPr>
        <w:t xml:space="preserve">   </w:t>
      </w:r>
      <w:r>
        <w:rPr>
          <w:rFonts w:ascii="宋体" w:hAnsi="宋体"/>
          <w:color w:val="000000"/>
          <w:szCs w:val="21"/>
        </w:rPr>
        <w:t>%时，或材料单价跌幅以已标价工程量清单或预算书中载明材料单价为基础超过</w:t>
      </w:r>
      <w:r>
        <w:rPr>
          <w:rFonts w:ascii="宋体" w:hAnsi="宋体"/>
          <w:color w:val="000000"/>
          <w:szCs w:val="21"/>
          <w:u w:val="single"/>
        </w:rPr>
        <w:t xml:space="preserve">   </w:t>
      </w:r>
      <w:r>
        <w:rPr>
          <w:rFonts w:ascii="宋体" w:hAnsi="宋体"/>
          <w:color w:val="000000"/>
          <w:szCs w:val="21"/>
        </w:rPr>
        <w:t>%时，其超过部分据实调整。</w:t>
      </w:r>
    </w:p>
    <w:p>
      <w:pPr>
        <w:pStyle w:val="167"/>
        <w:spacing w:line="360" w:lineRule="auto"/>
        <w:ind w:firstLine="420" w:firstLineChars="200"/>
        <w:jc w:val="left"/>
        <w:rPr>
          <w:rFonts w:ascii="宋体" w:hAnsi="宋体"/>
          <w:color w:val="000000"/>
          <w:szCs w:val="21"/>
        </w:rPr>
      </w:pPr>
      <w:r>
        <w:rPr>
          <w:rFonts w:hint="eastAsia" w:ascii="宋体" w:hAnsi="宋体" w:cs="宋体"/>
          <w:color w:val="000000"/>
          <w:szCs w:val="21"/>
        </w:rPr>
        <w:t>②</w:t>
      </w:r>
      <w:r>
        <w:rPr>
          <w:rFonts w:ascii="宋体" w:hAnsi="宋体"/>
          <w:color w:val="000000"/>
          <w:szCs w:val="21"/>
        </w:rPr>
        <w:t>承包人在已标价工程量清单或预算书中载明的材料单价高于基准价格的：专用合同条款合同履行期间材料单价跌幅以基准价格为基础超过</w:t>
      </w:r>
      <w:r>
        <w:rPr>
          <w:rFonts w:ascii="宋体" w:hAnsi="宋体"/>
          <w:color w:val="000000"/>
          <w:szCs w:val="21"/>
          <w:u w:val="single"/>
        </w:rPr>
        <w:t xml:space="preserve">   </w:t>
      </w:r>
      <w:r>
        <w:rPr>
          <w:rFonts w:ascii="宋体" w:hAnsi="宋体"/>
          <w:color w:val="000000"/>
          <w:szCs w:val="21"/>
        </w:rPr>
        <w:t>%时，材料单价涨幅以已标价工程量清单或预算书中载明材料单价为基础超过</w:t>
      </w:r>
      <w:r>
        <w:rPr>
          <w:rFonts w:ascii="宋体" w:hAnsi="宋体"/>
          <w:color w:val="000000"/>
          <w:szCs w:val="21"/>
          <w:u w:val="single"/>
        </w:rPr>
        <w:t xml:space="preserve">   </w:t>
      </w:r>
      <w:r>
        <w:rPr>
          <w:rFonts w:ascii="宋体" w:hAnsi="宋体"/>
          <w:color w:val="000000"/>
          <w:szCs w:val="21"/>
        </w:rPr>
        <w:t>%时，其超过部分据实调整。</w:t>
      </w:r>
    </w:p>
    <w:p>
      <w:pPr>
        <w:pStyle w:val="167"/>
        <w:spacing w:line="360" w:lineRule="auto"/>
        <w:ind w:firstLine="645"/>
        <w:jc w:val="left"/>
        <w:rPr>
          <w:rFonts w:ascii="宋体" w:hAnsi="宋体"/>
          <w:color w:val="000000"/>
          <w:szCs w:val="21"/>
        </w:rPr>
      </w:pPr>
      <w:r>
        <w:rPr>
          <w:rFonts w:hint="eastAsia" w:ascii="宋体" w:hAnsi="宋体" w:cs="宋体"/>
          <w:color w:val="000000"/>
          <w:szCs w:val="21"/>
        </w:rPr>
        <w:t>③</w:t>
      </w:r>
      <w:r>
        <w:rPr>
          <w:rFonts w:ascii="宋体" w:hAnsi="宋体"/>
          <w:color w:val="000000"/>
          <w:szCs w:val="21"/>
        </w:rPr>
        <w:t>承包人在已标价工程量清单或预算书中载明的材料单价等于基准单价的：专用合同条款合同履行期间材料单价涨跌幅以基准单价为基础超过±</w:t>
      </w:r>
      <w:r>
        <w:rPr>
          <w:rFonts w:ascii="宋体" w:hAnsi="宋体"/>
          <w:color w:val="000000"/>
          <w:szCs w:val="21"/>
          <w:u w:val="single"/>
        </w:rPr>
        <w:t xml:space="preserve">   </w:t>
      </w:r>
      <w:r>
        <w:rPr>
          <w:rFonts w:ascii="宋体" w:hAnsi="宋体"/>
          <w:color w:val="000000"/>
          <w:szCs w:val="21"/>
        </w:rPr>
        <w:t>%时，其超过部分据实调整。</w:t>
      </w:r>
    </w:p>
    <w:p>
      <w:pPr>
        <w:pStyle w:val="167"/>
        <w:spacing w:line="360" w:lineRule="auto"/>
        <w:ind w:firstLine="645"/>
        <w:jc w:val="left"/>
        <w:rPr>
          <w:rFonts w:ascii="宋体" w:hAnsi="宋体"/>
          <w:color w:val="000000"/>
          <w:szCs w:val="21"/>
          <w:u w:val="single"/>
        </w:rPr>
      </w:pPr>
      <w:r>
        <w:rPr>
          <w:rFonts w:ascii="宋体" w:hAnsi="宋体"/>
          <w:color w:val="000000"/>
          <w:szCs w:val="21"/>
        </w:rPr>
        <w:t>第3种方式：其他价格调整方式：</w:t>
      </w:r>
      <w:r>
        <w:rPr>
          <w:rFonts w:ascii="宋体" w:hAnsi="宋体"/>
          <w:color w:val="000000"/>
          <w:szCs w:val="21"/>
          <w:u w:val="single"/>
        </w:rPr>
        <w:t xml:space="preserve">                        </w:t>
      </w:r>
    </w:p>
    <w:p>
      <w:pPr>
        <w:pStyle w:val="167"/>
        <w:spacing w:line="360" w:lineRule="auto"/>
        <w:jc w:val="left"/>
        <w:rPr>
          <w:rFonts w:ascii="宋体" w:hAnsi="宋体"/>
          <w:color w:val="000000"/>
          <w:szCs w:val="21"/>
        </w:rPr>
      </w:pP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bookmarkEnd w:id="689"/>
    <w:bookmarkEnd w:id="690"/>
    <w:bookmarkEnd w:id="691"/>
    <w:bookmarkEnd w:id="692"/>
    <w:bookmarkEnd w:id="693"/>
    <w:bookmarkEnd w:id="694"/>
    <w:p>
      <w:pPr>
        <w:pStyle w:val="167"/>
        <w:keepNext/>
        <w:keepLines/>
        <w:spacing w:before="120" w:after="120" w:line="360" w:lineRule="auto"/>
        <w:outlineLvl w:val="3"/>
        <w:rPr>
          <w:rFonts w:ascii="宋体" w:hAnsi="宋体"/>
          <w:bCs/>
          <w:color w:val="000000"/>
          <w:szCs w:val="21"/>
        </w:rPr>
      </w:pPr>
      <w:bookmarkStart w:id="802" w:name="_Toc292559915"/>
      <w:bookmarkStart w:id="803" w:name="_Toc296891245"/>
      <w:bookmarkStart w:id="804" w:name="_Toc296346706"/>
      <w:bookmarkStart w:id="805" w:name="_Toc296503205"/>
      <w:bookmarkStart w:id="806" w:name="_Toc296891033"/>
      <w:bookmarkStart w:id="807" w:name="_Toc297120505"/>
      <w:bookmarkStart w:id="808" w:name="_Toc297048391"/>
      <w:bookmarkStart w:id="809" w:name="_Toc296347204"/>
      <w:bookmarkStart w:id="810" w:name="_Toc296944544"/>
      <w:bookmarkStart w:id="811" w:name="_Toc292559410"/>
      <w:bookmarkStart w:id="812" w:name="_Toc351203644"/>
      <w:bookmarkStart w:id="813" w:name="_Toc297123552"/>
      <w:bookmarkStart w:id="814" w:name="_Toc304295579"/>
      <w:bookmarkStart w:id="815" w:name="_Toc300935002"/>
      <w:bookmarkStart w:id="816" w:name="_Toc312678040"/>
      <w:bookmarkStart w:id="817" w:name="_Toc297216211"/>
      <w:bookmarkStart w:id="818" w:name="_Toc303539159"/>
      <w:r>
        <w:rPr>
          <w:rFonts w:ascii="宋体" w:hAnsi="宋体"/>
          <w:bCs/>
          <w:color w:val="000000"/>
          <w:szCs w:val="21"/>
        </w:rPr>
        <w:t xml:space="preserve">12. </w:t>
      </w:r>
      <w:bookmarkEnd w:id="802"/>
      <w:bookmarkEnd w:id="803"/>
      <w:bookmarkEnd w:id="804"/>
      <w:bookmarkEnd w:id="805"/>
      <w:bookmarkEnd w:id="806"/>
      <w:bookmarkEnd w:id="807"/>
      <w:bookmarkEnd w:id="808"/>
      <w:bookmarkEnd w:id="809"/>
      <w:bookmarkEnd w:id="810"/>
      <w:bookmarkEnd w:id="811"/>
      <w:r>
        <w:rPr>
          <w:rFonts w:ascii="宋体" w:hAnsi="宋体"/>
          <w:bCs/>
          <w:color w:val="000000"/>
          <w:szCs w:val="21"/>
        </w:rPr>
        <w:t>合同价格、计量与支付</w:t>
      </w:r>
      <w:bookmarkEnd w:id="812"/>
    </w:p>
    <w:bookmarkEnd w:id="813"/>
    <w:bookmarkEnd w:id="814"/>
    <w:bookmarkEnd w:id="815"/>
    <w:bookmarkEnd w:id="816"/>
    <w:bookmarkEnd w:id="817"/>
    <w:bookmarkEnd w:id="818"/>
    <w:p>
      <w:pPr>
        <w:pStyle w:val="167"/>
        <w:spacing w:after="120" w:line="360" w:lineRule="auto"/>
        <w:ind w:firstLine="420" w:firstLineChars="200"/>
        <w:rPr>
          <w:rFonts w:ascii="宋体" w:hAnsi="宋体"/>
          <w:color w:val="000000"/>
          <w:szCs w:val="21"/>
        </w:rPr>
      </w:pPr>
      <w:bookmarkStart w:id="819" w:name="_Toc267251461"/>
      <w:bookmarkStart w:id="820" w:name="_Toc292559916"/>
      <w:bookmarkStart w:id="821" w:name="_Toc292559411"/>
      <w:bookmarkStart w:id="822" w:name="_Toc296944545"/>
      <w:bookmarkStart w:id="823" w:name="_Toc296891034"/>
      <w:bookmarkStart w:id="824" w:name="_Toc296503206"/>
      <w:bookmarkStart w:id="825" w:name="_Toc296891246"/>
      <w:bookmarkStart w:id="826" w:name="_Toc297048392"/>
      <w:bookmarkStart w:id="827" w:name="_Toc296347205"/>
      <w:bookmarkStart w:id="828" w:name="_Toc296346707"/>
      <w:bookmarkStart w:id="829" w:name="_Toc297120506"/>
      <w:bookmarkStart w:id="830" w:name="_Toc303539160"/>
      <w:bookmarkStart w:id="831" w:name="_Toc300935003"/>
      <w:bookmarkStart w:id="832" w:name="_Toc312678041"/>
      <w:bookmarkStart w:id="833" w:name="_Toc297216212"/>
      <w:bookmarkStart w:id="834" w:name="_Toc304295580"/>
      <w:bookmarkStart w:id="835" w:name="_Toc297123553"/>
      <w:r>
        <w:rPr>
          <w:rFonts w:ascii="宋体" w:hAnsi="宋体"/>
          <w:color w:val="000000"/>
          <w:szCs w:val="21"/>
        </w:rPr>
        <w:t>12.1 合</w:t>
      </w:r>
      <w:bookmarkEnd w:id="819"/>
      <w:bookmarkEnd w:id="820"/>
      <w:bookmarkEnd w:id="821"/>
      <w:r>
        <w:rPr>
          <w:rFonts w:ascii="宋体" w:hAnsi="宋体"/>
          <w:color w:val="000000"/>
          <w:szCs w:val="21"/>
        </w:rPr>
        <w:t>同价</w:t>
      </w:r>
      <w:bookmarkEnd w:id="822"/>
      <w:bookmarkEnd w:id="823"/>
      <w:bookmarkEnd w:id="824"/>
      <w:bookmarkEnd w:id="825"/>
      <w:bookmarkEnd w:id="826"/>
      <w:bookmarkEnd w:id="827"/>
      <w:bookmarkEnd w:id="828"/>
      <w:bookmarkEnd w:id="829"/>
      <w:r>
        <w:rPr>
          <w:rFonts w:ascii="宋体" w:hAnsi="宋体"/>
          <w:color w:val="000000"/>
          <w:szCs w:val="21"/>
        </w:rPr>
        <w:t>格形式</w:t>
      </w:r>
    </w:p>
    <w:bookmarkEnd w:id="830"/>
    <w:bookmarkEnd w:id="831"/>
    <w:bookmarkEnd w:id="832"/>
    <w:bookmarkEnd w:id="833"/>
    <w:bookmarkEnd w:id="834"/>
    <w:bookmarkEnd w:id="835"/>
    <w:p>
      <w:pPr>
        <w:pStyle w:val="167"/>
        <w:spacing w:line="360" w:lineRule="auto"/>
        <w:ind w:firstLine="420" w:firstLineChars="200"/>
        <w:jc w:val="left"/>
        <w:rPr>
          <w:rFonts w:ascii="宋体" w:hAnsi="宋体"/>
          <w:color w:val="000000"/>
          <w:szCs w:val="21"/>
        </w:rPr>
      </w:pPr>
      <w:r>
        <w:rPr>
          <w:rFonts w:ascii="宋体" w:hAnsi="宋体"/>
          <w:color w:val="000000"/>
          <w:szCs w:val="21"/>
        </w:rPr>
        <w:t>1、单价合同。</w:t>
      </w:r>
    </w:p>
    <w:p>
      <w:pPr>
        <w:pStyle w:val="167"/>
        <w:spacing w:line="360" w:lineRule="auto"/>
        <w:ind w:firstLine="420" w:firstLineChars="200"/>
        <w:jc w:val="left"/>
        <w:rPr>
          <w:rFonts w:ascii="宋体" w:hAnsi="宋体"/>
          <w:color w:val="000000"/>
          <w:szCs w:val="21"/>
          <w:u w:val="single"/>
        </w:rPr>
      </w:pPr>
      <w:r>
        <w:rPr>
          <w:rFonts w:ascii="宋体" w:hAnsi="宋体"/>
          <w:color w:val="000000"/>
          <w:szCs w:val="21"/>
        </w:rPr>
        <w:t>综合单价包含的风险范围：</w:t>
      </w:r>
      <w:r>
        <w:rPr>
          <w:rFonts w:ascii="宋体" w:hAnsi="宋体"/>
          <w:color w:val="000000"/>
          <w:szCs w:val="21"/>
          <w:u w:val="single"/>
        </w:rPr>
        <w:t xml:space="preserve">                               </w:t>
      </w:r>
    </w:p>
    <w:p>
      <w:pPr>
        <w:pStyle w:val="167"/>
        <w:spacing w:line="360" w:lineRule="auto"/>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u w:val="single"/>
        </w:rPr>
      </w:pPr>
      <w:r>
        <w:rPr>
          <w:rFonts w:ascii="宋体" w:hAnsi="宋体"/>
          <w:color w:val="000000"/>
          <w:szCs w:val="21"/>
        </w:rPr>
        <w:t>风险费用的计算方法：</w:t>
      </w:r>
      <w:r>
        <w:rPr>
          <w:rFonts w:ascii="宋体" w:hAnsi="宋体"/>
          <w:color w:val="000000"/>
          <w:szCs w:val="21"/>
          <w:u w:val="single"/>
        </w:rPr>
        <w:t xml:space="preserve">                                  </w:t>
      </w:r>
    </w:p>
    <w:p>
      <w:pPr>
        <w:pStyle w:val="167"/>
        <w:spacing w:line="360" w:lineRule="auto"/>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风险范围以外合同价格的调整方法：</w:t>
      </w:r>
      <w:r>
        <w:rPr>
          <w:rFonts w:ascii="宋体" w:hAnsi="宋体"/>
          <w:color w:val="000000"/>
          <w:szCs w:val="21"/>
          <w:u w:val="single"/>
        </w:rPr>
        <w:t xml:space="preserve">                       </w:t>
      </w:r>
      <w:r>
        <w:rPr>
          <w:rFonts w:ascii="宋体" w:hAnsi="宋体"/>
          <w:color w:val="000000"/>
          <w:szCs w:val="21"/>
        </w:rPr>
        <w:t xml:space="preserve">       </w:t>
      </w:r>
    </w:p>
    <w:p>
      <w:pPr>
        <w:pStyle w:val="167"/>
        <w:spacing w:line="360" w:lineRule="auto"/>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2、总价合同。</w:t>
      </w:r>
    </w:p>
    <w:p>
      <w:pPr>
        <w:pStyle w:val="167"/>
        <w:spacing w:line="360" w:lineRule="auto"/>
        <w:ind w:firstLine="420" w:firstLineChars="200"/>
        <w:jc w:val="left"/>
        <w:rPr>
          <w:rFonts w:ascii="宋体" w:hAnsi="宋体"/>
          <w:color w:val="000000"/>
          <w:szCs w:val="21"/>
          <w:u w:val="single"/>
        </w:rPr>
      </w:pPr>
      <w:r>
        <w:rPr>
          <w:rFonts w:ascii="宋体" w:hAnsi="宋体"/>
          <w:color w:val="000000"/>
          <w:szCs w:val="21"/>
        </w:rPr>
        <w:t>总价包含的风险范围：</w:t>
      </w:r>
      <w:r>
        <w:rPr>
          <w:rFonts w:ascii="宋体" w:hAnsi="宋体"/>
          <w:color w:val="000000"/>
          <w:szCs w:val="21"/>
          <w:u w:val="single"/>
        </w:rPr>
        <w:t xml:space="preserve">                                   </w:t>
      </w:r>
    </w:p>
    <w:p>
      <w:pPr>
        <w:pStyle w:val="167"/>
        <w:spacing w:line="360" w:lineRule="auto"/>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u w:val="single"/>
        </w:rPr>
      </w:pPr>
      <w:r>
        <w:rPr>
          <w:rFonts w:ascii="宋体" w:hAnsi="宋体"/>
          <w:color w:val="000000"/>
          <w:szCs w:val="21"/>
        </w:rPr>
        <w:t>风险费用的计算方法：</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风险范围以外合同价格的调整方法：</w:t>
      </w:r>
      <w:r>
        <w:rPr>
          <w:rFonts w:ascii="宋体" w:hAnsi="宋体"/>
          <w:color w:val="000000"/>
          <w:szCs w:val="21"/>
          <w:u w:val="single"/>
        </w:rPr>
        <w:t xml:space="preserve">                      </w:t>
      </w:r>
      <w:r>
        <w:rPr>
          <w:rFonts w:ascii="宋体" w:hAnsi="宋体"/>
          <w:color w:val="000000"/>
          <w:szCs w:val="21"/>
        </w:rPr>
        <w:t xml:space="preserve">        </w:t>
      </w:r>
    </w:p>
    <w:p>
      <w:pPr>
        <w:pStyle w:val="167"/>
        <w:spacing w:line="360" w:lineRule="auto"/>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u w:val="single"/>
        </w:rPr>
      </w:pPr>
      <w:r>
        <w:rPr>
          <w:rFonts w:ascii="宋体" w:hAnsi="宋体"/>
          <w:color w:val="000000"/>
          <w:szCs w:val="21"/>
        </w:rPr>
        <w:t>3、其他价格方式：</w:t>
      </w:r>
      <w:r>
        <w:rPr>
          <w:rFonts w:ascii="宋体" w:hAnsi="宋体"/>
          <w:color w:val="000000"/>
          <w:szCs w:val="21"/>
          <w:u w:val="single"/>
        </w:rPr>
        <w:t xml:space="preserve">                                     </w:t>
      </w:r>
    </w:p>
    <w:p>
      <w:pPr>
        <w:pStyle w:val="167"/>
        <w:spacing w:line="360" w:lineRule="auto"/>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after="120" w:line="360" w:lineRule="auto"/>
        <w:ind w:firstLine="420" w:firstLineChars="200"/>
        <w:rPr>
          <w:rFonts w:ascii="宋体" w:hAnsi="宋体"/>
          <w:color w:val="000000"/>
          <w:szCs w:val="21"/>
        </w:rPr>
      </w:pPr>
      <w:bookmarkStart w:id="836" w:name="_Toc312678042"/>
      <w:bookmarkStart w:id="837" w:name="_Toc300935004"/>
      <w:bookmarkStart w:id="838" w:name="_Toc297216213"/>
      <w:bookmarkStart w:id="839" w:name="_Toc303539161"/>
      <w:bookmarkStart w:id="840" w:name="_Toc304295581"/>
      <w:bookmarkStart w:id="841" w:name="_Toc297123554"/>
      <w:bookmarkStart w:id="842" w:name="_Toc292559412"/>
      <w:bookmarkStart w:id="843" w:name="_Toc296891035"/>
      <w:bookmarkStart w:id="844" w:name="_Toc297048393"/>
      <w:bookmarkStart w:id="845" w:name="_Toc296944546"/>
      <w:bookmarkStart w:id="846" w:name="_Toc296346708"/>
      <w:bookmarkStart w:id="847" w:name="_Toc296891247"/>
      <w:bookmarkStart w:id="848" w:name="_Toc292559917"/>
      <w:bookmarkStart w:id="849" w:name="_Toc296347206"/>
      <w:bookmarkStart w:id="850" w:name="_Toc297120507"/>
      <w:bookmarkStart w:id="851" w:name="_Toc296503207"/>
      <w:r>
        <w:rPr>
          <w:rFonts w:ascii="宋体" w:hAnsi="宋体"/>
          <w:color w:val="000000"/>
          <w:szCs w:val="21"/>
        </w:rPr>
        <w:t>12.2 预付款</w:t>
      </w:r>
    </w:p>
    <w:bookmarkEnd w:id="836"/>
    <w:bookmarkEnd w:id="837"/>
    <w:bookmarkEnd w:id="838"/>
    <w:bookmarkEnd w:id="839"/>
    <w:bookmarkEnd w:id="840"/>
    <w:bookmarkEnd w:id="841"/>
    <w:p>
      <w:pPr>
        <w:pStyle w:val="167"/>
        <w:spacing w:line="360" w:lineRule="auto"/>
        <w:ind w:firstLine="420" w:firstLineChars="200"/>
        <w:jc w:val="left"/>
        <w:rPr>
          <w:rFonts w:ascii="宋体" w:hAnsi="宋体"/>
          <w:color w:val="000000"/>
          <w:szCs w:val="21"/>
        </w:rPr>
      </w:pPr>
      <w:r>
        <w:rPr>
          <w:rFonts w:ascii="宋体" w:hAnsi="宋体"/>
          <w:color w:val="000000"/>
          <w:szCs w:val="21"/>
        </w:rPr>
        <w:t>12.2.1 预付款的支付</w:t>
      </w:r>
    </w:p>
    <w:p>
      <w:pPr>
        <w:pStyle w:val="167"/>
        <w:spacing w:line="360" w:lineRule="auto"/>
        <w:ind w:firstLine="420" w:firstLineChars="200"/>
        <w:jc w:val="left"/>
        <w:rPr>
          <w:rFonts w:ascii="宋体" w:hAnsi="宋体"/>
          <w:color w:val="000000"/>
          <w:szCs w:val="21"/>
        </w:rPr>
      </w:pPr>
      <w:r>
        <w:rPr>
          <w:rFonts w:ascii="宋体" w:hAnsi="宋体"/>
          <w:color w:val="000000"/>
          <w:szCs w:val="21"/>
        </w:rPr>
        <w:t>预付款支付比例或金额：</w:t>
      </w:r>
      <w:r>
        <w:rPr>
          <w:rFonts w:hint="eastAsia" w:ascii="宋体" w:hAnsi="宋体"/>
          <w:color w:val="000000"/>
          <w:szCs w:val="21"/>
        </w:rPr>
        <w:t>执行财建【2004】369号文件规定，包工包料工程的预付款按合同约定拨付，预付款为签约合同价的10——30%。</w:t>
      </w:r>
    </w:p>
    <w:p>
      <w:pPr>
        <w:pStyle w:val="167"/>
        <w:spacing w:line="360" w:lineRule="auto"/>
        <w:ind w:firstLine="420" w:firstLineChars="200"/>
        <w:jc w:val="left"/>
        <w:rPr>
          <w:rFonts w:ascii="宋体" w:hAnsi="宋体"/>
          <w:color w:val="000000"/>
          <w:szCs w:val="21"/>
        </w:rPr>
      </w:pPr>
      <w:r>
        <w:rPr>
          <w:rFonts w:ascii="宋体" w:hAnsi="宋体"/>
          <w:color w:val="000000"/>
          <w:szCs w:val="21"/>
        </w:rPr>
        <w:t>预付款支付期限：</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预付款扣回的方式：</w:t>
      </w:r>
      <w:r>
        <w:rPr>
          <w:rFonts w:hint="eastAsia" w:ascii="宋体" w:hAnsi="宋体"/>
          <w:color w:val="000000"/>
          <w:szCs w:val="21"/>
        </w:rPr>
        <w:t>在支付的进度款中同比例扣回。</w:t>
      </w:r>
    </w:p>
    <w:p>
      <w:pPr>
        <w:pStyle w:val="167"/>
        <w:spacing w:line="360" w:lineRule="auto"/>
        <w:ind w:firstLine="420" w:firstLineChars="200"/>
        <w:jc w:val="left"/>
        <w:rPr>
          <w:rFonts w:ascii="宋体" w:hAnsi="宋体"/>
          <w:color w:val="000000"/>
          <w:szCs w:val="21"/>
        </w:rPr>
      </w:pPr>
      <w:r>
        <w:rPr>
          <w:rFonts w:ascii="宋体" w:hAnsi="宋体"/>
          <w:color w:val="000000"/>
          <w:szCs w:val="21"/>
        </w:rPr>
        <w:t>12.2.2 预付款担保</w:t>
      </w:r>
    </w:p>
    <w:p>
      <w:pPr>
        <w:pStyle w:val="167"/>
        <w:spacing w:line="360" w:lineRule="auto"/>
        <w:ind w:firstLine="420" w:firstLineChars="200"/>
        <w:jc w:val="left"/>
        <w:rPr>
          <w:rFonts w:ascii="宋体" w:hAnsi="宋体"/>
          <w:color w:val="000000"/>
          <w:szCs w:val="21"/>
        </w:rPr>
      </w:pPr>
      <w:r>
        <w:rPr>
          <w:rFonts w:ascii="宋体" w:hAnsi="宋体"/>
          <w:color w:val="000000"/>
          <w:szCs w:val="21"/>
        </w:rPr>
        <w:t>承包人提交预付款担保的期限：</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预付款担保的形式为：</w:t>
      </w:r>
      <w:r>
        <w:rPr>
          <w:rFonts w:hint="eastAsia" w:ascii="宋体" w:hAnsi="宋体"/>
          <w:color w:val="000000"/>
          <w:szCs w:val="21"/>
        </w:rPr>
        <w:t>担保公司担保</w:t>
      </w:r>
      <w:r>
        <w:rPr>
          <w:rFonts w:ascii="宋体" w:hAnsi="宋体"/>
          <w:color w:val="000000"/>
          <w:szCs w:val="21"/>
        </w:rPr>
        <w:t>。</w:t>
      </w:r>
    </w:p>
    <w:bookmarkEnd w:id="842"/>
    <w:bookmarkEnd w:id="843"/>
    <w:bookmarkEnd w:id="844"/>
    <w:bookmarkEnd w:id="845"/>
    <w:bookmarkEnd w:id="846"/>
    <w:bookmarkEnd w:id="847"/>
    <w:bookmarkEnd w:id="848"/>
    <w:bookmarkEnd w:id="849"/>
    <w:bookmarkEnd w:id="850"/>
    <w:bookmarkEnd w:id="851"/>
    <w:p>
      <w:pPr>
        <w:pStyle w:val="167"/>
        <w:spacing w:after="120" w:line="360" w:lineRule="auto"/>
        <w:ind w:firstLine="420" w:firstLineChars="200"/>
        <w:rPr>
          <w:rFonts w:ascii="宋体" w:hAnsi="宋体"/>
          <w:color w:val="000000"/>
          <w:szCs w:val="21"/>
        </w:rPr>
      </w:pPr>
      <w:r>
        <w:rPr>
          <w:rFonts w:ascii="宋体" w:hAnsi="宋体"/>
          <w:color w:val="000000"/>
          <w:szCs w:val="21"/>
        </w:rPr>
        <w:t>12.3 计量</w:t>
      </w:r>
    </w:p>
    <w:p>
      <w:pPr>
        <w:pStyle w:val="167"/>
        <w:spacing w:line="360" w:lineRule="auto"/>
        <w:ind w:firstLine="420" w:firstLineChars="200"/>
        <w:jc w:val="left"/>
        <w:rPr>
          <w:rFonts w:ascii="宋体" w:hAnsi="宋体"/>
          <w:color w:val="000000"/>
          <w:szCs w:val="21"/>
        </w:rPr>
      </w:pPr>
      <w:r>
        <w:rPr>
          <w:rFonts w:ascii="宋体" w:hAnsi="宋体"/>
          <w:color w:val="000000"/>
          <w:szCs w:val="21"/>
        </w:rPr>
        <w:t>12.3.1 计量原则</w:t>
      </w:r>
    </w:p>
    <w:p>
      <w:pPr>
        <w:pStyle w:val="167"/>
        <w:spacing w:line="360" w:lineRule="auto"/>
        <w:ind w:firstLine="420" w:firstLineChars="200"/>
        <w:jc w:val="left"/>
        <w:rPr>
          <w:rFonts w:ascii="宋体" w:hAnsi="宋体"/>
          <w:color w:val="000000"/>
          <w:szCs w:val="21"/>
        </w:rPr>
      </w:pPr>
      <w:r>
        <w:rPr>
          <w:rFonts w:ascii="宋体" w:hAnsi="宋体"/>
          <w:color w:val="000000"/>
          <w:szCs w:val="21"/>
        </w:rPr>
        <w:t>工程量计算规则：</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12.3.2 计量周期</w:t>
      </w:r>
    </w:p>
    <w:p>
      <w:pPr>
        <w:pStyle w:val="167"/>
        <w:spacing w:line="360" w:lineRule="auto"/>
        <w:ind w:firstLine="420" w:firstLineChars="200"/>
        <w:jc w:val="left"/>
        <w:rPr>
          <w:rFonts w:ascii="宋体" w:hAnsi="宋体"/>
          <w:color w:val="000000"/>
          <w:szCs w:val="21"/>
        </w:rPr>
      </w:pPr>
      <w:r>
        <w:rPr>
          <w:rFonts w:ascii="宋体" w:hAnsi="宋体"/>
          <w:color w:val="000000"/>
          <w:szCs w:val="21"/>
        </w:rPr>
        <w:t>关于计量周期的约定：</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12.3.3 单价合同的计量</w:t>
      </w:r>
    </w:p>
    <w:p>
      <w:pPr>
        <w:pStyle w:val="167"/>
        <w:spacing w:line="360" w:lineRule="auto"/>
        <w:ind w:firstLine="420" w:firstLineChars="200"/>
        <w:jc w:val="left"/>
        <w:rPr>
          <w:rFonts w:ascii="宋体" w:hAnsi="宋体"/>
          <w:color w:val="000000"/>
          <w:szCs w:val="21"/>
        </w:rPr>
      </w:pPr>
      <w:r>
        <w:rPr>
          <w:rFonts w:ascii="宋体" w:hAnsi="宋体"/>
          <w:color w:val="000000"/>
          <w:szCs w:val="21"/>
        </w:rPr>
        <w:t>关于单价合同计量的约定：</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12.3.4 总价合同的计量</w:t>
      </w:r>
    </w:p>
    <w:p>
      <w:pPr>
        <w:pStyle w:val="167"/>
        <w:spacing w:line="360" w:lineRule="auto"/>
        <w:ind w:firstLine="420" w:firstLineChars="200"/>
        <w:jc w:val="left"/>
        <w:rPr>
          <w:rFonts w:ascii="宋体" w:hAnsi="宋体"/>
          <w:color w:val="000000"/>
          <w:szCs w:val="21"/>
        </w:rPr>
      </w:pPr>
      <w:r>
        <w:rPr>
          <w:rFonts w:ascii="宋体" w:hAnsi="宋体"/>
          <w:color w:val="000000"/>
          <w:szCs w:val="21"/>
        </w:rPr>
        <w:t>关于总价合同计量的约定：</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12.3.5总价合同采用支付分解表计量支付的，是否适用第</w:t>
      </w:r>
      <w:r>
        <w:rPr>
          <w:rFonts w:ascii="宋体" w:hAnsi="宋体"/>
          <w:color w:val="000000"/>
          <w:kern w:val="0"/>
          <w:szCs w:val="21"/>
        </w:rPr>
        <w:t xml:space="preserve">12.3.4 </w:t>
      </w:r>
      <w:r>
        <w:rPr>
          <w:rFonts w:ascii="宋体" w:hAnsi="宋体"/>
          <w:color w:val="000000"/>
          <w:szCs w:val="21"/>
        </w:rPr>
        <w:t>项</w:t>
      </w:r>
      <w:r>
        <w:rPr>
          <w:rFonts w:hint="eastAsia" w:ascii="宋体" w:hAnsi="宋体"/>
          <w:color w:val="000000"/>
          <w:kern w:val="0"/>
          <w:szCs w:val="21"/>
        </w:rPr>
        <w:t>〔</w:t>
      </w:r>
      <w:r>
        <w:rPr>
          <w:rFonts w:ascii="宋体" w:hAnsi="宋体"/>
          <w:color w:val="000000"/>
          <w:kern w:val="0"/>
          <w:szCs w:val="21"/>
        </w:rPr>
        <w:t>总价合同的计量</w:t>
      </w:r>
      <w:r>
        <w:rPr>
          <w:rFonts w:hint="eastAsia" w:ascii="宋体" w:hAnsi="宋体"/>
          <w:color w:val="000000"/>
          <w:kern w:val="0"/>
          <w:szCs w:val="21"/>
        </w:rPr>
        <w:t>〕</w:t>
      </w:r>
      <w:r>
        <w:rPr>
          <w:rFonts w:ascii="宋体" w:hAnsi="宋体"/>
          <w:color w:val="000000"/>
          <w:szCs w:val="21"/>
        </w:rPr>
        <w:t>约定</w:t>
      </w:r>
      <w:r>
        <w:rPr>
          <w:rFonts w:hint="eastAsia" w:ascii="宋体" w:hAnsi="宋体"/>
          <w:color w:val="000000"/>
          <w:szCs w:val="21"/>
        </w:rPr>
        <w:t>进行计量：</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12.3.6 其他价格形式合同的计量</w:t>
      </w:r>
    </w:p>
    <w:p>
      <w:pPr>
        <w:pStyle w:val="167"/>
        <w:spacing w:line="360" w:lineRule="auto"/>
        <w:ind w:firstLine="420" w:firstLineChars="200"/>
        <w:jc w:val="left"/>
        <w:rPr>
          <w:rFonts w:ascii="宋体" w:hAnsi="宋体"/>
          <w:color w:val="000000"/>
          <w:szCs w:val="21"/>
          <w:u w:val="single"/>
        </w:rPr>
      </w:pPr>
      <w:r>
        <w:rPr>
          <w:rFonts w:ascii="宋体" w:hAnsi="宋体"/>
          <w:color w:val="000000"/>
          <w:szCs w:val="21"/>
        </w:rPr>
        <w:t>其他价格形式的计量方式和程序：</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after="120" w:line="360" w:lineRule="auto"/>
        <w:ind w:firstLine="420" w:firstLineChars="200"/>
        <w:rPr>
          <w:rFonts w:ascii="宋体" w:hAnsi="宋体"/>
          <w:color w:val="000000"/>
          <w:szCs w:val="21"/>
        </w:rPr>
      </w:pPr>
      <w:r>
        <w:rPr>
          <w:rFonts w:ascii="宋体" w:hAnsi="宋体"/>
          <w:color w:val="000000"/>
          <w:szCs w:val="21"/>
        </w:rPr>
        <w:t>12.4 工程进度款支付</w:t>
      </w:r>
    </w:p>
    <w:p>
      <w:pPr>
        <w:pStyle w:val="167"/>
        <w:spacing w:line="360" w:lineRule="auto"/>
        <w:ind w:firstLine="420" w:firstLineChars="200"/>
        <w:jc w:val="left"/>
        <w:rPr>
          <w:rFonts w:ascii="宋体" w:hAnsi="宋体"/>
          <w:color w:val="000000"/>
          <w:szCs w:val="21"/>
        </w:rPr>
      </w:pPr>
      <w:bookmarkStart w:id="852" w:name="_Toc297123556"/>
      <w:bookmarkStart w:id="853" w:name="_Toc296503211"/>
      <w:bookmarkStart w:id="854" w:name="_Toc296347210"/>
      <w:bookmarkStart w:id="855" w:name="_Toc297048397"/>
      <w:bookmarkStart w:id="856" w:name="_Toc292559416"/>
      <w:bookmarkStart w:id="857" w:name="_Toc296944550"/>
      <w:bookmarkStart w:id="858" w:name="_Toc297120511"/>
      <w:bookmarkStart w:id="859" w:name="_Toc296346712"/>
      <w:bookmarkStart w:id="860" w:name="_Toc296891039"/>
      <w:bookmarkStart w:id="861" w:name="_Toc297216215"/>
      <w:bookmarkStart w:id="862" w:name="_Toc296891251"/>
      <w:bookmarkStart w:id="863" w:name="_Toc303539163"/>
      <w:bookmarkStart w:id="864" w:name="_Toc292559921"/>
      <w:bookmarkStart w:id="865" w:name="_Toc300935006"/>
      <w:r>
        <w:rPr>
          <w:rFonts w:ascii="宋体" w:hAnsi="宋体"/>
          <w:color w:val="000000"/>
          <w:szCs w:val="21"/>
        </w:rPr>
        <w:t>12.4.1 付款周期</w:t>
      </w:r>
    </w:p>
    <w:p>
      <w:pPr>
        <w:pStyle w:val="167"/>
        <w:spacing w:line="360" w:lineRule="auto"/>
        <w:ind w:firstLine="420" w:firstLineChars="200"/>
        <w:jc w:val="left"/>
        <w:rPr>
          <w:rFonts w:ascii="宋体" w:hAnsi="宋体"/>
          <w:color w:val="000000"/>
          <w:szCs w:val="21"/>
        </w:rPr>
      </w:pPr>
      <w:r>
        <w:rPr>
          <w:rFonts w:ascii="宋体" w:hAnsi="宋体"/>
          <w:color w:val="000000"/>
          <w:szCs w:val="21"/>
        </w:rPr>
        <w:t>关于付款周期的约定：</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12.4.2 进度付款申请单的编制</w:t>
      </w:r>
    </w:p>
    <w:p>
      <w:pPr>
        <w:pStyle w:val="167"/>
        <w:spacing w:line="360" w:lineRule="auto"/>
        <w:ind w:firstLine="420" w:firstLineChars="200"/>
        <w:jc w:val="left"/>
        <w:rPr>
          <w:rFonts w:ascii="宋体" w:hAnsi="宋体"/>
          <w:color w:val="000000"/>
          <w:szCs w:val="21"/>
          <w:u w:val="single"/>
        </w:rPr>
      </w:pPr>
      <w:r>
        <w:rPr>
          <w:rFonts w:ascii="宋体" w:hAnsi="宋体"/>
          <w:color w:val="000000"/>
          <w:szCs w:val="21"/>
        </w:rPr>
        <w:t>关于进度付款申请单编制的约定：</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1</w:t>
      </w:r>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r>
        <w:rPr>
          <w:rFonts w:ascii="宋体" w:hAnsi="宋体"/>
          <w:color w:val="000000"/>
          <w:szCs w:val="21"/>
        </w:rPr>
        <w:t>2.4.3 进度付款申请单的提交</w:t>
      </w:r>
    </w:p>
    <w:p>
      <w:pPr>
        <w:pStyle w:val="167"/>
        <w:spacing w:line="360" w:lineRule="auto"/>
        <w:ind w:firstLine="420" w:firstLineChars="200"/>
        <w:jc w:val="left"/>
        <w:rPr>
          <w:rFonts w:ascii="宋体" w:hAnsi="宋体"/>
          <w:color w:val="000000"/>
          <w:szCs w:val="21"/>
        </w:rPr>
      </w:pPr>
      <w:r>
        <w:rPr>
          <w:rFonts w:ascii="宋体" w:hAnsi="宋体"/>
          <w:color w:val="000000"/>
          <w:szCs w:val="21"/>
        </w:rPr>
        <w:t>（1）单价合同进度付款申请单提交的约定</w:t>
      </w:r>
      <w:r>
        <w:rPr>
          <w:rFonts w:hint="eastAsia" w:ascii="宋体" w:hAnsi="宋体"/>
          <w:color w:val="000000"/>
          <w:szCs w:val="21"/>
        </w:rPr>
        <w:t>：</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（2）总价合同进度付款申请单提交的约定</w:t>
      </w:r>
      <w:r>
        <w:rPr>
          <w:rFonts w:hint="eastAsia" w:ascii="宋体" w:hAnsi="宋体"/>
          <w:color w:val="000000"/>
          <w:szCs w:val="21"/>
        </w:rPr>
        <w:t>：</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u w:val="single"/>
        </w:rPr>
      </w:pPr>
      <w:r>
        <w:rPr>
          <w:rFonts w:ascii="宋体" w:hAnsi="宋体"/>
          <w:color w:val="000000"/>
          <w:szCs w:val="21"/>
        </w:rPr>
        <w:t>（3）其他价格形式合同进度付款申请单提交的约定：</w:t>
      </w:r>
      <w:r>
        <w:rPr>
          <w:rFonts w:ascii="宋体" w:hAnsi="宋体"/>
          <w:color w:val="000000"/>
          <w:szCs w:val="21"/>
          <w:u w:val="single"/>
        </w:rPr>
        <w:t xml:space="preserve">       </w:t>
      </w:r>
    </w:p>
    <w:p>
      <w:pPr>
        <w:pStyle w:val="167"/>
        <w:spacing w:line="360" w:lineRule="auto"/>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12.4.4 进度款审核和支付</w:t>
      </w:r>
    </w:p>
    <w:p>
      <w:pPr>
        <w:pStyle w:val="167"/>
        <w:spacing w:line="360" w:lineRule="auto"/>
        <w:ind w:firstLine="420" w:firstLineChars="200"/>
        <w:jc w:val="left"/>
        <w:rPr>
          <w:rFonts w:ascii="宋体" w:hAnsi="宋体"/>
          <w:color w:val="000000"/>
          <w:szCs w:val="21"/>
          <w:u w:val="single"/>
        </w:rPr>
      </w:pPr>
      <w:r>
        <w:rPr>
          <w:rFonts w:ascii="宋体" w:hAnsi="宋体"/>
          <w:color w:val="000000"/>
          <w:szCs w:val="21"/>
        </w:rPr>
        <w:t>（1）监理人审查并报送发包人的期限：</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u w:val="single"/>
        </w:rPr>
      </w:pPr>
      <w:r>
        <w:rPr>
          <w:rFonts w:ascii="宋体" w:hAnsi="宋体"/>
          <w:color w:val="000000"/>
          <w:szCs w:val="21"/>
        </w:rPr>
        <w:t>发包人完成审批并签发进度款支付证书的期限：</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（2）发包人支付进度款的期限：</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525" w:firstLineChars="250"/>
        <w:jc w:val="left"/>
        <w:rPr>
          <w:rFonts w:ascii="宋体" w:hAnsi="宋体"/>
          <w:color w:val="000000"/>
          <w:szCs w:val="21"/>
          <w:u w:val="single"/>
        </w:rPr>
      </w:pPr>
      <w:r>
        <w:rPr>
          <w:rFonts w:ascii="宋体" w:hAnsi="宋体"/>
          <w:color w:val="000000"/>
          <w:szCs w:val="21"/>
        </w:rPr>
        <w:t>发包人逾期支付进度款的违约金的计算方式：</w:t>
      </w:r>
      <w:r>
        <w:rPr>
          <w:rFonts w:ascii="宋体" w:hAnsi="宋体"/>
          <w:color w:val="000000"/>
          <w:szCs w:val="21"/>
          <w:u w:val="single"/>
        </w:rPr>
        <w:t xml:space="preserve">      </w:t>
      </w:r>
      <w:r>
        <w:rPr>
          <w:rFonts w:hint="eastAsia" w:ascii="宋体" w:hAnsi="宋体"/>
          <w:color w:val="000000"/>
          <w:szCs w:val="21"/>
          <w:u w:val="single"/>
        </w:rPr>
        <w:t xml:space="preserve">      </w:t>
      </w:r>
    </w:p>
    <w:p>
      <w:pPr>
        <w:pStyle w:val="167"/>
        <w:spacing w:line="360" w:lineRule="auto"/>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525" w:firstLineChars="250"/>
        <w:jc w:val="left"/>
        <w:rPr>
          <w:rFonts w:ascii="宋体" w:hAnsi="宋体"/>
          <w:color w:val="000000"/>
          <w:szCs w:val="21"/>
        </w:rPr>
      </w:pPr>
      <w:r>
        <w:rPr>
          <w:rFonts w:ascii="宋体" w:hAnsi="宋体"/>
          <w:color w:val="000000"/>
          <w:szCs w:val="21"/>
        </w:rPr>
        <w:t>12.4.6 支付分解表的编制</w:t>
      </w:r>
    </w:p>
    <w:p>
      <w:pPr>
        <w:pStyle w:val="167"/>
        <w:spacing w:line="360" w:lineRule="auto"/>
        <w:ind w:firstLine="420" w:firstLineChars="200"/>
        <w:jc w:val="left"/>
        <w:rPr>
          <w:rFonts w:ascii="宋体" w:hAnsi="宋体"/>
          <w:color w:val="000000"/>
          <w:szCs w:val="21"/>
          <w:u w:val="single"/>
        </w:rPr>
      </w:pPr>
      <w:r>
        <w:rPr>
          <w:rFonts w:ascii="宋体" w:hAnsi="宋体"/>
          <w:color w:val="000000"/>
          <w:szCs w:val="21"/>
        </w:rPr>
        <w:t>2、总价合同支付分解表的编制与审批：</w:t>
      </w:r>
      <w:r>
        <w:rPr>
          <w:rFonts w:ascii="宋体" w:hAnsi="宋体"/>
          <w:color w:val="000000"/>
          <w:szCs w:val="21"/>
          <w:u w:val="single"/>
        </w:rPr>
        <w:t xml:space="preserve">                  </w:t>
      </w:r>
    </w:p>
    <w:p>
      <w:pPr>
        <w:pStyle w:val="167"/>
        <w:spacing w:line="360" w:lineRule="auto"/>
        <w:ind w:left="4200" w:hanging="4200" w:hangingChars="2000"/>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u w:val="single"/>
        </w:rPr>
      </w:pPr>
      <w:r>
        <w:rPr>
          <w:rFonts w:ascii="宋体" w:hAnsi="宋体"/>
          <w:color w:val="000000"/>
          <w:szCs w:val="21"/>
        </w:rPr>
        <w:t>3、单价合同的总价项目支付分解表的编制与审批：</w:t>
      </w:r>
      <w:r>
        <w:rPr>
          <w:rFonts w:ascii="宋体" w:hAnsi="宋体"/>
          <w:color w:val="000000"/>
          <w:szCs w:val="21"/>
          <w:u w:val="single"/>
        </w:rPr>
        <w:t xml:space="preserve">         </w:t>
      </w:r>
      <w:r>
        <w:rPr>
          <w:rFonts w:ascii="宋体" w:hAnsi="宋体"/>
          <w:color w:val="000000"/>
          <w:szCs w:val="21"/>
        </w:rPr>
        <w:t xml:space="preserve">   </w:t>
      </w:r>
    </w:p>
    <w:p>
      <w:pPr>
        <w:pStyle w:val="167"/>
        <w:spacing w:line="360" w:lineRule="auto"/>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bookmarkEnd w:id="695"/>
    <w:p>
      <w:pPr>
        <w:pStyle w:val="167"/>
        <w:keepNext/>
        <w:keepLines/>
        <w:spacing w:before="120" w:after="120" w:line="360" w:lineRule="auto"/>
        <w:outlineLvl w:val="3"/>
        <w:rPr>
          <w:rFonts w:ascii="宋体" w:hAnsi="宋体"/>
          <w:bCs/>
          <w:color w:val="000000"/>
          <w:szCs w:val="21"/>
        </w:rPr>
      </w:pPr>
      <w:bookmarkStart w:id="866" w:name="_Toc351203645"/>
      <w:bookmarkStart w:id="867" w:name="_Toc292559929"/>
      <w:bookmarkStart w:id="868" w:name="_Toc292559424"/>
      <w:bookmarkStart w:id="869" w:name="_Toc296891047"/>
      <w:bookmarkStart w:id="870" w:name="_Toc297048405"/>
      <w:bookmarkStart w:id="871" w:name="_Toc296346720"/>
      <w:bookmarkStart w:id="872" w:name="_Toc296944558"/>
      <w:bookmarkStart w:id="873" w:name="_Toc304295593"/>
      <w:bookmarkStart w:id="874" w:name="_Toc312678053"/>
      <w:bookmarkStart w:id="875" w:name="_Toc297120519"/>
      <w:bookmarkStart w:id="876" w:name="_Toc297123564"/>
      <w:bookmarkStart w:id="877" w:name="_Toc297216223"/>
      <w:bookmarkStart w:id="878" w:name="_Toc300935015"/>
      <w:bookmarkStart w:id="879" w:name="_Toc296891259"/>
      <w:bookmarkStart w:id="880" w:name="_Toc296347218"/>
      <w:bookmarkStart w:id="881" w:name="_Toc296503219"/>
      <w:bookmarkStart w:id="882" w:name="_Toc303539172"/>
      <w:r>
        <w:rPr>
          <w:rFonts w:ascii="宋体" w:hAnsi="宋体"/>
          <w:bCs/>
          <w:color w:val="000000"/>
          <w:szCs w:val="21"/>
        </w:rPr>
        <w:t>13.</w:t>
      </w:r>
      <w:r>
        <w:rPr>
          <w:rFonts w:hint="eastAsia" w:ascii="宋体" w:hAnsi="宋体"/>
          <w:bCs/>
          <w:color w:val="000000"/>
          <w:szCs w:val="21"/>
        </w:rPr>
        <w:t xml:space="preserve"> </w:t>
      </w:r>
      <w:r>
        <w:rPr>
          <w:rFonts w:ascii="宋体" w:hAnsi="宋体"/>
          <w:bCs/>
          <w:color w:val="000000"/>
          <w:szCs w:val="21"/>
        </w:rPr>
        <w:t>验收和工程试车</w:t>
      </w:r>
      <w:bookmarkEnd w:id="866"/>
    </w:p>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pPr>
        <w:pStyle w:val="167"/>
        <w:spacing w:after="120" w:line="360" w:lineRule="auto"/>
        <w:ind w:firstLine="420" w:firstLineChars="200"/>
        <w:rPr>
          <w:rFonts w:ascii="宋体" w:hAnsi="宋体"/>
          <w:color w:val="000000"/>
          <w:szCs w:val="21"/>
        </w:rPr>
      </w:pPr>
      <w:r>
        <w:rPr>
          <w:rFonts w:ascii="宋体" w:hAnsi="宋体"/>
          <w:color w:val="000000"/>
          <w:szCs w:val="21"/>
        </w:rPr>
        <w:t>13.1 分部分项工程验收</w:t>
      </w:r>
    </w:p>
    <w:p>
      <w:pPr>
        <w:pStyle w:val="167"/>
        <w:spacing w:line="360" w:lineRule="auto"/>
        <w:ind w:firstLine="420" w:firstLineChars="200"/>
        <w:jc w:val="left"/>
        <w:rPr>
          <w:rFonts w:ascii="宋体" w:hAnsi="宋体"/>
          <w:color w:val="000000"/>
          <w:szCs w:val="21"/>
        </w:rPr>
      </w:pPr>
      <w:r>
        <w:rPr>
          <w:rFonts w:ascii="宋体" w:hAnsi="宋体"/>
          <w:color w:val="000000"/>
          <w:szCs w:val="21"/>
        </w:rPr>
        <w:t>13.1.2监理人不能按时进行验收时，应提前</w:t>
      </w:r>
      <w:r>
        <w:rPr>
          <w:rFonts w:ascii="宋体" w:hAnsi="宋体"/>
          <w:color w:val="000000"/>
          <w:szCs w:val="21"/>
          <w:u w:val="single"/>
        </w:rPr>
        <w:t xml:space="preserve">       </w:t>
      </w:r>
      <w:r>
        <w:rPr>
          <w:rFonts w:ascii="宋体" w:hAnsi="宋体"/>
          <w:color w:val="000000"/>
          <w:szCs w:val="21"/>
        </w:rPr>
        <w:t>小时提交书面延期要求。</w:t>
      </w:r>
    </w:p>
    <w:p>
      <w:pPr>
        <w:pStyle w:val="167"/>
        <w:spacing w:line="360" w:lineRule="auto"/>
        <w:ind w:firstLine="420" w:firstLineChars="200"/>
        <w:jc w:val="left"/>
        <w:rPr>
          <w:rFonts w:ascii="宋体" w:hAnsi="宋体"/>
          <w:b/>
          <w:color w:val="000000"/>
          <w:szCs w:val="21"/>
        </w:rPr>
      </w:pPr>
      <w:r>
        <w:rPr>
          <w:rFonts w:ascii="宋体" w:hAnsi="宋体"/>
          <w:color w:val="000000"/>
          <w:szCs w:val="21"/>
        </w:rPr>
        <w:t>关于延期最长不得超过：</w:t>
      </w:r>
      <w:r>
        <w:rPr>
          <w:rFonts w:ascii="宋体" w:hAnsi="宋体"/>
          <w:color w:val="000000"/>
          <w:szCs w:val="21"/>
          <w:u w:val="single"/>
        </w:rPr>
        <w:t xml:space="preserve">         </w:t>
      </w:r>
      <w:r>
        <w:rPr>
          <w:rFonts w:ascii="宋体" w:hAnsi="宋体"/>
          <w:color w:val="000000"/>
          <w:szCs w:val="21"/>
        </w:rPr>
        <w:t>小时。</w:t>
      </w:r>
    </w:p>
    <w:p>
      <w:pPr>
        <w:pStyle w:val="167"/>
        <w:spacing w:after="120" w:line="360" w:lineRule="auto"/>
        <w:ind w:firstLine="420" w:firstLineChars="200"/>
        <w:rPr>
          <w:rFonts w:ascii="宋体" w:hAnsi="宋体"/>
          <w:color w:val="000000"/>
          <w:szCs w:val="21"/>
        </w:rPr>
      </w:pPr>
      <w:bookmarkStart w:id="883" w:name="_Toc296944562"/>
      <w:bookmarkStart w:id="884" w:name="_Toc297216224"/>
      <w:bookmarkStart w:id="885" w:name="_Toc296891051"/>
      <w:bookmarkStart w:id="886" w:name="_Toc297120523"/>
      <w:bookmarkStart w:id="887" w:name="_Toc296891263"/>
      <w:bookmarkStart w:id="888" w:name="_Toc303539173"/>
      <w:bookmarkStart w:id="889" w:name="_Toc292559933"/>
      <w:bookmarkStart w:id="890" w:name="_Toc312678056"/>
      <w:bookmarkStart w:id="891" w:name="_Toc292559428"/>
      <w:bookmarkStart w:id="892" w:name="_Toc297048409"/>
      <w:bookmarkStart w:id="893" w:name="_Toc300935016"/>
      <w:bookmarkStart w:id="894" w:name="_Toc304295596"/>
      <w:bookmarkStart w:id="895" w:name="_Toc296503223"/>
      <w:bookmarkStart w:id="896" w:name="_Toc297123565"/>
      <w:bookmarkStart w:id="897" w:name="_Toc296346724"/>
      <w:bookmarkStart w:id="898" w:name="_Toc296347222"/>
      <w:bookmarkStart w:id="899" w:name="_Toc267251472"/>
      <w:bookmarkStart w:id="900" w:name="_Toc267251475"/>
      <w:bookmarkStart w:id="901" w:name="_Toc267251470"/>
      <w:bookmarkStart w:id="902" w:name="_Toc267251473"/>
      <w:bookmarkStart w:id="903" w:name="_Toc267251476"/>
      <w:bookmarkStart w:id="904" w:name="_Toc267251471"/>
      <w:bookmarkStart w:id="905" w:name="_Toc267251474"/>
      <w:r>
        <w:rPr>
          <w:rFonts w:ascii="宋体" w:hAnsi="宋体"/>
          <w:color w:val="000000"/>
          <w:szCs w:val="21"/>
        </w:rPr>
        <w:t>13.2 竣工验收</w:t>
      </w:r>
    </w:p>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Pr>
        <w:pStyle w:val="167"/>
        <w:spacing w:line="360" w:lineRule="auto"/>
        <w:ind w:firstLine="420" w:firstLineChars="200"/>
        <w:jc w:val="left"/>
        <w:rPr>
          <w:rFonts w:ascii="宋体" w:hAnsi="宋体"/>
          <w:color w:val="000000"/>
          <w:szCs w:val="21"/>
        </w:rPr>
      </w:pPr>
      <w:bookmarkStart w:id="906" w:name="_Toc280868704"/>
      <w:bookmarkStart w:id="907" w:name="_Toc280868705"/>
      <w:bookmarkStart w:id="908" w:name="_Toc280868706"/>
      <w:bookmarkStart w:id="909" w:name="_Toc280868707"/>
      <w:bookmarkStart w:id="910" w:name="_Toc280868708"/>
      <w:bookmarkStart w:id="911" w:name="_Toc280868709"/>
      <w:r>
        <w:rPr>
          <w:rFonts w:ascii="宋体" w:hAnsi="宋体"/>
          <w:color w:val="000000"/>
          <w:szCs w:val="21"/>
        </w:rPr>
        <w:t>13.2.2竣工验收程序</w:t>
      </w:r>
    </w:p>
    <w:bookmarkEnd w:id="906"/>
    <w:p>
      <w:pPr>
        <w:pStyle w:val="167"/>
        <w:spacing w:line="360" w:lineRule="auto"/>
        <w:ind w:firstLine="420" w:firstLineChars="200"/>
        <w:jc w:val="left"/>
        <w:rPr>
          <w:rFonts w:ascii="宋体" w:hAnsi="宋体"/>
          <w:color w:val="000000"/>
          <w:szCs w:val="21"/>
          <w:u w:val="single"/>
        </w:rPr>
      </w:pPr>
      <w:r>
        <w:rPr>
          <w:rFonts w:ascii="宋体" w:hAnsi="宋体"/>
          <w:color w:val="000000"/>
          <w:kern w:val="0"/>
          <w:szCs w:val="21"/>
        </w:rPr>
        <w:t>关于竣工验收程序的约定：</w:t>
      </w:r>
      <w:r>
        <w:rPr>
          <w:rFonts w:ascii="宋体" w:hAnsi="宋体"/>
          <w:color w:val="000000"/>
          <w:szCs w:val="21"/>
          <w:u w:val="single"/>
        </w:rPr>
        <w:t xml:space="preserve">                              </w:t>
      </w:r>
    </w:p>
    <w:p>
      <w:pPr>
        <w:pStyle w:val="167"/>
        <w:spacing w:line="360" w:lineRule="auto"/>
        <w:ind w:left="4200" w:hanging="4200" w:hangingChars="2000"/>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u w:val="single"/>
        </w:rPr>
      </w:pPr>
      <w:r>
        <w:rPr>
          <w:rFonts w:ascii="宋体" w:hAnsi="宋体"/>
          <w:color w:val="000000"/>
          <w:kern w:val="0"/>
          <w:szCs w:val="21"/>
        </w:rPr>
        <w:t>发包人不按照本项约定组织竣工验收、颁发工程接收证书的违约金的计算方法：</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bookmarkEnd w:id="907"/>
    <w:p>
      <w:pPr>
        <w:pStyle w:val="167"/>
        <w:spacing w:line="360" w:lineRule="auto"/>
        <w:ind w:firstLine="420" w:firstLineChars="200"/>
        <w:jc w:val="left"/>
        <w:rPr>
          <w:rFonts w:ascii="宋体" w:hAnsi="宋体"/>
          <w:color w:val="000000"/>
          <w:szCs w:val="21"/>
        </w:rPr>
      </w:pPr>
      <w:r>
        <w:rPr>
          <w:rFonts w:ascii="宋体" w:hAnsi="宋体"/>
          <w:color w:val="000000"/>
          <w:szCs w:val="21"/>
        </w:rPr>
        <w:t>13.2.5移交、接收全部与部分工程</w:t>
      </w:r>
    </w:p>
    <w:bookmarkEnd w:id="908"/>
    <w:p>
      <w:pPr>
        <w:pStyle w:val="167"/>
        <w:spacing w:line="360" w:lineRule="auto"/>
        <w:ind w:firstLine="420" w:firstLineChars="200"/>
        <w:jc w:val="left"/>
        <w:rPr>
          <w:rFonts w:ascii="宋体" w:hAnsi="宋体"/>
          <w:color w:val="000000"/>
          <w:kern w:val="0"/>
          <w:szCs w:val="21"/>
        </w:rPr>
      </w:pPr>
      <w:r>
        <w:rPr>
          <w:rFonts w:hint="eastAsia" w:ascii="宋体" w:hAnsi="宋体"/>
          <w:color w:val="000000"/>
          <w:kern w:val="0"/>
          <w:szCs w:val="21"/>
        </w:rPr>
        <w:t>承包人向发包人移交工程的期限：</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hint="eastAsia" w:ascii="宋体" w:hAnsi="宋体"/>
          <w:color w:val="000000"/>
          <w:szCs w:val="21"/>
        </w:rPr>
        <w:t>。</w:t>
      </w:r>
    </w:p>
    <w:p>
      <w:pPr>
        <w:pStyle w:val="167"/>
        <w:spacing w:line="360" w:lineRule="auto"/>
        <w:ind w:firstLine="420" w:firstLineChars="200"/>
        <w:jc w:val="left"/>
        <w:rPr>
          <w:rFonts w:ascii="宋体" w:hAnsi="宋体"/>
          <w:color w:val="000000"/>
          <w:szCs w:val="21"/>
          <w:u w:val="single"/>
        </w:rPr>
      </w:pPr>
      <w:r>
        <w:rPr>
          <w:rFonts w:ascii="宋体" w:hAnsi="宋体"/>
          <w:color w:val="000000"/>
          <w:kern w:val="0"/>
          <w:szCs w:val="21"/>
        </w:rPr>
        <w:t>发包人未按本合同约定接收全部或部分工程的，违约金的计算方法为：</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bookmarkEnd w:id="909"/>
    <w:p>
      <w:pPr>
        <w:pStyle w:val="167"/>
        <w:spacing w:line="360" w:lineRule="auto"/>
        <w:ind w:firstLine="420" w:firstLineChars="200"/>
        <w:jc w:val="left"/>
        <w:rPr>
          <w:rFonts w:ascii="宋体" w:hAnsi="宋体"/>
          <w:color w:val="000000"/>
          <w:szCs w:val="21"/>
          <w:u w:val="single"/>
        </w:rPr>
      </w:pPr>
      <w:r>
        <w:rPr>
          <w:rFonts w:ascii="宋体" w:hAnsi="宋体"/>
          <w:color w:val="000000"/>
          <w:szCs w:val="21"/>
        </w:rPr>
        <w:t>承包人未按时移交工程的，违约金的计算方法为：</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after="120" w:line="360" w:lineRule="auto"/>
        <w:ind w:firstLine="420" w:firstLineChars="200"/>
        <w:rPr>
          <w:rFonts w:ascii="宋体" w:hAnsi="宋体"/>
          <w:color w:val="000000"/>
          <w:szCs w:val="21"/>
        </w:rPr>
      </w:pPr>
      <w:r>
        <w:rPr>
          <w:rFonts w:ascii="宋体" w:hAnsi="宋体"/>
          <w:color w:val="000000"/>
          <w:szCs w:val="21"/>
        </w:rPr>
        <w:t>13.3 工程试车</w:t>
      </w:r>
    </w:p>
    <w:bookmarkEnd w:id="910"/>
    <w:p>
      <w:pPr>
        <w:pStyle w:val="167"/>
        <w:spacing w:line="360" w:lineRule="auto"/>
        <w:ind w:firstLine="420" w:firstLineChars="200"/>
        <w:jc w:val="left"/>
        <w:rPr>
          <w:rFonts w:ascii="宋体" w:hAnsi="宋体"/>
          <w:color w:val="000000"/>
          <w:kern w:val="0"/>
          <w:szCs w:val="21"/>
        </w:rPr>
      </w:pPr>
      <w:r>
        <w:rPr>
          <w:rFonts w:ascii="宋体" w:hAnsi="宋体"/>
          <w:color w:val="000000"/>
          <w:kern w:val="0"/>
          <w:szCs w:val="21"/>
        </w:rPr>
        <w:t>13.3.1 试车程序</w:t>
      </w:r>
    </w:p>
    <w:p>
      <w:pPr>
        <w:pStyle w:val="167"/>
        <w:spacing w:line="360" w:lineRule="auto"/>
        <w:ind w:firstLine="420" w:firstLineChars="200"/>
        <w:jc w:val="left"/>
        <w:rPr>
          <w:rFonts w:ascii="宋体" w:hAnsi="宋体"/>
          <w:color w:val="000000"/>
          <w:szCs w:val="21"/>
          <w:u w:val="single"/>
        </w:rPr>
      </w:pPr>
      <w:r>
        <w:rPr>
          <w:rFonts w:ascii="宋体" w:hAnsi="宋体"/>
          <w:color w:val="000000"/>
          <w:kern w:val="0"/>
          <w:szCs w:val="21"/>
        </w:rPr>
        <w:t>工程试车内容：</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jc w:val="left"/>
        <w:rPr>
          <w:rFonts w:ascii="宋体" w:hAnsi="宋体"/>
          <w:color w:val="000000"/>
          <w:kern w:val="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kern w:val="0"/>
          <w:szCs w:val="21"/>
        </w:rPr>
      </w:pPr>
      <w:r>
        <w:rPr>
          <w:rFonts w:ascii="宋体" w:hAnsi="宋体"/>
          <w:color w:val="000000"/>
          <w:kern w:val="0"/>
          <w:szCs w:val="21"/>
        </w:rPr>
        <w:t>（1）单机无负荷试车费用由</w:t>
      </w:r>
      <w:r>
        <w:rPr>
          <w:rFonts w:ascii="宋体" w:hAnsi="宋体"/>
          <w:color w:val="000000"/>
          <w:szCs w:val="21"/>
          <w:u w:val="single"/>
        </w:rPr>
        <w:t xml:space="preserve">                     </w:t>
      </w:r>
      <w:r>
        <w:rPr>
          <w:rFonts w:ascii="宋体" w:hAnsi="宋体"/>
          <w:color w:val="000000"/>
          <w:kern w:val="0"/>
          <w:szCs w:val="21"/>
        </w:rPr>
        <w:t>承担；</w:t>
      </w:r>
    </w:p>
    <w:p>
      <w:pPr>
        <w:pStyle w:val="167"/>
        <w:spacing w:line="360" w:lineRule="auto"/>
        <w:ind w:firstLine="420" w:firstLineChars="200"/>
        <w:jc w:val="left"/>
        <w:rPr>
          <w:rFonts w:ascii="宋体" w:hAnsi="宋体"/>
          <w:color w:val="000000"/>
          <w:kern w:val="0"/>
          <w:szCs w:val="21"/>
        </w:rPr>
      </w:pPr>
      <w:r>
        <w:rPr>
          <w:rFonts w:ascii="宋体" w:hAnsi="宋体"/>
          <w:color w:val="000000"/>
          <w:kern w:val="0"/>
          <w:szCs w:val="21"/>
        </w:rPr>
        <w:t>（2）无负荷联动试车费用由</w:t>
      </w:r>
      <w:r>
        <w:rPr>
          <w:rFonts w:ascii="宋体" w:hAnsi="宋体"/>
          <w:color w:val="000000"/>
          <w:szCs w:val="21"/>
          <w:u w:val="single"/>
        </w:rPr>
        <w:t xml:space="preserve">                     </w:t>
      </w:r>
      <w:r>
        <w:rPr>
          <w:rFonts w:ascii="宋体" w:hAnsi="宋体"/>
          <w:color w:val="000000"/>
          <w:kern w:val="0"/>
          <w:szCs w:val="21"/>
        </w:rPr>
        <w:t>承担。</w:t>
      </w:r>
    </w:p>
    <w:p>
      <w:pPr>
        <w:pStyle w:val="167"/>
        <w:spacing w:line="360" w:lineRule="auto"/>
        <w:ind w:firstLine="420" w:firstLineChars="200"/>
        <w:jc w:val="left"/>
        <w:rPr>
          <w:rFonts w:ascii="宋体" w:hAnsi="宋体"/>
          <w:color w:val="000000"/>
          <w:kern w:val="0"/>
          <w:szCs w:val="21"/>
        </w:rPr>
      </w:pPr>
      <w:r>
        <w:rPr>
          <w:rFonts w:ascii="宋体" w:hAnsi="宋体"/>
          <w:color w:val="000000"/>
          <w:kern w:val="0"/>
          <w:szCs w:val="21"/>
        </w:rPr>
        <w:t>13.3.3 投料试车</w:t>
      </w:r>
    </w:p>
    <w:p>
      <w:pPr>
        <w:pStyle w:val="167"/>
        <w:spacing w:line="360" w:lineRule="auto"/>
        <w:ind w:firstLine="420" w:firstLineChars="200"/>
        <w:jc w:val="left"/>
        <w:rPr>
          <w:rFonts w:ascii="宋体" w:hAnsi="宋体"/>
          <w:color w:val="000000"/>
          <w:szCs w:val="21"/>
          <w:u w:val="single"/>
        </w:rPr>
      </w:pPr>
      <w:r>
        <w:rPr>
          <w:rFonts w:hint="eastAsia" w:ascii="宋体" w:hAnsi="宋体"/>
          <w:color w:val="000000"/>
          <w:kern w:val="0"/>
          <w:szCs w:val="21"/>
        </w:rPr>
        <w:t>关于投料试车相关事项的约定：</w:t>
      </w:r>
      <w:r>
        <w:rPr>
          <w:rFonts w:hint="eastAsia" w:ascii="宋体" w:hAnsi="宋体"/>
          <w:color w:val="000000"/>
          <w:szCs w:val="21"/>
          <w:u w:val="single"/>
        </w:rPr>
        <w:t xml:space="preserve">                           </w:t>
      </w:r>
    </w:p>
    <w:p>
      <w:pPr>
        <w:pStyle w:val="167"/>
        <w:spacing w:line="360" w:lineRule="auto"/>
        <w:jc w:val="left"/>
        <w:rPr>
          <w:rFonts w:ascii="宋体" w:hAnsi="宋体"/>
          <w:color w:val="000000"/>
          <w:kern w:val="0"/>
          <w:szCs w:val="21"/>
        </w:rPr>
      </w:pP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after="120" w:line="360" w:lineRule="auto"/>
        <w:ind w:firstLine="420" w:firstLineChars="200"/>
        <w:rPr>
          <w:rFonts w:ascii="宋体" w:hAnsi="宋体"/>
          <w:color w:val="000000"/>
          <w:szCs w:val="21"/>
        </w:rPr>
      </w:pPr>
      <w:r>
        <w:rPr>
          <w:rFonts w:ascii="宋体" w:hAnsi="宋体"/>
          <w:color w:val="000000"/>
          <w:szCs w:val="21"/>
        </w:rPr>
        <w:t>13.6 竣工退场</w:t>
      </w:r>
    </w:p>
    <w:p>
      <w:pPr>
        <w:pStyle w:val="167"/>
        <w:spacing w:line="360" w:lineRule="auto"/>
        <w:ind w:firstLine="420" w:firstLineChars="200"/>
        <w:jc w:val="left"/>
        <w:rPr>
          <w:rFonts w:ascii="宋体" w:hAnsi="宋体"/>
          <w:color w:val="000000"/>
          <w:kern w:val="0"/>
          <w:szCs w:val="21"/>
        </w:rPr>
      </w:pPr>
      <w:r>
        <w:rPr>
          <w:rFonts w:ascii="宋体" w:hAnsi="宋体"/>
          <w:color w:val="000000"/>
          <w:kern w:val="0"/>
          <w:szCs w:val="21"/>
        </w:rPr>
        <w:t>13.6.1 竣工退场</w:t>
      </w:r>
    </w:p>
    <w:p>
      <w:pPr>
        <w:pStyle w:val="167"/>
        <w:spacing w:line="360" w:lineRule="auto"/>
        <w:ind w:firstLine="420" w:firstLineChars="200"/>
        <w:jc w:val="left"/>
        <w:rPr>
          <w:rFonts w:ascii="宋体" w:hAnsi="宋体"/>
          <w:color w:val="000000"/>
          <w:kern w:val="0"/>
          <w:szCs w:val="21"/>
        </w:rPr>
      </w:pPr>
      <w:r>
        <w:rPr>
          <w:rFonts w:ascii="宋体" w:hAnsi="宋体"/>
          <w:color w:val="000000"/>
          <w:kern w:val="0"/>
          <w:szCs w:val="21"/>
        </w:rPr>
        <w:t>承包人完成竣工退场的期限：</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kern w:val="0"/>
          <w:szCs w:val="21"/>
        </w:rPr>
        <w:t>。</w:t>
      </w:r>
    </w:p>
    <w:p>
      <w:pPr>
        <w:pStyle w:val="167"/>
        <w:keepNext/>
        <w:keepLines/>
        <w:spacing w:before="120" w:after="120" w:line="360" w:lineRule="auto"/>
        <w:outlineLvl w:val="3"/>
        <w:rPr>
          <w:rFonts w:ascii="宋体" w:hAnsi="宋体"/>
          <w:bCs/>
          <w:color w:val="000000"/>
          <w:szCs w:val="21"/>
        </w:rPr>
      </w:pPr>
      <w:bookmarkStart w:id="912" w:name="_Toc351203646"/>
      <w:r>
        <w:rPr>
          <w:rFonts w:ascii="宋体" w:hAnsi="宋体"/>
          <w:bCs/>
          <w:color w:val="000000"/>
          <w:szCs w:val="21"/>
        </w:rPr>
        <w:t>14. 竣工结算</w:t>
      </w:r>
      <w:bookmarkEnd w:id="912"/>
    </w:p>
    <w:p>
      <w:pPr>
        <w:pStyle w:val="167"/>
        <w:spacing w:after="120" w:line="360" w:lineRule="auto"/>
        <w:ind w:firstLine="420" w:firstLineChars="200"/>
        <w:rPr>
          <w:rFonts w:ascii="宋体" w:hAnsi="宋体"/>
          <w:color w:val="000000"/>
          <w:szCs w:val="21"/>
        </w:rPr>
      </w:pPr>
      <w:r>
        <w:rPr>
          <w:rFonts w:ascii="宋体" w:hAnsi="宋体"/>
          <w:color w:val="000000"/>
          <w:szCs w:val="21"/>
        </w:rPr>
        <w:t>14.1 竣工付款申请</w:t>
      </w:r>
    </w:p>
    <w:p>
      <w:pPr>
        <w:pStyle w:val="167"/>
        <w:spacing w:line="360" w:lineRule="auto"/>
        <w:ind w:firstLine="420" w:firstLineChars="200"/>
        <w:jc w:val="left"/>
        <w:rPr>
          <w:rFonts w:ascii="宋体" w:hAnsi="宋体"/>
          <w:color w:val="000000"/>
          <w:szCs w:val="21"/>
        </w:rPr>
      </w:pPr>
      <w:r>
        <w:rPr>
          <w:rFonts w:ascii="宋体" w:hAnsi="宋体"/>
          <w:color w:val="000000"/>
          <w:szCs w:val="21"/>
        </w:rPr>
        <w:t>承包人提交竣工付款申请单的期限：</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u w:val="single"/>
        </w:rPr>
      </w:pPr>
      <w:r>
        <w:rPr>
          <w:rFonts w:ascii="宋体" w:hAnsi="宋体"/>
          <w:color w:val="000000"/>
          <w:szCs w:val="21"/>
        </w:rPr>
        <w:t>竣工付款申请单应包括的内容：</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after="120" w:line="360" w:lineRule="auto"/>
        <w:ind w:firstLine="420" w:firstLineChars="200"/>
        <w:rPr>
          <w:rFonts w:ascii="宋体" w:hAnsi="宋体"/>
          <w:color w:val="000000"/>
          <w:szCs w:val="21"/>
        </w:rPr>
      </w:pPr>
      <w:r>
        <w:rPr>
          <w:rFonts w:ascii="宋体" w:hAnsi="宋体"/>
          <w:color w:val="000000"/>
          <w:szCs w:val="21"/>
        </w:rPr>
        <w:t>14.2 竣工结算审核</w:t>
      </w:r>
    </w:p>
    <w:p>
      <w:pPr>
        <w:pStyle w:val="167"/>
        <w:spacing w:line="360" w:lineRule="auto"/>
        <w:ind w:firstLine="420" w:firstLineChars="200"/>
        <w:jc w:val="left"/>
        <w:rPr>
          <w:rFonts w:ascii="宋体" w:hAnsi="宋体"/>
          <w:color w:val="000000"/>
          <w:szCs w:val="21"/>
        </w:rPr>
      </w:pPr>
      <w:r>
        <w:rPr>
          <w:rFonts w:ascii="宋体" w:hAnsi="宋体"/>
          <w:color w:val="000000"/>
          <w:szCs w:val="21"/>
        </w:rPr>
        <w:t>发包人</w:t>
      </w:r>
      <w:r>
        <w:rPr>
          <w:rFonts w:hint="eastAsia" w:ascii="宋体" w:hAnsi="宋体"/>
          <w:color w:val="000000"/>
          <w:szCs w:val="21"/>
        </w:rPr>
        <w:t>审批</w:t>
      </w:r>
      <w:r>
        <w:rPr>
          <w:rFonts w:ascii="宋体" w:hAnsi="宋体"/>
          <w:color w:val="000000"/>
          <w:szCs w:val="21"/>
        </w:rPr>
        <w:t>竣工付款申请单的期限：</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发包人完成竣工付款的期限：</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u w:val="single"/>
        </w:rPr>
      </w:pPr>
      <w:r>
        <w:rPr>
          <w:rFonts w:hint="eastAsia" w:ascii="宋体" w:hAnsi="宋体"/>
          <w:color w:val="000000"/>
          <w:szCs w:val="21"/>
        </w:rPr>
        <w:t>关于竣工付款证书异议部分复核的方式和程序：</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after="120" w:line="360" w:lineRule="auto"/>
        <w:ind w:firstLine="420" w:firstLineChars="200"/>
        <w:rPr>
          <w:rFonts w:ascii="宋体" w:hAnsi="宋体"/>
          <w:color w:val="000000"/>
          <w:szCs w:val="21"/>
        </w:rPr>
      </w:pPr>
      <w:r>
        <w:rPr>
          <w:rFonts w:ascii="宋体" w:hAnsi="宋体"/>
          <w:color w:val="000000"/>
          <w:szCs w:val="21"/>
        </w:rPr>
        <w:t>14.4 最终结清</w:t>
      </w:r>
    </w:p>
    <w:p>
      <w:pPr>
        <w:pStyle w:val="167"/>
        <w:spacing w:line="360" w:lineRule="auto"/>
        <w:ind w:firstLine="420" w:firstLineChars="200"/>
        <w:jc w:val="left"/>
        <w:rPr>
          <w:rFonts w:ascii="宋体" w:hAnsi="宋体"/>
          <w:color w:val="000000"/>
          <w:kern w:val="0"/>
          <w:szCs w:val="21"/>
        </w:rPr>
      </w:pPr>
      <w:r>
        <w:rPr>
          <w:rFonts w:ascii="宋体" w:hAnsi="宋体"/>
          <w:color w:val="000000"/>
          <w:kern w:val="0"/>
          <w:szCs w:val="21"/>
        </w:rPr>
        <w:t>14.4.1 最终结清申请单</w:t>
      </w:r>
    </w:p>
    <w:p>
      <w:pPr>
        <w:pStyle w:val="167"/>
        <w:spacing w:line="360" w:lineRule="auto"/>
        <w:ind w:firstLine="420" w:firstLineChars="200"/>
        <w:jc w:val="left"/>
        <w:rPr>
          <w:rFonts w:ascii="宋体" w:hAnsi="宋体"/>
          <w:color w:val="000000"/>
          <w:kern w:val="0"/>
          <w:szCs w:val="21"/>
        </w:rPr>
      </w:pPr>
      <w:r>
        <w:rPr>
          <w:rFonts w:ascii="宋体" w:hAnsi="宋体"/>
          <w:color w:val="000000"/>
          <w:kern w:val="0"/>
          <w:szCs w:val="21"/>
        </w:rPr>
        <w:t>承包人提交最终结清申请单的份数：</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kern w:val="0"/>
          <w:szCs w:val="21"/>
        </w:rPr>
        <w:t>承包人提交最终结算申请单的期限：</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 xml:space="preserve">。 </w:t>
      </w:r>
    </w:p>
    <w:p>
      <w:pPr>
        <w:pStyle w:val="167"/>
        <w:spacing w:line="360" w:lineRule="auto"/>
        <w:ind w:firstLine="420" w:firstLineChars="200"/>
        <w:jc w:val="left"/>
        <w:rPr>
          <w:rFonts w:ascii="宋体" w:hAnsi="宋体"/>
          <w:color w:val="000000"/>
          <w:szCs w:val="21"/>
        </w:rPr>
      </w:pPr>
      <w:r>
        <w:rPr>
          <w:rFonts w:ascii="宋体" w:hAnsi="宋体"/>
          <w:color w:val="000000"/>
          <w:szCs w:val="21"/>
        </w:rPr>
        <w:t>14.4.2 最终结清证书和支付</w:t>
      </w:r>
    </w:p>
    <w:p>
      <w:pPr>
        <w:pStyle w:val="167"/>
        <w:spacing w:line="360" w:lineRule="auto"/>
        <w:ind w:firstLine="420" w:firstLineChars="200"/>
        <w:jc w:val="left"/>
        <w:rPr>
          <w:rFonts w:ascii="宋体" w:hAnsi="宋体"/>
          <w:color w:val="000000"/>
          <w:szCs w:val="21"/>
        </w:rPr>
      </w:pPr>
      <w:r>
        <w:rPr>
          <w:rFonts w:ascii="宋体" w:hAnsi="宋体"/>
          <w:color w:val="000000"/>
          <w:szCs w:val="21"/>
        </w:rPr>
        <w:t>（1）发包人完成最终结清申请单的</w:t>
      </w:r>
      <w:r>
        <w:rPr>
          <w:rFonts w:hint="eastAsia" w:ascii="宋体" w:hAnsi="宋体"/>
          <w:color w:val="000000"/>
          <w:szCs w:val="21"/>
        </w:rPr>
        <w:t>审批</w:t>
      </w:r>
      <w:r>
        <w:rPr>
          <w:rFonts w:ascii="宋体" w:hAnsi="宋体"/>
          <w:color w:val="000000"/>
          <w:szCs w:val="21"/>
        </w:rPr>
        <w:t>并颁发最终结清证书的期限：</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（2）发包人完成支付的期限：</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bookmarkEnd w:id="899"/>
    <w:bookmarkEnd w:id="900"/>
    <w:bookmarkEnd w:id="901"/>
    <w:bookmarkEnd w:id="902"/>
    <w:bookmarkEnd w:id="903"/>
    <w:bookmarkEnd w:id="904"/>
    <w:bookmarkEnd w:id="905"/>
    <w:bookmarkEnd w:id="911"/>
    <w:p>
      <w:pPr>
        <w:pStyle w:val="167"/>
        <w:keepNext/>
        <w:keepLines/>
        <w:spacing w:before="120" w:after="120" w:line="360" w:lineRule="auto"/>
        <w:outlineLvl w:val="3"/>
        <w:rPr>
          <w:rFonts w:ascii="宋体" w:hAnsi="宋体"/>
          <w:bCs/>
          <w:color w:val="000000"/>
          <w:szCs w:val="21"/>
        </w:rPr>
      </w:pPr>
      <w:bookmarkStart w:id="913" w:name="_Toc351203647"/>
      <w:bookmarkStart w:id="914" w:name="_Toc267251483"/>
      <w:bookmarkStart w:id="915" w:name="_Toc267251484"/>
      <w:bookmarkStart w:id="916" w:name="_Toc267251482"/>
      <w:bookmarkStart w:id="917" w:name="_Toc267251485"/>
      <w:bookmarkStart w:id="918" w:name="_Toc267251490"/>
      <w:bookmarkStart w:id="919" w:name="_Toc267251488"/>
      <w:bookmarkStart w:id="920" w:name="_Toc267251486"/>
      <w:bookmarkStart w:id="921" w:name="_Toc267251489"/>
      <w:bookmarkStart w:id="922" w:name="_Toc267251492"/>
      <w:bookmarkStart w:id="923" w:name="_Toc267251498"/>
      <w:bookmarkStart w:id="924" w:name="_Toc267251493"/>
      <w:bookmarkStart w:id="925" w:name="_Toc267251496"/>
      <w:bookmarkStart w:id="926" w:name="_Toc267251494"/>
      <w:bookmarkStart w:id="927" w:name="_Toc267251502"/>
      <w:bookmarkStart w:id="928" w:name="_Toc267251501"/>
      <w:bookmarkStart w:id="929" w:name="_Toc267251497"/>
      <w:bookmarkStart w:id="930" w:name="_Toc267251495"/>
      <w:bookmarkStart w:id="931" w:name="_Toc267251491"/>
      <w:bookmarkStart w:id="932" w:name="_Toc267251499"/>
      <w:bookmarkStart w:id="933" w:name="_Toc267251503"/>
      <w:bookmarkStart w:id="934" w:name="_Toc267251504"/>
      <w:bookmarkStart w:id="935" w:name="_Toc267251506"/>
      <w:bookmarkStart w:id="936" w:name="_Toc267251507"/>
      <w:bookmarkStart w:id="937" w:name="_Toc267251508"/>
      <w:bookmarkStart w:id="938" w:name="_Toc267251513"/>
      <w:bookmarkStart w:id="939" w:name="_Toc267251511"/>
      <w:bookmarkStart w:id="940" w:name="_Toc267251515"/>
      <w:bookmarkStart w:id="941" w:name="_Toc267251514"/>
      <w:bookmarkStart w:id="942" w:name="_Toc267251510"/>
      <w:bookmarkStart w:id="943" w:name="_Toc267251509"/>
      <w:r>
        <w:rPr>
          <w:rFonts w:ascii="宋体" w:hAnsi="宋体"/>
          <w:bCs/>
          <w:color w:val="000000"/>
          <w:szCs w:val="21"/>
        </w:rPr>
        <w:t>15. 缺陷责任期与保修</w:t>
      </w:r>
      <w:bookmarkEnd w:id="913"/>
    </w:p>
    <w:p>
      <w:pPr>
        <w:pStyle w:val="167"/>
        <w:spacing w:after="120" w:line="360" w:lineRule="auto"/>
        <w:ind w:firstLine="420" w:firstLineChars="200"/>
        <w:rPr>
          <w:rFonts w:ascii="宋体" w:hAnsi="宋体"/>
          <w:color w:val="000000"/>
          <w:szCs w:val="21"/>
        </w:rPr>
      </w:pPr>
      <w:r>
        <w:rPr>
          <w:rFonts w:ascii="宋体" w:hAnsi="宋体"/>
          <w:color w:val="000000"/>
          <w:szCs w:val="21"/>
        </w:rPr>
        <w:t>15.2缺陷责任期</w:t>
      </w:r>
      <w:bookmarkEnd w:id="914"/>
    </w:p>
    <w:p>
      <w:pPr>
        <w:pStyle w:val="167"/>
        <w:spacing w:line="360" w:lineRule="auto"/>
        <w:ind w:firstLine="420" w:firstLineChars="200"/>
        <w:jc w:val="left"/>
        <w:rPr>
          <w:rFonts w:ascii="宋体" w:hAnsi="宋体"/>
          <w:color w:val="000000"/>
          <w:szCs w:val="21"/>
          <w:u w:val="single"/>
        </w:rPr>
      </w:pPr>
      <w:r>
        <w:rPr>
          <w:rFonts w:ascii="宋体" w:hAnsi="宋体"/>
          <w:color w:val="000000"/>
          <w:szCs w:val="21"/>
        </w:rPr>
        <w:t>缺陷责任期的具体期限：</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after="120" w:line="360" w:lineRule="auto"/>
        <w:ind w:firstLine="420" w:firstLineChars="200"/>
        <w:rPr>
          <w:rFonts w:ascii="宋体" w:hAnsi="宋体"/>
          <w:color w:val="000000"/>
          <w:szCs w:val="21"/>
        </w:rPr>
      </w:pPr>
      <w:r>
        <w:rPr>
          <w:rFonts w:ascii="宋体" w:hAnsi="宋体"/>
          <w:color w:val="000000"/>
          <w:szCs w:val="21"/>
        </w:rPr>
        <w:t>15.3 质量保证金</w:t>
      </w:r>
    </w:p>
    <w:p>
      <w:pPr>
        <w:pStyle w:val="167"/>
        <w:spacing w:line="360" w:lineRule="auto"/>
        <w:ind w:firstLine="420" w:firstLineChars="200"/>
        <w:jc w:val="left"/>
        <w:rPr>
          <w:rFonts w:hint="eastAsia" w:ascii="宋体" w:hAnsi="宋体"/>
          <w:color w:val="000000"/>
          <w:szCs w:val="21"/>
        </w:rPr>
      </w:pPr>
      <w:r>
        <w:rPr>
          <w:rFonts w:hint="eastAsia" w:ascii="宋体" w:hAnsi="宋体"/>
          <w:color w:val="000000"/>
          <w:szCs w:val="21"/>
        </w:rPr>
        <w:t>关于是否扣留质量保证金的约定：</w:t>
      </w:r>
      <w:r>
        <w:rPr>
          <w:rFonts w:ascii="宋体" w:hAnsi="宋体"/>
          <w:color w:val="000000"/>
          <w:szCs w:val="21"/>
        </w:rPr>
        <w:t>不得扣留。</w:t>
      </w:r>
    </w:p>
    <w:p>
      <w:pPr>
        <w:pStyle w:val="167"/>
        <w:spacing w:line="360" w:lineRule="auto"/>
        <w:ind w:firstLine="420" w:firstLineChars="200"/>
        <w:jc w:val="left"/>
        <w:rPr>
          <w:rFonts w:ascii="宋体" w:hAnsi="宋体"/>
          <w:color w:val="000000"/>
          <w:szCs w:val="21"/>
        </w:rPr>
      </w:pPr>
      <w:r>
        <w:rPr>
          <w:rFonts w:hint="eastAsia" w:ascii="宋体" w:hAnsi="宋体"/>
          <w:color w:val="000000"/>
          <w:szCs w:val="21"/>
        </w:rPr>
        <w:t>在工程项目竣工前，承包人按专用合同条款第3.7条提供履约担保的，发包人不得同时预留工程质量保证金。</w:t>
      </w:r>
    </w:p>
    <w:p>
      <w:pPr>
        <w:pStyle w:val="167"/>
        <w:spacing w:line="360" w:lineRule="auto"/>
        <w:ind w:firstLine="420" w:firstLineChars="200"/>
        <w:jc w:val="left"/>
        <w:rPr>
          <w:rFonts w:ascii="宋体" w:hAnsi="宋体"/>
          <w:color w:val="000000"/>
          <w:szCs w:val="21"/>
        </w:rPr>
      </w:pPr>
      <w:r>
        <w:rPr>
          <w:rFonts w:ascii="宋体" w:hAnsi="宋体"/>
          <w:color w:val="000000"/>
          <w:szCs w:val="21"/>
        </w:rPr>
        <w:t xml:space="preserve">15.3.1 </w:t>
      </w:r>
      <w:r>
        <w:rPr>
          <w:rFonts w:hint="eastAsia" w:ascii="宋体" w:hAnsi="宋体"/>
          <w:color w:val="000000"/>
          <w:szCs w:val="21"/>
        </w:rPr>
        <w:t>承包人提供</w:t>
      </w:r>
      <w:r>
        <w:rPr>
          <w:rFonts w:ascii="宋体" w:hAnsi="宋体"/>
          <w:color w:val="000000"/>
          <w:szCs w:val="21"/>
        </w:rPr>
        <w:t>质量保证金的</w:t>
      </w:r>
      <w:r>
        <w:rPr>
          <w:rFonts w:hint="eastAsia" w:ascii="宋体" w:hAnsi="宋体"/>
          <w:color w:val="000000"/>
          <w:szCs w:val="21"/>
        </w:rPr>
        <w:t>方</w:t>
      </w:r>
      <w:r>
        <w:rPr>
          <w:rFonts w:ascii="宋体" w:hAnsi="宋体"/>
          <w:color w:val="000000"/>
          <w:szCs w:val="21"/>
        </w:rPr>
        <w:t>式</w:t>
      </w:r>
    </w:p>
    <w:p>
      <w:pPr>
        <w:pStyle w:val="167"/>
        <w:spacing w:line="360" w:lineRule="auto"/>
        <w:ind w:firstLine="420" w:firstLineChars="200"/>
        <w:jc w:val="left"/>
        <w:rPr>
          <w:rFonts w:ascii="宋体" w:hAnsi="宋体"/>
          <w:color w:val="000000"/>
          <w:szCs w:val="21"/>
        </w:rPr>
      </w:pPr>
      <w:r>
        <w:rPr>
          <w:rFonts w:ascii="宋体" w:hAnsi="宋体"/>
          <w:color w:val="000000"/>
          <w:szCs w:val="21"/>
        </w:rPr>
        <w:t>质量保证金采用以下第</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种方式：</w:t>
      </w:r>
    </w:p>
    <w:p>
      <w:pPr>
        <w:pStyle w:val="167"/>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（1）质量保证金保函，保证金额为：</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ascii="宋体" w:hAnsi="宋体"/>
          <w:color w:val="000000"/>
          <w:kern w:val="0"/>
          <w:szCs w:val="21"/>
        </w:rPr>
        <w:t xml:space="preserve">； </w:t>
      </w:r>
    </w:p>
    <w:p>
      <w:pPr>
        <w:pStyle w:val="167"/>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（2）不得高于</w:t>
      </w:r>
      <w:r>
        <w:rPr>
          <w:rFonts w:hint="eastAsia" w:ascii="宋体" w:hAnsi="宋体"/>
          <w:color w:val="000000"/>
          <w:kern w:val="0"/>
          <w:szCs w:val="21"/>
        </w:rPr>
        <w:t>3</w:t>
      </w:r>
      <w:r>
        <w:rPr>
          <w:rFonts w:ascii="宋体" w:hAnsi="宋体"/>
          <w:color w:val="000000"/>
          <w:kern w:val="0"/>
          <w:szCs w:val="21"/>
        </w:rPr>
        <w:t>%的工程款；</w:t>
      </w:r>
    </w:p>
    <w:p>
      <w:pPr>
        <w:pStyle w:val="167"/>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（3）其他</w:t>
      </w:r>
      <w:r>
        <w:rPr>
          <w:rFonts w:hint="eastAsia" w:ascii="宋体" w:hAnsi="宋体"/>
          <w:color w:val="000000"/>
          <w:kern w:val="0"/>
          <w:szCs w:val="21"/>
        </w:rPr>
        <w:t>方</w:t>
      </w:r>
      <w:r>
        <w:rPr>
          <w:rFonts w:ascii="宋体" w:hAnsi="宋体"/>
          <w:color w:val="000000"/>
          <w:kern w:val="0"/>
          <w:szCs w:val="21"/>
        </w:rPr>
        <w:t>式:担保或者保函。</w:t>
      </w:r>
    </w:p>
    <w:p>
      <w:pPr>
        <w:pStyle w:val="167"/>
        <w:spacing w:line="360" w:lineRule="auto"/>
        <w:ind w:firstLine="420" w:firstLineChars="200"/>
        <w:jc w:val="left"/>
        <w:rPr>
          <w:rFonts w:ascii="宋体" w:hAnsi="宋体"/>
          <w:color w:val="000000"/>
          <w:szCs w:val="21"/>
        </w:rPr>
      </w:pPr>
      <w:r>
        <w:rPr>
          <w:rFonts w:ascii="宋体" w:hAnsi="宋体"/>
          <w:color w:val="000000"/>
          <w:szCs w:val="21"/>
        </w:rPr>
        <w:t xml:space="preserve">15.3.2 质量保证金的扣留 </w:t>
      </w:r>
    </w:p>
    <w:p>
      <w:pPr>
        <w:pStyle w:val="167"/>
        <w:spacing w:line="360" w:lineRule="auto"/>
        <w:ind w:firstLine="420" w:firstLineChars="200"/>
        <w:jc w:val="left"/>
        <w:rPr>
          <w:rFonts w:ascii="宋体" w:hAnsi="宋体"/>
          <w:color w:val="000000"/>
          <w:szCs w:val="21"/>
        </w:rPr>
      </w:pPr>
      <w:r>
        <w:rPr>
          <w:rFonts w:ascii="宋体" w:hAnsi="宋体"/>
          <w:color w:val="000000"/>
          <w:szCs w:val="21"/>
        </w:rPr>
        <w:t>质量保证金的扣留采取以下第</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种方式：</w:t>
      </w:r>
    </w:p>
    <w:p>
      <w:pPr>
        <w:pStyle w:val="167"/>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（1）在支付工程进度款时逐次扣留，在此情形下，质量保证金的计算基数不包括预付款的支付、扣回以及价格调整的金额；</w:t>
      </w:r>
    </w:p>
    <w:p>
      <w:pPr>
        <w:pStyle w:val="167"/>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（2）工程竣工结算时一次性扣留质量保证金；</w:t>
      </w:r>
    </w:p>
    <w:p>
      <w:pPr>
        <w:pStyle w:val="167"/>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（3）其他扣留方式:担保或者保函。</w:t>
      </w:r>
    </w:p>
    <w:p>
      <w:pPr>
        <w:pStyle w:val="167"/>
        <w:spacing w:line="360" w:lineRule="auto"/>
        <w:ind w:firstLine="420" w:firstLineChars="200"/>
        <w:jc w:val="left"/>
        <w:rPr>
          <w:rFonts w:ascii="宋体" w:hAnsi="宋体"/>
          <w:color w:val="000000"/>
          <w:kern w:val="0"/>
          <w:szCs w:val="21"/>
          <w:u w:val="single"/>
        </w:rPr>
      </w:pPr>
      <w:r>
        <w:rPr>
          <w:rFonts w:ascii="宋体" w:hAnsi="宋体"/>
          <w:color w:val="000000"/>
          <w:szCs w:val="21"/>
        </w:rPr>
        <w:t>关于质量保证金的补充约定：</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p>
    <w:p>
      <w:pPr>
        <w:pStyle w:val="167"/>
        <w:spacing w:line="360" w:lineRule="auto"/>
        <w:jc w:val="left"/>
        <w:rPr>
          <w:rFonts w:ascii="宋体" w:hAnsi="宋体"/>
          <w:color w:val="000000"/>
          <w:szCs w:val="21"/>
        </w:rPr>
      </w:pPr>
      <w:r>
        <w:rPr>
          <w:rFonts w:hint="eastAsia" w:ascii="宋体" w:hAnsi="宋体"/>
          <w:color w:val="000000"/>
          <w:kern w:val="0"/>
          <w:szCs w:val="21"/>
          <w:u w:val="single"/>
        </w:rPr>
        <w:t xml:space="preserve">                                                         </w:t>
      </w:r>
      <w:r>
        <w:rPr>
          <w:rFonts w:ascii="宋体" w:hAnsi="宋体"/>
          <w:color w:val="000000"/>
          <w:kern w:val="0"/>
          <w:szCs w:val="21"/>
        </w:rPr>
        <w:t>。</w:t>
      </w:r>
    </w:p>
    <w:bookmarkEnd w:id="915"/>
    <w:bookmarkEnd w:id="916"/>
    <w:p>
      <w:pPr>
        <w:pStyle w:val="167"/>
        <w:spacing w:after="120" w:line="360" w:lineRule="auto"/>
        <w:ind w:firstLine="420" w:firstLineChars="200"/>
        <w:rPr>
          <w:rFonts w:ascii="宋体" w:hAnsi="宋体"/>
          <w:color w:val="000000"/>
          <w:szCs w:val="21"/>
        </w:rPr>
      </w:pPr>
      <w:r>
        <w:rPr>
          <w:rFonts w:ascii="宋体" w:hAnsi="宋体"/>
          <w:color w:val="000000"/>
          <w:szCs w:val="21"/>
        </w:rPr>
        <w:t>15.4保修</w:t>
      </w:r>
    </w:p>
    <w:bookmarkEnd w:id="917"/>
    <w:p>
      <w:pPr>
        <w:pStyle w:val="167"/>
        <w:spacing w:line="360" w:lineRule="auto"/>
        <w:ind w:firstLine="409" w:firstLineChars="195"/>
        <w:jc w:val="left"/>
        <w:rPr>
          <w:rFonts w:ascii="宋体" w:hAnsi="宋体"/>
          <w:color w:val="000000"/>
          <w:szCs w:val="21"/>
        </w:rPr>
      </w:pPr>
      <w:r>
        <w:rPr>
          <w:rFonts w:ascii="宋体" w:hAnsi="宋体"/>
          <w:color w:val="000000"/>
          <w:szCs w:val="21"/>
        </w:rPr>
        <w:t>15.4.1 保修责任</w:t>
      </w:r>
    </w:p>
    <w:p>
      <w:pPr>
        <w:pStyle w:val="167"/>
        <w:spacing w:line="360" w:lineRule="auto"/>
        <w:ind w:firstLine="409" w:firstLineChars="195"/>
        <w:jc w:val="left"/>
        <w:rPr>
          <w:rFonts w:ascii="宋体" w:hAnsi="宋体"/>
          <w:color w:val="000000"/>
          <w:kern w:val="0"/>
          <w:szCs w:val="21"/>
          <w:u w:val="single"/>
        </w:rPr>
      </w:pPr>
      <w:r>
        <w:rPr>
          <w:rFonts w:ascii="宋体" w:hAnsi="宋体"/>
          <w:color w:val="000000"/>
          <w:szCs w:val="21"/>
        </w:rPr>
        <w:t>工程保修期为：</w:t>
      </w:r>
      <w:r>
        <w:rPr>
          <w:rFonts w:ascii="宋体" w:hAnsi="宋体"/>
          <w:color w:val="000000"/>
          <w:kern w:val="0"/>
          <w:szCs w:val="21"/>
          <w:u w:val="single"/>
        </w:rPr>
        <w:t xml:space="preserve">                                        </w:t>
      </w:r>
    </w:p>
    <w:p>
      <w:pPr>
        <w:pStyle w:val="167"/>
        <w:spacing w:line="360" w:lineRule="auto"/>
        <w:jc w:val="left"/>
        <w:rPr>
          <w:rFonts w:ascii="宋体" w:hAnsi="宋体"/>
          <w:color w:val="000000"/>
          <w:kern w:val="0"/>
          <w:szCs w:val="21"/>
        </w:rPr>
      </w:pP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ascii="宋体" w:hAnsi="宋体"/>
          <w:color w:val="000000"/>
          <w:kern w:val="0"/>
          <w:szCs w:val="21"/>
        </w:rPr>
        <w:t>。</w:t>
      </w:r>
    </w:p>
    <w:p>
      <w:pPr>
        <w:pStyle w:val="167"/>
        <w:spacing w:line="360" w:lineRule="auto"/>
        <w:ind w:firstLine="409" w:firstLineChars="195"/>
        <w:jc w:val="left"/>
        <w:rPr>
          <w:rFonts w:ascii="宋体" w:hAnsi="宋体"/>
          <w:color w:val="000000"/>
          <w:szCs w:val="21"/>
        </w:rPr>
      </w:pPr>
      <w:r>
        <w:rPr>
          <w:rFonts w:ascii="宋体" w:hAnsi="宋体"/>
          <w:color w:val="000000"/>
          <w:szCs w:val="21"/>
        </w:rPr>
        <w:t>15.4.3 修复通知</w:t>
      </w:r>
    </w:p>
    <w:p>
      <w:pPr>
        <w:pStyle w:val="167"/>
        <w:spacing w:line="360" w:lineRule="auto"/>
        <w:ind w:firstLine="409" w:firstLineChars="195"/>
        <w:jc w:val="left"/>
        <w:rPr>
          <w:rFonts w:ascii="宋体" w:hAnsi="宋体"/>
          <w:color w:val="000000"/>
          <w:kern w:val="0"/>
          <w:szCs w:val="21"/>
          <w:u w:val="single"/>
        </w:rPr>
      </w:pPr>
      <w:r>
        <w:rPr>
          <w:rFonts w:ascii="宋体" w:hAnsi="宋体"/>
          <w:color w:val="000000"/>
          <w:kern w:val="0"/>
          <w:szCs w:val="21"/>
        </w:rPr>
        <w:t>承包人收到保修通知并到达工程现场的合理时间：</w:t>
      </w:r>
      <w:r>
        <w:rPr>
          <w:rFonts w:ascii="宋体" w:hAnsi="宋体"/>
          <w:color w:val="000000"/>
          <w:kern w:val="0"/>
          <w:szCs w:val="21"/>
          <w:u w:val="single"/>
        </w:rPr>
        <w:t xml:space="preserve">          </w:t>
      </w:r>
    </w:p>
    <w:p>
      <w:pPr>
        <w:pStyle w:val="167"/>
        <w:spacing w:line="360" w:lineRule="auto"/>
        <w:jc w:val="left"/>
        <w:rPr>
          <w:rFonts w:ascii="宋体" w:hAnsi="宋体"/>
          <w:color w:val="000000"/>
          <w:kern w:val="0"/>
          <w:szCs w:val="21"/>
        </w:rPr>
      </w:pP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ascii="宋体" w:hAnsi="宋体"/>
          <w:color w:val="000000"/>
          <w:kern w:val="0"/>
          <w:szCs w:val="21"/>
        </w:rPr>
        <w:t>。</w:t>
      </w:r>
    </w:p>
    <w:bookmarkEnd w:id="918"/>
    <w:bookmarkEnd w:id="919"/>
    <w:bookmarkEnd w:id="920"/>
    <w:bookmarkEnd w:id="921"/>
    <w:p>
      <w:pPr>
        <w:pStyle w:val="167"/>
        <w:keepNext/>
        <w:keepLines/>
        <w:spacing w:before="120" w:after="120" w:line="360" w:lineRule="auto"/>
        <w:outlineLvl w:val="3"/>
        <w:rPr>
          <w:rFonts w:ascii="宋体" w:hAnsi="宋体"/>
          <w:bCs/>
          <w:color w:val="000000"/>
          <w:szCs w:val="21"/>
        </w:rPr>
      </w:pPr>
      <w:bookmarkStart w:id="944" w:name="_Toc351203648"/>
      <w:bookmarkStart w:id="945" w:name="_Toc280868717"/>
      <w:bookmarkStart w:id="946" w:name="_Toc280868718"/>
      <w:r>
        <w:rPr>
          <w:rFonts w:ascii="宋体" w:hAnsi="宋体"/>
          <w:bCs/>
          <w:color w:val="000000"/>
          <w:szCs w:val="21"/>
        </w:rPr>
        <w:t>16. 违约</w:t>
      </w:r>
      <w:bookmarkEnd w:id="944"/>
    </w:p>
    <w:p>
      <w:pPr>
        <w:pStyle w:val="167"/>
        <w:spacing w:after="120" w:line="360" w:lineRule="auto"/>
        <w:ind w:firstLine="420" w:firstLineChars="200"/>
        <w:rPr>
          <w:rFonts w:ascii="宋体" w:hAnsi="宋体"/>
          <w:color w:val="000000"/>
          <w:szCs w:val="21"/>
        </w:rPr>
      </w:pPr>
      <w:r>
        <w:rPr>
          <w:rFonts w:ascii="宋体" w:hAnsi="宋体"/>
          <w:color w:val="000000"/>
          <w:szCs w:val="21"/>
        </w:rPr>
        <w:t>16.1 发包人违约</w:t>
      </w:r>
    </w:p>
    <w:p>
      <w:pPr>
        <w:pStyle w:val="167"/>
        <w:spacing w:line="360" w:lineRule="auto"/>
        <w:ind w:firstLine="420" w:firstLineChars="200"/>
        <w:jc w:val="left"/>
        <w:rPr>
          <w:rFonts w:ascii="宋体" w:hAnsi="宋体"/>
          <w:color w:val="000000"/>
          <w:szCs w:val="21"/>
        </w:rPr>
      </w:pPr>
      <w:r>
        <w:rPr>
          <w:rFonts w:ascii="宋体" w:hAnsi="宋体"/>
          <w:color w:val="000000"/>
          <w:szCs w:val="21"/>
        </w:rPr>
        <w:t>16.1.1发包人违约的情形</w:t>
      </w:r>
    </w:p>
    <w:p>
      <w:pPr>
        <w:pStyle w:val="167"/>
        <w:spacing w:line="360" w:lineRule="auto"/>
        <w:ind w:firstLine="420" w:firstLineChars="200"/>
        <w:jc w:val="left"/>
        <w:rPr>
          <w:rFonts w:ascii="宋体" w:hAnsi="宋体"/>
          <w:color w:val="000000"/>
          <w:kern w:val="0"/>
          <w:szCs w:val="21"/>
          <w:u w:val="single"/>
        </w:rPr>
      </w:pPr>
      <w:r>
        <w:rPr>
          <w:rFonts w:ascii="宋体" w:hAnsi="宋体"/>
          <w:color w:val="000000"/>
          <w:kern w:val="0"/>
          <w:szCs w:val="21"/>
        </w:rPr>
        <w:t>发包人违约的其他情形：</w:t>
      </w:r>
      <w:r>
        <w:rPr>
          <w:rFonts w:ascii="宋体" w:hAnsi="宋体"/>
          <w:color w:val="000000"/>
          <w:kern w:val="0"/>
          <w:szCs w:val="21"/>
          <w:u w:val="single"/>
        </w:rPr>
        <w:t xml:space="preserve">                                </w:t>
      </w:r>
    </w:p>
    <w:p>
      <w:pPr>
        <w:pStyle w:val="167"/>
        <w:spacing w:line="360" w:lineRule="auto"/>
        <w:ind w:left="1050" w:hanging="1050" w:hangingChars="500"/>
        <w:jc w:val="left"/>
        <w:rPr>
          <w:rFonts w:ascii="宋体" w:hAnsi="宋体"/>
          <w:color w:val="000000"/>
          <w:kern w:val="0"/>
          <w:szCs w:val="21"/>
        </w:rPr>
      </w:pP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ascii="宋体" w:hAnsi="宋体"/>
          <w:color w:val="000000"/>
          <w:kern w:val="0"/>
          <w:szCs w:val="21"/>
        </w:rPr>
        <w:t>。</w:t>
      </w:r>
    </w:p>
    <w:p>
      <w:pPr>
        <w:pStyle w:val="167"/>
        <w:spacing w:line="360" w:lineRule="auto"/>
        <w:ind w:left="1050" w:hanging="1050" w:hangingChars="500"/>
        <w:jc w:val="left"/>
        <w:rPr>
          <w:rFonts w:ascii="宋体" w:hAnsi="宋体"/>
          <w:color w:val="000000"/>
          <w:kern w:val="0"/>
          <w:szCs w:val="21"/>
        </w:rPr>
      </w:pPr>
      <w:r>
        <w:rPr>
          <w:rFonts w:ascii="宋体" w:hAnsi="宋体"/>
          <w:color w:val="000000"/>
          <w:kern w:val="0"/>
          <w:szCs w:val="21"/>
        </w:rPr>
        <w:t xml:space="preserve">    16.1.2 发包人违约的责任</w:t>
      </w:r>
    </w:p>
    <w:p>
      <w:pPr>
        <w:pStyle w:val="167"/>
        <w:spacing w:line="360" w:lineRule="auto"/>
        <w:ind w:firstLine="420" w:firstLineChars="200"/>
        <w:jc w:val="left"/>
        <w:rPr>
          <w:rFonts w:ascii="宋体" w:hAnsi="宋体"/>
          <w:color w:val="000000"/>
          <w:kern w:val="0"/>
          <w:szCs w:val="21"/>
        </w:rPr>
      </w:pPr>
      <w:r>
        <w:rPr>
          <w:rFonts w:ascii="宋体" w:hAnsi="宋体"/>
          <w:color w:val="000000"/>
          <w:kern w:val="0"/>
          <w:szCs w:val="21"/>
        </w:rPr>
        <w:t>发包人违约责任的承担方式和计算方法：</w:t>
      </w:r>
    </w:p>
    <w:p>
      <w:pPr>
        <w:pStyle w:val="167"/>
        <w:spacing w:line="360" w:lineRule="auto"/>
        <w:ind w:firstLine="420" w:firstLineChars="200"/>
        <w:jc w:val="left"/>
        <w:rPr>
          <w:rFonts w:ascii="宋体" w:hAnsi="宋体"/>
          <w:color w:val="000000"/>
          <w:kern w:val="0"/>
          <w:szCs w:val="21"/>
          <w:u w:val="single"/>
        </w:rPr>
      </w:pPr>
      <w:r>
        <w:rPr>
          <w:rFonts w:ascii="宋体" w:hAnsi="宋体"/>
          <w:color w:val="000000"/>
          <w:kern w:val="0"/>
          <w:szCs w:val="21"/>
        </w:rPr>
        <w:t>（1）因发包人原因未能在计划开工日期前7天内下达开工通知的违约责任：</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rPr>
        <w:t>。</w:t>
      </w:r>
    </w:p>
    <w:p>
      <w:pPr>
        <w:pStyle w:val="167"/>
        <w:spacing w:line="360" w:lineRule="auto"/>
        <w:ind w:firstLine="420" w:firstLineChars="200"/>
        <w:jc w:val="left"/>
        <w:rPr>
          <w:rFonts w:ascii="宋体" w:hAnsi="宋体"/>
          <w:color w:val="000000"/>
          <w:kern w:val="0"/>
          <w:szCs w:val="21"/>
        </w:rPr>
      </w:pPr>
      <w:r>
        <w:rPr>
          <w:rFonts w:ascii="宋体" w:hAnsi="宋体"/>
          <w:color w:val="000000"/>
          <w:kern w:val="0"/>
          <w:szCs w:val="21"/>
        </w:rPr>
        <w:t>（2）因发包人原因未能按合同约定支付合同价款的违约责任：</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ascii="宋体" w:hAnsi="宋体"/>
          <w:color w:val="000000"/>
          <w:kern w:val="0"/>
          <w:szCs w:val="21"/>
        </w:rPr>
        <w:t>。</w:t>
      </w:r>
    </w:p>
    <w:p>
      <w:pPr>
        <w:pStyle w:val="167"/>
        <w:spacing w:line="360" w:lineRule="auto"/>
        <w:ind w:firstLine="420" w:firstLineChars="200"/>
        <w:jc w:val="left"/>
        <w:rPr>
          <w:rFonts w:ascii="宋体" w:hAnsi="宋体"/>
          <w:color w:val="000000"/>
          <w:kern w:val="0"/>
          <w:szCs w:val="21"/>
          <w:u w:val="single"/>
        </w:rPr>
      </w:pPr>
      <w:r>
        <w:rPr>
          <w:rFonts w:ascii="宋体" w:hAnsi="宋体"/>
          <w:color w:val="000000"/>
          <w:kern w:val="0"/>
          <w:szCs w:val="21"/>
        </w:rPr>
        <w:t>（3）发包人违反第10.1款</w:t>
      </w:r>
      <w:r>
        <w:rPr>
          <w:rFonts w:hint="eastAsia" w:ascii="宋体" w:hAnsi="宋体"/>
          <w:color w:val="000000"/>
          <w:kern w:val="0"/>
          <w:szCs w:val="21"/>
        </w:rPr>
        <w:t>〔</w:t>
      </w:r>
      <w:r>
        <w:rPr>
          <w:rFonts w:ascii="宋体" w:hAnsi="宋体"/>
          <w:color w:val="000000"/>
          <w:kern w:val="0"/>
          <w:szCs w:val="21"/>
        </w:rPr>
        <w:t>变更的范围</w:t>
      </w:r>
      <w:r>
        <w:rPr>
          <w:rFonts w:hint="eastAsia" w:ascii="宋体" w:hAnsi="宋体"/>
          <w:color w:val="000000"/>
          <w:kern w:val="0"/>
          <w:szCs w:val="21"/>
        </w:rPr>
        <w:t>〕</w:t>
      </w:r>
      <w:r>
        <w:rPr>
          <w:rFonts w:ascii="宋体" w:hAnsi="宋体"/>
          <w:color w:val="000000"/>
          <w:kern w:val="0"/>
          <w:szCs w:val="21"/>
        </w:rPr>
        <w:t>第（2）项约定，自行实施被取消的工作或转由他人实施的违约责任：</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p>
    <w:p>
      <w:pPr>
        <w:pStyle w:val="167"/>
        <w:spacing w:line="360" w:lineRule="auto"/>
        <w:jc w:val="left"/>
        <w:rPr>
          <w:rFonts w:ascii="宋体" w:hAnsi="宋体"/>
          <w:color w:val="000000"/>
          <w:kern w:val="0"/>
          <w:szCs w:val="21"/>
        </w:rPr>
      </w:pP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ascii="宋体" w:hAnsi="宋体"/>
          <w:color w:val="000000"/>
          <w:kern w:val="0"/>
          <w:szCs w:val="21"/>
        </w:rPr>
        <w:t>。</w:t>
      </w:r>
    </w:p>
    <w:p>
      <w:pPr>
        <w:pStyle w:val="167"/>
        <w:spacing w:line="360" w:lineRule="auto"/>
        <w:ind w:firstLine="420" w:firstLineChars="200"/>
        <w:jc w:val="left"/>
        <w:rPr>
          <w:rFonts w:ascii="宋体" w:hAnsi="宋体"/>
          <w:color w:val="000000"/>
          <w:kern w:val="0"/>
          <w:szCs w:val="21"/>
        </w:rPr>
      </w:pPr>
      <w:r>
        <w:rPr>
          <w:rFonts w:ascii="宋体" w:hAnsi="宋体"/>
          <w:color w:val="000000"/>
          <w:kern w:val="0"/>
          <w:szCs w:val="21"/>
        </w:rPr>
        <w:t>（4）发包人提供的材料、工程设备的规格、数量或质量不符合合同约定，或因发包人原因导致交货日期延误或交货地点变更等情况的违约责任：</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ascii="宋体" w:hAnsi="宋体"/>
          <w:color w:val="000000"/>
          <w:kern w:val="0"/>
          <w:szCs w:val="21"/>
        </w:rPr>
        <w:t>。</w:t>
      </w:r>
    </w:p>
    <w:p>
      <w:pPr>
        <w:pStyle w:val="167"/>
        <w:spacing w:line="360" w:lineRule="auto"/>
        <w:ind w:firstLine="420" w:firstLineChars="200"/>
        <w:jc w:val="left"/>
        <w:rPr>
          <w:rFonts w:ascii="宋体" w:hAnsi="宋体"/>
          <w:color w:val="000000"/>
          <w:kern w:val="0"/>
          <w:szCs w:val="21"/>
          <w:u w:val="single"/>
        </w:rPr>
      </w:pPr>
      <w:r>
        <w:rPr>
          <w:rFonts w:ascii="宋体" w:hAnsi="宋体"/>
          <w:color w:val="000000"/>
          <w:kern w:val="0"/>
          <w:szCs w:val="21"/>
        </w:rPr>
        <w:t>（5）因发包人违反合同约定造成暂停施工的违约责任：</w:t>
      </w:r>
      <w:r>
        <w:rPr>
          <w:rFonts w:ascii="宋体" w:hAnsi="宋体"/>
          <w:color w:val="000000"/>
          <w:kern w:val="0"/>
          <w:szCs w:val="21"/>
          <w:u w:val="single"/>
        </w:rPr>
        <w:t xml:space="preserve">     </w:t>
      </w:r>
    </w:p>
    <w:p>
      <w:pPr>
        <w:pStyle w:val="167"/>
        <w:spacing w:line="360" w:lineRule="auto"/>
        <w:jc w:val="left"/>
        <w:rPr>
          <w:rFonts w:ascii="宋体" w:hAnsi="宋体"/>
          <w:color w:val="000000"/>
          <w:kern w:val="0"/>
          <w:szCs w:val="21"/>
        </w:rPr>
      </w:pP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ascii="宋体" w:hAnsi="宋体"/>
          <w:color w:val="000000"/>
          <w:kern w:val="0"/>
          <w:szCs w:val="21"/>
        </w:rPr>
        <w:t>。</w:t>
      </w:r>
    </w:p>
    <w:p>
      <w:pPr>
        <w:pStyle w:val="167"/>
        <w:spacing w:line="360" w:lineRule="auto"/>
        <w:ind w:firstLine="420" w:firstLineChars="200"/>
        <w:jc w:val="left"/>
        <w:rPr>
          <w:rFonts w:ascii="宋体" w:hAnsi="宋体"/>
          <w:color w:val="000000"/>
          <w:kern w:val="0"/>
          <w:szCs w:val="21"/>
        </w:rPr>
      </w:pPr>
      <w:r>
        <w:rPr>
          <w:rFonts w:ascii="宋体" w:hAnsi="宋体"/>
          <w:color w:val="000000"/>
          <w:kern w:val="0"/>
          <w:szCs w:val="21"/>
        </w:rPr>
        <w:t>（6）发包人无正当理由没有在约定期限内发出复工指示，导致承包人无法复工的违约责任：</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ascii="宋体" w:hAnsi="宋体"/>
          <w:color w:val="000000"/>
          <w:kern w:val="0"/>
          <w:szCs w:val="21"/>
        </w:rPr>
        <w:t>。</w:t>
      </w:r>
    </w:p>
    <w:p>
      <w:pPr>
        <w:pStyle w:val="167"/>
        <w:spacing w:line="360" w:lineRule="auto"/>
        <w:ind w:firstLine="420" w:firstLineChars="200"/>
        <w:jc w:val="left"/>
        <w:rPr>
          <w:rFonts w:ascii="宋体" w:hAnsi="宋体"/>
          <w:color w:val="000000"/>
          <w:kern w:val="0"/>
          <w:szCs w:val="21"/>
        </w:rPr>
      </w:pPr>
      <w:r>
        <w:rPr>
          <w:rFonts w:ascii="宋体" w:hAnsi="宋体"/>
          <w:color w:val="000000"/>
          <w:kern w:val="0"/>
          <w:szCs w:val="21"/>
        </w:rPr>
        <w:t>（7）</w:t>
      </w:r>
      <w:r>
        <w:rPr>
          <w:rFonts w:hint="eastAsia" w:ascii="宋体" w:hAnsi="宋体"/>
          <w:color w:val="000000"/>
          <w:kern w:val="0"/>
          <w:szCs w:val="21"/>
        </w:rPr>
        <w:t>其他：</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16.1.3 因发包人违约解除合同</w:t>
      </w:r>
    </w:p>
    <w:p>
      <w:pPr>
        <w:pStyle w:val="167"/>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承包人按16.1.1项</w:t>
      </w:r>
      <w:r>
        <w:rPr>
          <w:rFonts w:hint="eastAsia" w:ascii="宋体" w:hAnsi="宋体"/>
          <w:color w:val="000000"/>
          <w:kern w:val="0"/>
          <w:szCs w:val="21"/>
        </w:rPr>
        <w:t>〔</w:t>
      </w:r>
      <w:r>
        <w:rPr>
          <w:rFonts w:ascii="宋体" w:hAnsi="宋体"/>
          <w:color w:val="000000"/>
          <w:kern w:val="0"/>
          <w:szCs w:val="21"/>
        </w:rPr>
        <w:t>发包人违约的情形</w:t>
      </w:r>
      <w:r>
        <w:rPr>
          <w:rFonts w:hint="eastAsia" w:ascii="宋体" w:hAnsi="宋体"/>
          <w:color w:val="000000"/>
          <w:kern w:val="0"/>
          <w:szCs w:val="21"/>
        </w:rPr>
        <w:t>〕</w:t>
      </w:r>
      <w:r>
        <w:rPr>
          <w:rFonts w:ascii="宋体" w:hAnsi="宋体"/>
          <w:color w:val="000000"/>
          <w:kern w:val="0"/>
          <w:szCs w:val="21"/>
        </w:rPr>
        <w:t>约定暂停施工满</w:t>
      </w:r>
      <w:r>
        <w:rPr>
          <w:rFonts w:ascii="宋体" w:hAnsi="宋体"/>
          <w:color w:val="000000"/>
          <w:kern w:val="0"/>
          <w:szCs w:val="21"/>
          <w:u w:val="single"/>
        </w:rPr>
        <w:t xml:space="preserve">    </w:t>
      </w:r>
      <w:r>
        <w:rPr>
          <w:rFonts w:ascii="宋体" w:hAnsi="宋体"/>
          <w:color w:val="000000"/>
          <w:kern w:val="0"/>
          <w:szCs w:val="21"/>
        </w:rPr>
        <w:t>天后发包人仍不纠正其违约行为并致使合同目的不能实现的，承包人有权解除合同。</w:t>
      </w:r>
    </w:p>
    <w:p>
      <w:pPr>
        <w:pStyle w:val="167"/>
        <w:spacing w:after="120" w:line="360" w:lineRule="auto"/>
        <w:ind w:firstLine="420" w:firstLineChars="200"/>
        <w:rPr>
          <w:rFonts w:ascii="宋体" w:hAnsi="宋体"/>
          <w:color w:val="000000"/>
          <w:szCs w:val="21"/>
        </w:rPr>
      </w:pPr>
      <w:r>
        <w:rPr>
          <w:rFonts w:ascii="宋体" w:hAnsi="宋体"/>
          <w:color w:val="000000"/>
          <w:szCs w:val="21"/>
        </w:rPr>
        <w:t>16.2 承包人违约</w:t>
      </w:r>
    </w:p>
    <w:p>
      <w:pPr>
        <w:pStyle w:val="167"/>
        <w:spacing w:line="360" w:lineRule="auto"/>
        <w:ind w:firstLine="420" w:firstLineChars="200"/>
        <w:jc w:val="left"/>
        <w:rPr>
          <w:rFonts w:ascii="宋体" w:hAnsi="宋体"/>
          <w:color w:val="000000"/>
          <w:kern w:val="0"/>
          <w:szCs w:val="21"/>
        </w:rPr>
      </w:pPr>
      <w:r>
        <w:rPr>
          <w:rFonts w:ascii="宋体" w:hAnsi="宋体"/>
          <w:color w:val="000000"/>
          <w:kern w:val="0"/>
          <w:szCs w:val="21"/>
        </w:rPr>
        <w:t>16.2.1 承包人违约的情形</w:t>
      </w:r>
    </w:p>
    <w:p>
      <w:pPr>
        <w:pStyle w:val="167"/>
        <w:spacing w:line="360" w:lineRule="auto"/>
        <w:ind w:firstLine="420" w:firstLineChars="200"/>
        <w:jc w:val="left"/>
        <w:rPr>
          <w:rFonts w:ascii="宋体" w:hAnsi="宋体"/>
          <w:color w:val="000000"/>
          <w:kern w:val="0"/>
          <w:szCs w:val="21"/>
          <w:u w:val="single"/>
        </w:rPr>
      </w:pPr>
      <w:r>
        <w:rPr>
          <w:rFonts w:ascii="宋体" w:hAnsi="宋体"/>
          <w:color w:val="000000"/>
          <w:kern w:val="0"/>
          <w:szCs w:val="21"/>
        </w:rPr>
        <w:t>承包人违约的其他情形：</w:t>
      </w:r>
      <w:r>
        <w:rPr>
          <w:rFonts w:ascii="宋体" w:hAnsi="宋体"/>
          <w:color w:val="000000"/>
          <w:kern w:val="0"/>
          <w:szCs w:val="21"/>
          <w:u w:val="single"/>
        </w:rPr>
        <w:t xml:space="preserve">                                </w:t>
      </w:r>
    </w:p>
    <w:p>
      <w:pPr>
        <w:pStyle w:val="167"/>
        <w:spacing w:line="360" w:lineRule="auto"/>
        <w:jc w:val="left"/>
        <w:rPr>
          <w:rFonts w:ascii="宋体" w:hAnsi="宋体"/>
          <w:color w:val="000000"/>
          <w:kern w:val="0"/>
          <w:szCs w:val="21"/>
        </w:rPr>
      </w:pP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ascii="宋体" w:hAnsi="宋体"/>
          <w:color w:val="000000"/>
          <w:kern w:val="0"/>
          <w:szCs w:val="21"/>
        </w:rPr>
        <w:t>。</w:t>
      </w:r>
    </w:p>
    <w:p>
      <w:pPr>
        <w:pStyle w:val="167"/>
        <w:spacing w:line="360" w:lineRule="auto"/>
        <w:ind w:firstLine="420" w:firstLineChars="200"/>
        <w:jc w:val="left"/>
        <w:rPr>
          <w:rFonts w:ascii="宋体" w:hAnsi="宋体"/>
          <w:color w:val="000000"/>
          <w:kern w:val="0"/>
          <w:szCs w:val="21"/>
        </w:rPr>
      </w:pPr>
      <w:r>
        <w:rPr>
          <w:rFonts w:ascii="宋体" w:hAnsi="宋体"/>
          <w:color w:val="000000"/>
          <w:kern w:val="0"/>
          <w:szCs w:val="21"/>
        </w:rPr>
        <w:t>16.2.2承包人违约的责任</w:t>
      </w:r>
    </w:p>
    <w:p>
      <w:pPr>
        <w:pStyle w:val="167"/>
        <w:spacing w:line="360" w:lineRule="auto"/>
        <w:ind w:firstLine="420" w:firstLineChars="200"/>
        <w:jc w:val="left"/>
        <w:rPr>
          <w:rFonts w:ascii="宋体" w:hAnsi="宋体"/>
          <w:color w:val="000000"/>
          <w:kern w:val="0"/>
          <w:szCs w:val="21"/>
          <w:u w:val="single"/>
        </w:rPr>
      </w:pPr>
      <w:r>
        <w:rPr>
          <w:rFonts w:ascii="宋体" w:hAnsi="宋体"/>
          <w:color w:val="000000"/>
          <w:kern w:val="0"/>
          <w:szCs w:val="21"/>
        </w:rPr>
        <w:t>承包人违约责任的承担方式和计算方法：</w:t>
      </w:r>
      <w:r>
        <w:rPr>
          <w:rFonts w:ascii="宋体" w:hAnsi="宋体"/>
          <w:color w:val="000000"/>
          <w:kern w:val="0"/>
          <w:szCs w:val="21"/>
          <w:u w:val="single"/>
        </w:rPr>
        <w:t xml:space="preserve">                  </w:t>
      </w:r>
    </w:p>
    <w:p>
      <w:pPr>
        <w:pStyle w:val="167"/>
        <w:spacing w:line="360" w:lineRule="auto"/>
        <w:ind w:left="1050" w:hanging="1050" w:hangingChars="500"/>
        <w:jc w:val="left"/>
        <w:rPr>
          <w:rFonts w:ascii="宋体" w:hAnsi="宋体"/>
          <w:color w:val="000000"/>
          <w:kern w:val="0"/>
          <w:szCs w:val="21"/>
          <w:u w:val="single"/>
        </w:rPr>
      </w:pPr>
      <w:r>
        <w:rPr>
          <w:rFonts w:ascii="宋体" w:hAnsi="宋体"/>
          <w:color w:val="000000"/>
          <w:kern w:val="0"/>
          <w:szCs w:val="21"/>
          <w:u w:val="single"/>
        </w:rPr>
        <w:t xml:space="preserve">                                                         </w:t>
      </w:r>
      <w:r>
        <w:rPr>
          <w:rFonts w:ascii="宋体" w:hAnsi="宋体"/>
          <w:color w:val="000000"/>
          <w:kern w:val="0"/>
          <w:szCs w:val="21"/>
        </w:rPr>
        <w:t>。</w:t>
      </w:r>
      <w:r>
        <w:rPr>
          <w:rFonts w:ascii="宋体" w:hAnsi="宋体"/>
          <w:color w:val="000000"/>
          <w:szCs w:val="21"/>
        </w:rPr>
        <w:t xml:space="preserve">    </w:t>
      </w:r>
    </w:p>
    <w:p>
      <w:pPr>
        <w:pStyle w:val="167"/>
        <w:spacing w:line="360" w:lineRule="auto"/>
        <w:ind w:firstLine="420" w:firstLineChars="200"/>
        <w:jc w:val="left"/>
        <w:rPr>
          <w:rFonts w:ascii="宋体" w:hAnsi="宋体"/>
          <w:color w:val="000000"/>
          <w:szCs w:val="21"/>
        </w:rPr>
      </w:pPr>
      <w:r>
        <w:rPr>
          <w:rFonts w:ascii="宋体" w:hAnsi="宋体"/>
          <w:color w:val="000000"/>
          <w:szCs w:val="21"/>
        </w:rPr>
        <w:t>16.2.3 因承包人违约解除合同</w:t>
      </w:r>
    </w:p>
    <w:p>
      <w:pPr>
        <w:pStyle w:val="167"/>
        <w:spacing w:before="120" w:after="120" w:line="360" w:lineRule="auto"/>
        <w:ind w:firstLine="420" w:firstLineChars="200"/>
        <w:rPr>
          <w:rFonts w:ascii="宋体" w:hAnsi="宋体"/>
          <w:color w:val="000000"/>
          <w:kern w:val="0"/>
          <w:szCs w:val="21"/>
          <w:u w:val="single"/>
        </w:rPr>
      </w:pPr>
      <w:r>
        <w:rPr>
          <w:rFonts w:ascii="宋体" w:hAnsi="宋体"/>
          <w:color w:val="000000"/>
          <w:kern w:val="0"/>
          <w:szCs w:val="21"/>
        </w:rPr>
        <w:t>关于承包人违约解除合同的特别约定：</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p>
    <w:p>
      <w:pPr>
        <w:pStyle w:val="167"/>
        <w:spacing w:before="120" w:after="120" w:line="360" w:lineRule="auto"/>
        <w:rPr>
          <w:rFonts w:ascii="宋体" w:hAnsi="宋体"/>
          <w:color w:val="000000"/>
          <w:kern w:val="0"/>
          <w:szCs w:val="21"/>
        </w:rPr>
      </w:pP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ascii="宋体" w:hAnsi="宋体"/>
          <w:color w:val="000000"/>
          <w:kern w:val="0"/>
          <w:szCs w:val="21"/>
        </w:rPr>
        <w:t>。</w:t>
      </w:r>
    </w:p>
    <w:p>
      <w:pPr>
        <w:pStyle w:val="167"/>
        <w:spacing w:before="120" w:after="120" w:line="360" w:lineRule="auto"/>
        <w:ind w:firstLine="420" w:firstLineChars="200"/>
        <w:rPr>
          <w:rFonts w:ascii="宋体" w:hAnsi="宋体"/>
          <w:color w:val="000000"/>
          <w:kern w:val="0"/>
          <w:szCs w:val="21"/>
        </w:rPr>
      </w:pPr>
      <w:r>
        <w:rPr>
          <w:rFonts w:ascii="宋体" w:hAnsi="宋体"/>
          <w:color w:val="000000"/>
          <w:kern w:val="0"/>
          <w:szCs w:val="21"/>
        </w:rPr>
        <w:t>发包人</w:t>
      </w:r>
      <w:r>
        <w:rPr>
          <w:rFonts w:hint="eastAsia" w:ascii="宋体" w:hAnsi="宋体"/>
          <w:color w:val="000000"/>
          <w:kern w:val="0"/>
          <w:szCs w:val="21"/>
        </w:rPr>
        <w:t>继续</w:t>
      </w:r>
      <w:r>
        <w:rPr>
          <w:rFonts w:ascii="宋体" w:hAnsi="宋体"/>
          <w:color w:val="000000"/>
          <w:kern w:val="0"/>
          <w:szCs w:val="21"/>
        </w:rPr>
        <w:t>使用承包人在施工现场的材料、设备、临时工程、承包人文件和由承包人或以其名义编制的其他文件</w:t>
      </w:r>
      <w:r>
        <w:rPr>
          <w:rFonts w:hint="eastAsia" w:ascii="宋体" w:hAnsi="宋体"/>
          <w:color w:val="000000"/>
          <w:kern w:val="0"/>
          <w:szCs w:val="21"/>
        </w:rPr>
        <w:t>的费用承担方式</w:t>
      </w:r>
      <w:r>
        <w:rPr>
          <w:rFonts w:ascii="宋体" w:hAnsi="宋体"/>
          <w:color w:val="000000"/>
          <w:kern w:val="0"/>
          <w:szCs w:val="21"/>
        </w:rPr>
        <w:t>：</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hint="eastAsia" w:ascii="宋体" w:hAnsi="宋体"/>
          <w:color w:val="000000"/>
          <w:kern w:val="0"/>
          <w:szCs w:val="21"/>
        </w:rPr>
        <w:t>。</w:t>
      </w:r>
    </w:p>
    <w:p>
      <w:pPr>
        <w:pStyle w:val="167"/>
        <w:keepNext/>
        <w:keepLines/>
        <w:spacing w:before="120" w:after="120" w:line="360" w:lineRule="auto"/>
        <w:outlineLvl w:val="3"/>
        <w:rPr>
          <w:rFonts w:ascii="宋体" w:hAnsi="宋体"/>
          <w:bCs/>
          <w:color w:val="000000"/>
          <w:szCs w:val="21"/>
        </w:rPr>
      </w:pPr>
      <w:bookmarkStart w:id="947" w:name="_Toc351203649"/>
      <w:r>
        <w:rPr>
          <w:rFonts w:ascii="宋体" w:hAnsi="宋体"/>
          <w:bCs/>
          <w:color w:val="000000"/>
          <w:szCs w:val="21"/>
        </w:rPr>
        <w:t>17. 不可抗力</w:t>
      </w:r>
      <w:bookmarkEnd w:id="947"/>
      <w:r>
        <w:rPr>
          <w:rFonts w:ascii="宋体" w:hAnsi="宋体"/>
          <w:bCs/>
          <w:color w:val="000000"/>
          <w:szCs w:val="21"/>
        </w:rPr>
        <w:t xml:space="preserve"> </w:t>
      </w:r>
      <w:bookmarkEnd w:id="945"/>
    </w:p>
    <w:p>
      <w:pPr>
        <w:pStyle w:val="167"/>
        <w:spacing w:after="120" w:line="360" w:lineRule="auto"/>
        <w:ind w:firstLine="420" w:firstLineChars="200"/>
        <w:rPr>
          <w:rFonts w:ascii="宋体" w:hAnsi="宋体"/>
          <w:color w:val="000000"/>
          <w:szCs w:val="21"/>
        </w:rPr>
      </w:pPr>
      <w:r>
        <w:rPr>
          <w:rFonts w:ascii="宋体" w:hAnsi="宋体"/>
          <w:color w:val="000000"/>
          <w:szCs w:val="21"/>
        </w:rPr>
        <w:t>17.1 不可抗力的确认</w:t>
      </w:r>
    </w:p>
    <w:p>
      <w:pPr>
        <w:pStyle w:val="167"/>
        <w:spacing w:line="360" w:lineRule="auto"/>
        <w:ind w:firstLine="420" w:firstLineChars="200"/>
        <w:jc w:val="left"/>
        <w:rPr>
          <w:rFonts w:ascii="宋体" w:hAnsi="宋体"/>
          <w:color w:val="000000"/>
          <w:kern w:val="0"/>
          <w:szCs w:val="21"/>
          <w:u w:val="single"/>
        </w:rPr>
      </w:pPr>
      <w:r>
        <w:rPr>
          <w:rFonts w:ascii="宋体" w:hAnsi="宋体"/>
          <w:color w:val="000000"/>
          <w:szCs w:val="21"/>
        </w:rPr>
        <w:t xml:space="preserve">除通用合同条款约定的不可抗力事件之外，视为不可抗力的其他情形： </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ascii="宋体" w:hAnsi="宋体"/>
          <w:color w:val="000000"/>
          <w:kern w:val="0"/>
          <w:szCs w:val="21"/>
        </w:rPr>
        <w:t>。</w:t>
      </w:r>
    </w:p>
    <w:p>
      <w:pPr>
        <w:pStyle w:val="167"/>
        <w:spacing w:after="120" w:line="360" w:lineRule="auto"/>
        <w:ind w:firstLine="420" w:firstLineChars="200"/>
        <w:rPr>
          <w:rFonts w:ascii="宋体" w:hAnsi="宋体"/>
          <w:color w:val="000000"/>
          <w:szCs w:val="21"/>
        </w:rPr>
      </w:pPr>
      <w:r>
        <w:rPr>
          <w:rFonts w:ascii="宋体" w:hAnsi="宋体"/>
          <w:color w:val="000000"/>
          <w:szCs w:val="21"/>
        </w:rPr>
        <w:t>17.4 因不可抗力解除合同</w:t>
      </w:r>
    </w:p>
    <w:p>
      <w:pPr>
        <w:pStyle w:val="167"/>
        <w:spacing w:line="360" w:lineRule="auto"/>
        <w:ind w:firstLine="420" w:firstLineChars="200"/>
        <w:jc w:val="left"/>
        <w:rPr>
          <w:rFonts w:ascii="宋体" w:hAnsi="宋体"/>
          <w:color w:val="000000"/>
          <w:szCs w:val="21"/>
        </w:rPr>
      </w:pPr>
      <w:r>
        <w:rPr>
          <w:rFonts w:ascii="宋体" w:hAnsi="宋体"/>
          <w:color w:val="000000"/>
          <w:szCs w:val="21"/>
        </w:rPr>
        <w:t>合同解除后，发包人应在商定或确定发包人应支付款项后</w:t>
      </w:r>
      <w:r>
        <w:rPr>
          <w:rFonts w:ascii="宋体" w:hAnsi="宋体"/>
          <w:color w:val="000000"/>
          <w:szCs w:val="21"/>
          <w:u w:val="single"/>
        </w:rPr>
        <w:t xml:space="preserve">    </w:t>
      </w:r>
      <w:r>
        <w:rPr>
          <w:rFonts w:ascii="宋体" w:hAnsi="宋体"/>
          <w:color w:val="000000"/>
          <w:szCs w:val="21"/>
        </w:rPr>
        <w:t>天内完成款项的支付。</w:t>
      </w:r>
    </w:p>
    <w:p>
      <w:pPr>
        <w:pStyle w:val="167"/>
        <w:keepNext/>
        <w:keepLines/>
        <w:spacing w:before="120" w:after="120" w:line="360" w:lineRule="auto"/>
        <w:outlineLvl w:val="3"/>
        <w:rPr>
          <w:rFonts w:ascii="宋体" w:hAnsi="宋体"/>
          <w:bCs/>
          <w:color w:val="000000"/>
          <w:szCs w:val="21"/>
        </w:rPr>
      </w:pPr>
      <w:bookmarkStart w:id="948" w:name="_Toc351203650"/>
      <w:r>
        <w:rPr>
          <w:rFonts w:ascii="宋体" w:hAnsi="宋体"/>
          <w:bCs/>
          <w:color w:val="000000"/>
          <w:szCs w:val="21"/>
        </w:rPr>
        <w:t>18. 保险</w:t>
      </w:r>
      <w:bookmarkEnd w:id="948"/>
    </w:p>
    <w:bookmarkEnd w:id="946"/>
    <w:p>
      <w:pPr>
        <w:pStyle w:val="167"/>
        <w:spacing w:after="120" w:line="360" w:lineRule="auto"/>
        <w:ind w:firstLine="420" w:firstLineChars="200"/>
        <w:rPr>
          <w:rFonts w:ascii="宋体" w:hAnsi="宋体"/>
          <w:color w:val="000000"/>
          <w:szCs w:val="21"/>
        </w:rPr>
      </w:pPr>
      <w:r>
        <w:rPr>
          <w:rFonts w:ascii="宋体" w:hAnsi="宋体"/>
          <w:color w:val="000000"/>
          <w:szCs w:val="21"/>
        </w:rPr>
        <w:t>18.1 工程保险</w:t>
      </w:r>
    </w:p>
    <w:p>
      <w:pPr>
        <w:pStyle w:val="167"/>
        <w:spacing w:line="360" w:lineRule="auto"/>
        <w:ind w:firstLine="420" w:firstLineChars="200"/>
        <w:jc w:val="left"/>
        <w:rPr>
          <w:rFonts w:ascii="宋体" w:hAnsi="宋体"/>
          <w:color w:val="000000"/>
          <w:szCs w:val="21"/>
        </w:rPr>
      </w:pPr>
      <w:r>
        <w:rPr>
          <w:rFonts w:ascii="宋体" w:hAnsi="宋体"/>
          <w:color w:val="000000"/>
          <w:szCs w:val="21"/>
        </w:rPr>
        <w:t>关于工程保险的特别约定：</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ascii="宋体" w:hAnsi="宋体"/>
          <w:color w:val="000000"/>
          <w:kern w:val="0"/>
          <w:szCs w:val="21"/>
        </w:rPr>
        <w:t>。</w:t>
      </w:r>
    </w:p>
    <w:p>
      <w:pPr>
        <w:pStyle w:val="167"/>
        <w:spacing w:after="120" w:line="360" w:lineRule="auto"/>
        <w:ind w:firstLine="420" w:firstLineChars="200"/>
        <w:rPr>
          <w:rFonts w:ascii="宋体" w:hAnsi="宋体"/>
          <w:color w:val="000000"/>
          <w:szCs w:val="21"/>
        </w:rPr>
      </w:pPr>
      <w:r>
        <w:rPr>
          <w:rFonts w:ascii="宋体" w:hAnsi="宋体"/>
          <w:color w:val="000000"/>
          <w:szCs w:val="21"/>
        </w:rPr>
        <w:t>18.3 其他保险</w:t>
      </w:r>
    </w:p>
    <w:p>
      <w:pPr>
        <w:pStyle w:val="167"/>
        <w:spacing w:line="360" w:lineRule="auto"/>
        <w:ind w:firstLine="420" w:firstLineChars="200"/>
        <w:jc w:val="left"/>
        <w:rPr>
          <w:rFonts w:ascii="宋体" w:hAnsi="宋体"/>
          <w:color w:val="000000"/>
          <w:kern w:val="0"/>
          <w:szCs w:val="21"/>
        </w:rPr>
      </w:pPr>
      <w:r>
        <w:rPr>
          <w:rFonts w:ascii="宋体" w:hAnsi="宋体"/>
          <w:color w:val="000000"/>
          <w:szCs w:val="21"/>
        </w:rPr>
        <w:t>关于其他保险的约定：</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hint="eastAsia" w:ascii="宋体" w:hAnsi="宋体"/>
          <w:color w:val="000000"/>
          <w:kern w:val="0"/>
          <w:szCs w:val="21"/>
          <w:u w:val="single"/>
        </w:rPr>
        <w:t xml:space="preserve"> </w:t>
      </w:r>
      <w:r>
        <w:rPr>
          <w:rFonts w:ascii="宋体" w:hAnsi="宋体"/>
          <w:color w:val="000000"/>
          <w:kern w:val="0"/>
          <w:szCs w:val="21"/>
          <w:u w:val="single"/>
        </w:rPr>
        <w:t xml:space="preserve">     </w:t>
      </w:r>
      <w:r>
        <w:rPr>
          <w:rFonts w:ascii="宋体" w:hAnsi="宋体"/>
          <w:color w:val="000000"/>
          <w:kern w:val="0"/>
          <w:szCs w:val="21"/>
        </w:rPr>
        <w:t>。</w:t>
      </w:r>
    </w:p>
    <w:p>
      <w:pPr>
        <w:pStyle w:val="167"/>
        <w:spacing w:line="360" w:lineRule="auto"/>
        <w:ind w:firstLine="420" w:firstLineChars="200"/>
        <w:jc w:val="left"/>
        <w:rPr>
          <w:rFonts w:ascii="宋体" w:hAnsi="宋体"/>
          <w:color w:val="000000"/>
          <w:szCs w:val="21"/>
          <w:u w:val="single"/>
        </w:rPr>
      </w:pPr>
      <w:r>
        <w:rPr>
          <w:rFonts w:ascii="宋体" w:hAnsi="宋体"/>
          <w:color w:val="000000"/>
          <w:szCs w:val="21"/>
        </w:rPr>
        <w:t>承包人是否应为其施工设备等办理财产保险：</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jc w:val="left"/>
        <w:rPr>
          <w:rFonts w:ascii="宋体" w:hAnsi="宋体"/>
          <w:color w:val="000000"/>
          <w:kern w:val="0"/>
          <w:szCs w:val="21"/>
        </w:rPr>
      </w:pPr>
      <w:r>
        <w:rPr>
          <w:rFonts w:ascii="宋体" w:hAnsi="宋体"/>
          <w:color w:val="000000"/>
          <w:szCs w:val="21"/>
          <w:u w:val="single"/>
        </w:rPr>
        <w:t xml:space="preserve">                                                         </w:t>
      </w:r>
      <w:r>
        <w:rPr>
          <w:rFonts w:ascii="宋体" w:hAnsi="宋体"/>
          <w:color w:val="000000"/>
          <w:szCs w:val="21"/>
        </w:rPr>
        <w:t>。</w:t>
      </w:r>
    </w:p>
    <w:p>
      <w:pPr>
        <w:pStyle w:val="167"/>
        <w:spacing w:after="120" w:line="360" w:lineRule="auto"/>
        <w:ind w:firstLine="420" w:firstLineChars="200"/>
        <w:rPr>
          <w:rFonts w:ascii="宋体" w:hAnsi="宋体"/>
          <w:color w:val="000000"/>
          <w:szCs w:val="21"/>
        </w:rPr>
      </w:pPr>
      <w:r>
        <w:rPr>
          <w:rFonts w:ascii="宋体" w:hAnsi="宋体"/>
          <w:color w:val="000000"/>
          <w:szCs w:val="21"/>
        </w:rPr>
        <w:t>18.7 通知义务</w:t>
      </w:r>
    </w:p>
    <w:p>
      <w:pPr>
        <w:pStyle w:val="167"/>
        <w:spacing w:line="360" w:lineRule="auto"/>
        <w:ind w:firstLine="420" w:firstLineChars="200"/>
        <w:jc w:val="left"/>
        <w:rPr>
          <w:rFonts w:ascii="宋体" w:hAnsi="宋体"/>
          <w:color w:val="000000"/>
          <w:szCs w:val="21"/>
          <w:u w:val="single"/>
        </w:rPr>
      </w:pPr>
      <w:r>
        <w:rPr>
          <w:rFonts w:ascii="宋体" w:hAnsi="宋体"/>
          <w:color w:val="000000"/>
          <w:kern w:val="0"/>
          <w:szCs w:val="21"/>
        </w:rPr>
        <w:t>关于变更保险合同时的通知义务的约定：</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p>
    <w:p>
      <w:pPr>
        <w:pStyle w:val="167"/>
        <w:spacing w:line="360" w:lineRule="auto"/>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bookmarkEnd w:id="922"/>
    <w:bookmarkEnd w:id="923"/>
    <w:bookmarkEnd w:id="924"/>
    <w:bookmarkEnd w:id="925"/>
    <w:bookmarkEnd w:id="926"/>
    <w:bookmarkEnd w:id="927"/>
    <w:bookmarkEnd w:id="928"/>
    <w:bookmarkEnd w:id="929"/>
    <w:bookmarkEnd w:id="930"/>
    <w:bookmarkEnd w:id="931"/>
    <w:bookmarkEnd w:id="932"/>
    <w:bookmarkEnd w:id="933"/>
    <w:p>
      <w:pPr>
        <w:pStyle w:val="167"/>
        <w:keepNext/>
        <w:keepLines/>
        <w:spacing w:before="120" w:after="120" w:line="360" w:lineRule="auto"/>
        <w:outlineLvl w:val="3"/>
        <w:rPr>
          <w:rFonts w:ascii="宋体" w:hAnsi="宋体"/>
          <w:bCs/>
          <w:color w:val="000000"/>
          <w:szCs w:val="21"/>
        </w:rPr>
      </w:pPr>
      <w:bookmarkStart w:id="949" w:name="_Toc351203651"/>
      <w:r>
        <w:rPr>
          <w:rFonts w:ascii="宋体" w:hAnsi="宋体"/>
          <w:bCs/>
          <w:color w:val="000000"/>
          <w:szCs w:val="21"/>
        </w:rPr>
        <w:t>20. 争议解决</w:t>
      </w:r>
      <w:bookmarkEnd w:id="949"/>
    </w:p>
    <w:bookmarkEnd w:id="934"/>
    <w:bookmarkEnd w:id="935"/>
    <w:p>
      <w:pPr>
        <w:pStyle w:val="167"/>
        <w:spacing w:after="120" w:line="360" w:lineRule="auto"/>
        <w:ind w:firstLine="420" w:firstLineChars="200"/>
        <w:rPr>
          <w:rFonts w:ascii="宋体" w:hAnsi="宋体"/>
          <w:color w:val="000000"/>
          <w:szCs w:val="21"/>
        </w:rPr>
      </w:pPr>
      <w:r>
        <w:rPr>
          <w:rFonts w:ascii="宋体" w:hAnsi="宋体"/>
          <w:color w:val="000000"/>
          <w:szCs w:val="21"/>
        </w:rPr>
        <w:t>20.3 争</w:t>
      </w:r>
      <w:bookmarkEnd w:id="936"/>
      <w:r>
        <w:rPr>
          <w:rFonts w:ascii="宋体" w:hAnsi="宋体"/>
          <w:color w:val="000000"/>
          <w:szCs w:val="21"/>
        </w:rPr>
        <w:t>议评审</w:t>
      </w:r>
    </w:p>
    <w:p>
      <w:pPr>
        <w:pStyle w:val="167"/>
        <w:spacing w:line="360" w:lineRule="auto"/>
        <w:ind w:left="149" w:leftChars="71" w:firstLine="315" w:firstLineChars="150"/>
        <w:jc w:val="left"/>
        <w:rPr>
          <w:rFonts w:ascii="宋体" w:hAnsi="宋体"/>
          <w:color w:val="000000"/>
          <w:szCs w:val="21"/>
          <w:u w:val="single"/>
        </w:rPr>
      </w:pPr>
      <w:r>
        <w:rPr>
          <w:rFonts w:ascii="宋体" w:hAnsi="宋体"/>
          <w:color w:val="000000"/>
          <w:szCs w:val="21"/>
        </w:rPr>
        <w:t>合同当事人是否同意将工程争议提交争议评审小组决</w:t>
      </w:r>
      <w:r>
        <w:rPr>
          <w:rFonts w:hint="eastAsia" w:ascii="宋体" w:hAnsi="宋体"/>
          <w:color w:val="000000"/>
          <w:szCs w:val="21"/>
        </w:rPr>
        <w:t>定：</w:t>
      </w:r>
      <w:r>
        <w:rPr>
          <w:rFonts w:hint="eastAsia" w:ascii="宋体" w:hAnsi="宋体"/>
          <w:color w:val="000000"/>
          <w:szCs w:val="21"/>
          <w:u w:val="single"/>
        </w:rPr>
        <w:t xml:space="preserve">    </w:t>
      </w:r>
    </w:p>
    <w:p>
      <w:pPr>
        <w:pStyle w:val="167"/>
        <w:spacing w:line="360" w:lineRule="auto"/>
        <w:jc w:val="left"/>
        <w:rPr>
          <w:rFonts w:ascii="宋体" w:hAnsi="宋体"/>
          <w:color w:val="000000"/>
          <w:szCs w:val="21"/>
        </w:rPr>
      </w:pPr>
      <w:r>
        <w:rPr>
          <w:rFonts w:hint="eastAsia" w:ascii="宋体" w:hAnsi="宋体"/>
          <w:color w:val="000000"/>
          <w:szCs w:val="21"/>
          <w:u w:val="single"/>
        </w:rPr>
        <w:t xml:space="preserve">                                                         </w:t>
      </w:r>
      <w:r>
        <w:rPr>
          <w:rFonts w:hint="eastAsia" w:ascii="宋体" w:hAnsi="宋体"/>
          <w:color w:val="000000"/>
          <w:szCs w:val="21"/>
        </w:rPr>
        <w:t xml:space="preserve">。  </w:t>
      </w:r>
    </w:p>
    <w:p>
      <w:pPr>
        <w:pStyle w:val="167"/>
        <w:spacing w:line="360" w:lineRule="auto"/>
        <w:ind w:firstLine="420" w:firstLineChars="200"/>
        <w:jc w:val="left"/>
        <w:rPr>
          <w:rFonts w:ascii="宋体" w:hAnsi="宋体"/>
          <w:color w:val="000000"/>
          <w:szCs w:val="21"/>
        </w:rPr>
      </w:pPr>
      <w:r>
        <w:rPr>
          <w:rFonts w:ascii="宋体" w:hAnsi="宋体"/>
          <w:color w:val="000000"/>
          <w:szCs w:val="21"/>
        </w:rPr>
        <w:t>20.3.1 争议评审小组的确定</w:t>
      </w:r>
    </w:p>
    <w:p>
      <w:pPr>
        <w:pStyle w:val="167"/>
        <w:spacing w:line="360" w:lineRule="auto"/>
        <w:ind w:firstLine="420" w:firstLineChars="200"/>
        <w:jc w:val="left"/>
        <w:rPr>
          <w:rFonts w:ascii="宋体" w:hAnsi="宋体"/>
          <w:color w:val="000000"/>
          <w:szCs w:val="21"/>
          <w:u w:val="single"/>
        </w:rPr>
      </w:pPr>
      <w:r>
        <w:rPr>
          <w:rFonts w:ascii="宋体" w:hAnsi="宋体"/>
          <w:color w:val="000000"/>
          <w:szCs w:val="21"/>
        </w:rPr>
        <w:t>争议评审小组成员的确定：</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选定争议评审员的期限：</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争议评审小组成员的报酬承担方式：</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其他事项的约定：</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autoSpaceDE w:val="0"/>
        <w:autoSpaceDN w:val="0"/>
        <w:adjustRightInd w:val="0"/>
        <w:spacing w:line="360" w:lineRule="auto"/>
        <w:ind w:firstLine="420" w:firstLineChars="200"/>
        <w:jc w:val="left"/>
        <w:rPr>
          <w:rFonts w:ascii="宋体" w:hAnsi="宋体"/>
          <w:color w:val="000000"/>
          <w:kern w:val="0"/>
          <w:szCs w:val="21"/>
        </w:rPr>
      </w:pPr>
      <w:r>
        <w:rPr>
          <w:rFonts w:ascii="宋体" w:hAnsi="宋体"/>
          <w:color w:val="000000"/>
          <w:kern w:val="0"/>
          <w:szCs w:val="21"/>
        </w:rPr>
        <w:t>20.3.2 争议评审小组的决定</w:t>
      </w:r>
    </w:p>
    <w:p>
      <w:pPr>
        <w:pStyle w:val="167"/>
        <w:spacing w:line="360" w:lineRule="auto"/>
        <w:ind w:firstLine="420" w:firstLineChars="200"/>
        <w:jc w:val="left"/>
        <w:rPr>
          <w:rFonts w:ascii="宋体" w:hAnsi="宋体"/>
          <w:color w:val="000000"/>
          <w:szCs w:val="21"/>
        </w:rPr>
      </w:pPr>
      <w:r>
        <w:rPr>
          <w:rFonts w:ascii="宋体" w:hAnsi="宋体"/>
          <w:color w:val="000000"/>
          <w:szCs w:val="21"/>
        </w:rPr>
        <w:t>合同当事人关于本项的约定：</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after="120" w:line="360" w:lineRule="auto"/>
        <w:ind w:firstLine="420" w:firstLineChars="200"/>
        <w:rPr>
          <w:rFonts w:ascii="宋体" w:hAnsi="宋体"/>
          <w:color w:val="000000"/>
          <w:szCs w:val="21"/>
        </w:rPr>
      </w:pPr>
      <w:r>
        <w:rPr>
          <w:rFonts w:ascii="宋体" w:hAnsi="宋体"/>
          <w:color w:val="000000"/>
          <w:szCs w:val="21"/>
        </w:rPr>
        <w:t>20.4仲裁或诉讼</w:t>
      </w:r>
      <w:bookmarkEnd w:id="937"/>
    </w:p>
    <w:p>
      <w:pPr>
        <w:pStyle w:val="167"/>
        <w:spacing w:after="120" w:line="360" w:lineRule="auto"/>
        <w:ind w:firstLine="420" w:firstLineChars="200"/>
        <w:rPr>
          <w:rFonts w:ascii="宋体" w:hAnsi="宋体"/>
          <w:color w:val="000000"/>
          <w:szCs w:val="21"/>
        </w:rPr>
      </w:pPr>
      <w:r>
        <w:rPr>
          <w:rFonts w:ascii="宋体" w:hAnsi="宋体"/>
          <w:color w:val="000000"/>
          <w:szCs w:val="21"/>
        </w:rPr>
        <w:t>因合同及合同有关事项发生的争议，按下列第</w:t>
      </w:r>
      <w:r>
        <w:rPr>
          <w:rFonts w:ascii="宋体" w:hAnsi="宋体"/>
          <w:color w:val="000000"/>
          <w:szCs w:val="21"/>
          <w:u w:val="single"/>
        </w:rPr>
        <w:t xml:space="preserve">     </w:t>
      </w:r>
      <w:r>
        <w:rPr>
          <w:rFonts w:ascii="宋体" w:hAnsi="宋体"/>
          <w:color w:val="000000"/>
          <w:szCs w:val="21"/>
        </w:rPr>
        <w:t>种方式</w:t>
      </w:r>
      <w:r>
        <w:rPr>
          <w:rFonts w:hint="eastAsia" w:ascii="宋体" w:hAnsi="宋体"/>
          <w:color w:val="000000"/>
          <w:szCs w:val="21"/>
        </w:rPr>
        <w:t>解</w:t>
      </w:r>
      <w:r>
        <w:rPr>
          <w:rFonts w:ascii="宋体" w:hAnsi="宋体"/>
          <w:color w:val="000000"/>
          <w:szCs w:val="21"/>
        </w:rPr>
        <w:t>决：</w:t>
      </w:r>
    </w:p>
    <w:p>
      <w:pPr>
        <w:pStyle w:val="167"/>
        <w:spacing w:line="360" w:lineRule="auto"/>
        <w:ind w:firstLine="420" w:firstLineChars="200"/>
        <w:jc w:val="left"/>
        <w:rPr>
          <w:rFonts w:ascii="宋体" w:hAnsi="宋体"/>
          <w:color w:val="000000"/>
          <w:szCs w:val="21"/>
        </w:rPr>
      </w:pPr>
      <w:r>
        <w:rPr>
          <w:rFonts w:ascii="宋体" w:hAnsi="宋体"/>
          <w:color w:val="000000"/>
          <w:szCs w:val="21"/>
        </w:rPr>
        <w:t>（1）向</w:t>
      </w:r>
      <w:r>
        <w:rPr>
          <w:rFonts w:ascii="宋体" w:hAnsi="宋体"/>
          <w:color w:val="000000"/>
          <w:szCs w:val="21"/>
          <w:u w:val="single"/>
        </w:rPr>
        <w:t xml:space="preserve">                     </w:t>
      </w:r>
      <w:r>
        <w:rPr>
          <w:rFonts w:ascii="宋体" w:hAnsi="宋体"/>
          <w:color w:val="000000"/>
          <w:szCs w:val="21"/>
        </w:rPr>
        <w:t>仲裁委员会申请仲裁；</w:t>
      </w:r>
    </w:p>
    <w:p>
      <w:pPr>
        <w:pStyle w:val="167"/>
        <w:spacing w:line="360" w:lineRule="auto"/>
        <w:ind w:firstLine="420" w:firstLineChars="200"/>
        <w:jc w:val="left"/>
        <w:rPr>
          <w:rFonts w:ascii="宋体" w:hAnsi="宋体"/>
          <w:color w:val="000000"/>
          <w:szCs w:val="21"/>
        </w:rPr>
      </w:pPr>
      <w:r>
        <w:rPr>
          <w:rFonts w:ascii="宋体" w:hAnsi="宋体"/>
          <w:color w:val="000000"/>
          <w:szCs w:val="21"/>
        </w:rPr>
        <w:t>（2）向</w:t>
      </w:r>
      <w:r>
        <w:rPr>
          <w:rFonts w:ascii="宋体" w:hAnsi="宋体"/>
          <w:color w:val="000000"/>
          <w:szCs w:val="21"/>
          <w:u w:val="single"/>
        </w:rPr>
        <w:t xml:space="preserve">                     </w:t>
      </w:r>
      <w:r>
        <w:rPr>
          <w:rFonts w:ascii="宋体" w:hAnsi="宋体"/>
          <w:color w:val="000000"/>
          <w:szCs w:val="21"/>
        </w:rPr>
        <w:t>人民法院起诉。</w:t>
      </w:r>
      <w:bookmarkEnd w:id="938"/>
      <w:bookmarkEnd w:id="939"/>
      <w:bookmarkEnd w:id="940"/>
      <w:bookmarkEnd w:id="941"/>
      <w:bookmarkEnd w:id="942"/>
      <w:bookmarkEnd w:id="943"/>
    </w:p>
    <w:p>
      <w:pPr>
        <w:pStyle w:val="167"/>
        <w:spacing w:line="360" w:lineRule="auto"/>
        <w:jc w:val="left"/>
        <w:rPr>
          <w:rFonts w:ascii="宋体" w:hAnsi="宋体"/>
          <w:b/>
          <w:color w:val="000000"/>
          <w:sz w:val="32"/>
          <w:szCs w:val="32"/>
        </w:rPr>
      </w:pPr>
      <w:r>
        <w:rPr>
          <w:rFonts w:ascii="宋体" w:hAnsi="宋体"/>
          <w:color w:val="000000"/>
          <w:sz w:val="30"/>
          <w:szCs w:val="32"/>
        </w:rPr>
        <w:br w:type="page"/>
      </w:r>
      <w:bookmarkStart w:id="950" w:name="_Toc351203652"/>
      <w:r>
        <w:rPr>
          <w:rFonts w:ascii="宋体" w:hAnsi="宋体"/>
          <w:b/>
          <w:color w:val="000000"/>
          <w:sz w:val="32"/>
          <w:szCs w:val="32"/>
        </w:rPr>
        <w:t>附件</w:t>
      </w:r>
      <w:bookmarkEnd w:id="950"/>
    </w:p>
    <w:p>
      <w:pPr>
        <w:pStyle w:val="167"/>
        <w:spacing w:line="360" w:lineRule="auto"/>
        <w:jc w:val="left"/>
        <w:rPr>
          <w:rFonts w:ascii="宋体" w:hAnsi="宋体"/>
          <w:color w:val="000000"/>
          <w:szCs w:val="21"/>
        </w:rPr>
      </w:pPr>
      <w:r>
        <w:rPr>
          <w:rFonts w:hint="eastAsia" w:ascii="宋体" w:hAnsi="宋体"/>
          <w:color w:val="000000"/>
          <w:szCs w:val="21"/>
        </w:rPr>
        <w:t>协议书附件：</w:t>
      </w:r>
    </w:p>
    <w:p>
      <w:pPr>
        <w:pStyle w:val="167"/>
        <w:spacing w:line="360" w:lineRule="auto"/>
        <w:jc w:val="left"/>
        <w:rPr>
          <w:rFonts w:ascii="宋体" w:hAnsi="宋体"/>
          <w:color w:val="000000"/>
          <w:szCs w:val="21"/>
        </w:rPr>
      </w:pPr>
      <w:r>
        <w:rPr>
          <w:rFonts w:ascii="宋体" w:hAnsi="宋体"/>
          <w:color w:val="000000"/>
          <w:szCs w:val="21"/>
        </w:rPr>
        <w:t>附件1：承包人承揽工程项目一览表</w:t>
      </w:r>
    </w:p>
    <w:p>
      <w:pPr>
        <w:pStyle w:val="167"/>
        <w:spacing w:line="360" w:lineRule="auto"/>
        <w:jc w:val="left"/>
        <w:rPr>
          <w:rFonts w:ascii="宋体" w:hAnsi="宋体"/>
          <w:color w:val="000000"/>
          <w:szCs w:val="21"/>
        </w:rPr>
      </w:pPr>
      <w:r>
        <w:rPr>
          <w:rFonts w:hint="eastAsia" w:ascii="宋体" w:hAnsi="宋体"/>
          <w:color w:val="000000"/>
          <w:szCs w:val="21"/>
        </w:rPr>
        <w:t>专用合同条款附件：</w:t>
      </w:r>
    </w:p>
    <w:p>
      <w:pPr>
        <w:pStyle w:val="167"/>
        <w:spacing w:line="360" w:lineRule="auto"/>
        <w:jc w:val="left"/>
        <w:rPr>
          <w:rFonts w:ascii="宋体" w:hAnsi="宋体"/>
          <w:color w:val="000000"/>
          <w:szCs w:val="21"/>
        </w:rPr>
      </w:pPr>
      <w:r>
        <w:rPr>
          <w:rFonts w:ascii="宋体" w:hAnsi="宋体"/>
          <w:color w:val="000000"/>
          <w:szCs w:val="21"/>
        </w:rPr>
        <w:t>附件2：发包人供应材料设备一览表</w:t>
      </w:r>
    </w:p>
    <w:p>
      <w:pPr>
        <w:pStyle w:val="167"/>
        <w:spacing w:line="360" w:lineRule="auto"/>
        <w:jc w:val="left"/>
        <w:rPr>
          <w:rFonts w:ascii="宋体" w:hAnsi="宋体"/>
          <w:color w:val="000000"/>
          <w:szCs w:val="21"/>
        </w:rPr>
      </w:pPr>
      <w:r>
        <w:rPr>
          <w:rFonts w:ascii="宋体" w:hAnsi="宋体"/>
          <w:color w:val="000000"/>
          <w:szCs w:val="21"/>
        </w:rPr>
        <w:t>附件3：工程质量保修书</w:t>
      </w:r>
    </w:p>
    <w:p>
      <w:pPr>
        <w:pStyle w:val="167"/>
        <w:spacing w:line="360" w:lineRule="auto"/>
        <w:jc w:val="left"/>
        <w:rPr>
          <w:rFonts w:ascii="宋体" w:hAnsi="宋体"/>
          <w:color w:val="000000"/>
          <w:szCs w:val="21"/>
        </w:rPr>
      </w:pPr>
      <w:r>
        <w:rPr>
          <w:rFonts w:ascii="宋体" w:hAnsi="宋体"/>
          <w:color w:val="000000"/>
          <w:szCs w:val="21"/>
        </w:rPr>
        <w:t>附件4：主要建设工程文件目录</w:t>
      </w:r>
    </w:p>
    <w:p>
      <w:pPr>
        <w:pStyle w:val="167"/>
        <w:spacing w:line="360" w:lineRule="auto"/>
        <w:jc w:val="left"/>
        <w:rPr>
          <w:rFonts w:ascii="宋体" w:hAnsi="宋体"/>
          <w:color w:val="000000"/>
          <w:szCs w:val="21"/>
        </w:rPr>
      </w:pPr>
      <w:r>
        <w:rPr>
          <w:rFonts w:ascii="宋体" w:hAnsi="宋体"/>
          <w:color w:val="000000"/>
          <w:szCs w:val="21"/>
        </w:rPr>
        <w:t>附件5：承包人用于本工程施工的机械设备表</w:t>
      </w:r>
    </w:p>
    <w:p>
      <w:pPr>
        <w:pStyle w:val="167"/>
        <w:spacing w:line="360" w:lineRule="auto"/>
        <w:jc w:val="left"/>
        <w:rPr>
          <w:rFonts w:ascii="宋体" w:hAnsi="宋体"/>
          <w:color w:val="000000"/>
          <w:szCs w:val="21"/>
        </w:rPr>
      </w:pPr>
      <w:r>
        <w:rPr>
          <w:rFonts w:ascii="宋体" w:hAnsi="宋体"/>
          <w:color w:val="000000"/>
          <w:szCs w:val="21"/>
        </w:rPr>
        <w:t>附件6：承包人主要施工管理人员表</w:t>
      </w:r>
    </w:p>
    <w:p>
      <w:pPr>
        <w:pStyle w:val="167"/>
        <w:spacing w:line="360" w:lineRule="auto"/>
        <w:jc w:val="left"/>
        <w:rPr>
          <w:rFonts w:ascii="宋体" w:hAnsi="宋体"/>
          <w:color w:val="000000"/>
          <w:szCs w:val="21"/>
        </w:rPr>
      </w:pPr>
      <w:r>
        <w:rPr>
          <w:rFonts w:ascii="宋体" w:hAnsi="宋体"/>
          <w:color w:val="000000"/>
          <w:szCs w:val="21"/>
        </w:rPr>
        <w:t>附件7：分包人主要施工管理人员表</w:t>
      </w:r>
    </w:p>
    <w:p>
      <w:pPr>
        <w:pStyle w:val="167"/>
        <w:spacing w:line="360" w:lineRule="auto"/>
        <w:jc w:val="left"/>
        <w:rPr>
          <w:rFonts w:ascii="宋体" w:hAnsi="宋体"/>
          <w:color w:val="000000"/>
          <w:szCs w:val="21"/>
        </w:rPr>
      </w:pPr>
      <w:r>
        <w:rPr>
          <w:rFonts w:ascii="宋体" w:hAnsi="宋体"/>
          <w:color w:val="000000"/>
          <w:szCs w:val="21"/>
        </w:rPr>
        <w:t>附件8：履约担保格式</w:t>
      </w:r>
    </w:p>
    <w:p>
      <w:pPr>
        <w:pStyle w:val="167"/>
        <w:spacing w:line="360" w:lineRule="auto"/>
        <w:jc w:val="left"/>
        <w:rPr>
          <w:rFonts w:ascii="宋体" w:hAnsi="宋体"/>
          <w:color w:val="000000"/>
          <w:szCs w:val="21"/>
        </w:rPr>
      </w:pPr>
      <w:r>
        <w:rPr>
          <w:rFonts w:ascii="宋体" w:hAnsi="宋体"/>
          <w:color w:val="000000"/>
          <w:szCs w:val="21"/>
        </w:rPr>
        <w:t>附件9：预付款担保格式</w:t>
      </w:r>
    </w:p>
    <w:p>
      <w:pPr>
        <w:pStyle w:val="167"/>
        <w:spacing w:line="360" w:lineRule="auto"/>
        <w:jc w:val="left"/>
        <w:rPr>
          <w:rFonts w:ascii="宋体" w:hAnsi="宋体"/>
          <w:color w:val="000000"/>
          <w:szCs w:val="21"/>
        </w:rPr>
      </w:pPr>
      <w:r>
        <w:rPr>
          <w:rFonts w:ascii="宋体" w:hAnsi="宋体"/>
          <w:color w:val="000000"/>
          <w:szCs w:val="21"/>
        </w:rPr>
        <w:t>附件10：支付担保格式</w:t>
      </w:r>
    </w:p>
    <w:p>
      <w:pPr>
        <w:pStyle w:val="167"/>
        <w:spacing w:line="360" w:lineRule="auto"/>
        <w:jc w:val="left"/>
        <w:rPr>
          <w:rFonts w:ascii="宋体" w:hAnsi="宋体"/>
          <w:color w:val="000000"/>
          <w:szCs w:val="21"/>
        </w:rPr>
      </w:pPr>
      <w:r>
        <w:rPr>
          <w:rFonts w:ascii="宋体" w:hAnsi="宋体"/>
          <w:color w:val="000000"/>
          <w:szCs w:val="21"/>
        </w:rPr>
        <w:t>附件11：暂估价一览表</w:t>
      </w:r>
    </w:p>
    <w:p>
      <w:pPr>
        <w:pStyle w:val="167"/>
        <w:pageBreakBefore/>
        <w:spacing w:before="156" w:beforeLines="50" w:after="156" w:afterLines="50" w:line="440" w:lineRule="exact"/>
        <w:jc w:val="left"/>
        <w:rPr>
          <w:rFonts w:ascii="宋体" w:hAnsi="宋体"/>
          <w:color w:val="000000"/>
          <w:sz w:val="30"/>
          <w:szCs w:val="30"/>
        </w:rPr>
      </w:pPr>
      <w:r>
        <w:rPr>
          <w:rFonts w:hint="eastAsia" w:ascii="宋体" w:hAnsi="宋体"/>
          <w:color w:val="000000"/>
          <w:sz w:val="30"/>
          <w:szCs w:val="30"/>
        </w:rPr>
        <w:t>附件1：</w:t>
      </w:r>
    </w:p>
    <w:p>
      <w:pPr>
        <w:pStyle w:val="167"/>
        <w:spacing w:before="156" w:beforeLines="50" w:after="156" w:afterLines="50" w:line="440" w:lineRule="exact"/>
        <w:jc w:val="center"/>
        <w:rPr>
          <w:rFonts w:ascii="宋体" w:hAnsi="宋体"/>
          <w:color w:val="000000"/>
          <w:sz w:val="30"/>
          <w:szCs w:val="30"/>
        </w:rPr>
      </w:pPr>
      <w:r>
        <w:rPr>
          <w:rFonts w:ascii="宋体" w:hAnsi="宋体"/>
          <w:color w:val="000000"/>
          <w:sz w:val="30"/>
          <w:szCs w:val="30"/>
        </w:rPr>
        <w:t>承包人承揽工程项目一览表</w:t>
      </w:r>
    </w:p>
    <w:tbl>
      <w:tblPr>
        <w:tblStyle w:val="44"/>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754"/>
        <w:gridCol w:w="1097"/>
        <w:gridCol w:w="839"/>
        <w:gridCol w:w="1442"/>
        <w:gridCol w:w="497"/>
        <w:gridCol w:w="927"/>
        <w:gridCol w:w="1270"/>
        <w:gridCol w:w="1022"/>
        <w:gridCol w:w="497"/>
        <w:gridCol w:w="4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437" w:type="pct"/>
            <w:tcBorders>
              <w:top w:val="single" w:color="auto" w:sz="12" w:space="0"/>
              <w:bottom w:val="doub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单位工程名称</w:t>
            </w:r>
          </w:p>
        </w:tc>
        <w:tc>
          <w:tcPr>
            <w:tcW w:w="631" w:type="pct"/>
            <w:tcBorders>
              <w:top w:val="single" w:color="auto" w:sz="12" w:space="0"/>
              <w:bottom w:val="doub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建设规模</w:t>
            </w:r>
          </w:p>
        </w:tc>
        <w:tc>
          <w:tcPr>
            <w:tcW w:w="485" w:type="pct"/>
            <w:tcBorders>
              <w:top w:val="single" w:color="auto" w:sz="12" w:space="0"/>
              <w:bottom w:val="doub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建筑面积(平方米)</w:t>
            </w:r>
          </w:p>
        </w:tc>
        <w:tc>
          <w:tcPr>
            <w:tcW w:w="825" w:type="pct"/>
            <w:tcBorders>
              <w:top w:val="single" w:color="auto" w:sz="12" w:space="0"/>
              <w:bottom w:val="doub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结构</w:t>
            </w:r>
            <w:r>
              <w:rPr>
                <w:rFonts w:hint="eastAsia" w:ascii="宋体" w:hAnsi="宋体"/>
                <w:color w:val="000000"/>
                <w:sz w:val="28"/>
                <w:szCs w:val="30"/>
              </w:rPr>
              <w:t>形式</w:t>
            </w:r>
          </w:p>
        </w:tc>
        <w:tc>
          <w:tcPr>
            <w:tcW w:w="291" w:type="pct"/>
            <w:tcBorders>
              <w:top w:val="single" w:color="auto" w:sz="12" w:space="0"/>
              <w:bottom w:val="doub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层数</w:t>
            </w:r>
          </w:p>
        </w:tc>
        <w:tc>
          <w:tcPr>
            <w:tcW w:w="534" w:type="pct"/>
            <w:tcBorders>
              <w:top w:val="single" w:color="auto" w:sz="12" w:space="0"/>
              <w:bottom w:val="doub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生产能力</w:t>
            </w:r>
          </w:p>
        </w:tc>
        <w:tc>
          <w:tcPr>
            <w:tcW w:w="728" w:type="pct"/>
            <w:tcBorders>
              <w:top w:val="single" w:color="auto" w:sz="12" w:space="0"/>
              <w:bottom w:val="doub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设备安装内容</w:t>
            </w:r>
          </w:p>
        </w:tc>
        <w:tc>
          <w:tcPr>
            <w:tcW w:w="485" w:type="pct"/>
            <w:tcBorders>
              <w:top w:val="single" w:color="auto" w:sz="12" w:space="0"/>
              <w:bottom w:val="doub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合同价格（元）</w:t>
            </w:r>
          </w:p>
        </w:tc>
        <w:tc>
          <w:tcPr>
            <w:tcW w:w="291" w:type="pct"/>
            <w:tcBorders>
              <w:top w:val="single" w:color="auto" w:sz="12" w:space="0"/>
              <w:bottom w:val="doub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开工日期</w:t>
            </w:r>
          </w:p>
        </w:tc>
        <w:tc>
          <w:tcPr>
            <w:tcW w:w="291" w:type="pct"/>
            <w:tcBorders>
              <w:top w:val="single" w:color="auto" w:sz="12" w:space="0"/>
              <w:bottom w:val="doub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37" w:type="pct"/>
            <w:tcBorders>
              <w:top w:val="doub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631" w:type="pct"/>
            <w:tcBorders>
              <w:top w:val="doub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85" w:type="pct"/>
            <w:tcBorders>
              <w:top w:val="doub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825" w:type="pct"/>
            <w:tcBorders>
              <w:top w:val="doub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291" w:type="pct"/>
            <w:tcBorders>
              <w:top w:val="doub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534" w:type="pct"/>
            <w:tcBorders>
              <w:top w:val="doub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728" w:type="pct"/>
            <w:tcBorders>
              <w:top w:val="doub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85" w:type="pct"/>
            <w:tcBorders>
              <w:top w:val="doub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291" w:type="pct"/>
            <w:tcBorders>
              <w:top w:val="doub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291" w:type="pct"/>
            <w:tcBorders>
              <w:top w:val="doub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37"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631"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85"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825"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291"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534"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728"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85"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291"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291"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37"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631"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85"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825"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291"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534"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728"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85"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291"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291"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37"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631"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85"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825"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291"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534"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728"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85"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291"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291"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37"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631"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85"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825"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291"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534"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728"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85"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291"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291"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37"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631"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85"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825"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291"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534"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728"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85"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291"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291"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37"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631"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85"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825"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291"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534"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728"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85"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291"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291"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37"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631"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85"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825"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291"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534"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728"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85"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291"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291"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37"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631"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85"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825"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291"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534"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728"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85"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291"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291"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37"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631"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85"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825"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291"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534"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728"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85"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291"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291"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437"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631"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85"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825"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291"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534"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728"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85"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291"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291"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bl>
    <w:p>
      <w:pPr>
        <w:pStyle w:val="167"/>
        <w:pageBreakBefore/>
        <w:spacing w:line="440" w:lineRule="exact"/>
        <w:rPr>
          <w:rFonts w:ascii="宋体" w:hAnsi="宋体"/>
          <w:color w:val="000000"/>
          <w:sz w:val="30"/>
          <w:szCs w:val="30"/>
        </w:rPr>
      </w:pPr>
      <w:r>
        <w:rPr>
          <w:rFonts w:ascii="宋体" w:hAnsi="宋体"/>
          <w:color w:val="000000"/>
          <w:sz w:val="30"/>
          <w:szCs w:val="30"/>
        </w:rPr>
        <w:t>附</w:t>
      </w:r>
      <w:bookmarkStart w:id="951" w:name="_Toc296346726"/>
      <w:bookmarkStart w:id="952" w:name="_Toc296347224"/>
      <w:bookmarkStart w:id="953" w:name="_Toc267261692"/>
      <w:bookmarkStart w:id="954" w:name="_Toc296891053"/>
      <w:bookmarkStart w:id="955" w:name="_Toc296944564"/>
      <w:bookmarkStart w:id="956" w:name="_Toc296891265"/>
      <w:bookmarkStart w:id="957" w:name="_Toc296503225"/>
      <w:r>
        <w:rPr>
          <w:rFonts w:ascii="宋体" w:hAnsi="宋体"/>
          <w:color w:val="000000"/>
          <w:sz w:val="30"/>
          <w:szCs w:val="30"/>
        </w:rPr>
        <w:t>件2：</w:t>
      </w:r>
    </w:p>
    <w:bookmarkEnd w:id="951"/>
    <w:bookmarkEnd w:id="952"/>
    <w:bookmarkEnd w:id="953"/>
    <w:bookmarkEnd w:id="954"/>
    <w:bookmarkEnd w:id="955"/>
    <w:bookmarkEnd w:id="956"/>
    <w:bookmarkEnd w:id="957"/>
    <w:p>
      <w:pPr>
        <w:pStyle w:val="167"/>
        <w:spacing w:before="156" w:beforeLines="50" w:after="156" w:afterLines="50" w:line="440" w:lineRule="exact"/>
        <w:jc w:val="center"/>
        <w:rPr>
          <w:rFonts w:ascii="宋体" w:hAnsi="宋体"/>
          <w:color w:val="000000"/>
          <w:sz w:val="30"/>
          <w:szCs w:val="30"/>
        </w:rPr>
      </w:pPr>
      <w:r>
        <w:rPr>
          <w:rFonts w:ascii="宋体" w:hAnsi="宋体"/>
          <w:color w:val="000000"/>
          <w:sz w:val="30"/>
          <w:szCs w:val="30"/>
        </w:rPr>
        <w:t>发包人供应材料设备一览表</w:t>
      </w:r>
    </w:p>
    <w:tbl>
      <w:tblPr>
        <w:tblStyle w:val="44"/>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679"/>
        <w:gridCol w:w="1030"/>
        <w:gridCol w:w="1146"/>
        <w:gridCol w:w="752"/>
        <w:gridCol w:w="679"/>
        <w:gridCol w:w="1081"/>
        <w:gridCol w:w="794"/>
        <w:gridCol w:w="679"/>
        <w:gridCol w:w="1205"/>
        <w:gridCol w:w="7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 w:type="pct"/>
            <w:tcBorders>
              <w:top w:val="single" w:color="auto" w:sz="12" w:space="0"/>
              <w:bottom w:val="doub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序号</w:t>
            </w:r>
          </w:p>
        </w:tc>
        <w:tc>
          <w:tcPr>
            <w:tcW w:w="582" w:type="pct"/>
            <w:tcBorders>
              <w:top w:val="single" w:color="auto" w:sz="12" w:space="0"/>
              <w:bottom w:val="doub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hint="eastAsia" w:ascii="宋体" w:hAnsi="宋体"/>
                <w:color w:val="000000"/>
                <w:sz w:val="28"/>
                <w:szCs w:val="30"/>
              </w:rPr>
              <w:t xml:space="preserve">  </w:t>
            </w:r>
            <w:r>
              <w:rPr>
                <w:rFonts w:ascii="宋体" w:hAnsi="宋体"/>
                <w:color w:val="000000"/>
                <w:sz w:val="28"/>
                <w:szCs w:val="30"/>
              </w:rPr>
              <w:t>材料、</w:t>
            </w:r>
          </w:p>
          <w:p>
            <w:pPr>
              <w:pStyle w:val="167"/>
              <w:keepNext/>
              <w:adjustRightInd w:val="0"/>
              <w:spacing w:line="440" w:lineRule="exact"/>
              <w:ind w:right="63" w:rightChars="30"/>
              <w:textAlignment w:val="baseline"/>
              <w:rPr>
                <w:rFonts w:ascii="宋体" w:hAnsi="宋体"/>
                <w:color w:val="000000"/>
                <w:sz w:val="28"/>
                <w:szCs w:val="30"/>
              </w:rPr>
            </w:pPr>
            <w:r>
              <w:rPr>
                <w:rFonts w:ascii="宋体" w:hAnsi="宋体"/>
                <w:color w:val="000000"/>
                <w:sz w:val="28"/>
                <w:szCs w:val="30"/>
              </w:rPr>
              <w:t>设备品种</w:t>
            </w:r>
          </w:p>
        </w:tc>
        <w:tc>
          <w:tcPr>
            <w:tcW w:w="648" w:type="pct"/>
            <w:tcBorders>
              <w:top w:val="single" w:color="auto" w:sz="12" w:space="0"/>
              <w:bottom w:val="doub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规格型号</w:t>
            </w:r>
          </w:p>
        </w:tc>
        <w:tc>
          <w:tcPr>
            <w:tcW w:w="425" w:type="pct"/>
            <w:tcBorders>
              <w:top w:val="single" w:color="auto" w:sz="12" w:space="0"/>
              <w:bottom w:val="doub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单位</w:t>
            </w:r>
          </w:p>
        </w:tc>
        <w:tc>
          <w:tcPr>
            <w:tcW w:w="384" w:type="pct"/>
            <w:tcBorders>
              <w:top w:val="single" w:color="auto" w:sz="12" w:space="0"/>
              <w:bottom w:val="doub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数量</w:t>
            </w:r>
          </w:p>
        </w:tc>
        <w:tc>
          <w:tcPr>
            <w:tcW w:w="611" w:type="pct"/>
            <w:tcBorders>
              <w:top w:val="single" w:color="auto" w:sz="12" w:space="0"/>
              <w:bottom w:val="doub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单价</w:t>
            </w:r>
            <w:r>
              <w:rPr>
                <w:rFonts w:hint="eastAsia" w:ascii="宋体" w:hAnsi="宋体"/>
                <w:color w:val="000000"/>
                <w:sz w:val="28"/>
                <w:szCs w:val="30"/>
              </w:rPr>
              <w:t>（元）</w:t>
            </w:r>
          </w:p>
        </w:tc>
        <w:tc>
          <w:tcPr>
            <w:tcW w:w="449" w:type="pct"/>
            <w:tcBorders>
              <w:top w:val="single" w:color="auto" w:sz="12" w:space="0"/>
              <w:bottom w:val="doub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质量等级</w:t>
            </w:r>
          </w:p>
        </w:tc>
        <w:tc>
          <w:tcPr>
            <w:tcW w:w="384" w:type="pct"/>
            <w:tcBorders>
              <w:top w:val="single" w:color="auto" w:sz="12" w:space="0"/>
              <w:bottom w:val="doub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供应时间</w:t>
            </w:r>
          </w:p>
        </w:tc>
        <w:tc>
          <w:tcPr>
            <w:tcW w:w="681" w:type="pct"/>
            <w:tcBorders>
              <w:top w:val="single" w:color="auto" w:sz="12" w:space="0"/>
              <w:bottom w:val="doub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送达地点</w:t>
            </w:r>
          </w:p>
        </w:tc>
        <w:tc>
          <w:tcPr>
            <w:tcW w:w="450" w:type="pct"/>
            <w:tcBorders>
              <w:top w:val="single" w:color="auto" w:sz="12" w:space="0"/>
              <w:bottom w:val="doub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84" w:type="pct"/>
            <w:tcBorders>
              <w:top w:val="doub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582" w:type="pct"/>
            <w:tcBorders>
              <w:top w:val="doub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648" w:type="pct"/>
            <w:tcBorders>
              <w:top w:val="doub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 w:type="pct"/>
            <w:tcBorders>
              <w:top w:val="doub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384" w:type="pct"/>
            <w:tcBorders>
              <w:top w:val="doub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611" w:type="pct"/>
            <w:tcBorders>
              <w:top w:val="doub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49" w:type="pct"/>
            <w:tcBorders>
              <w:top w:val="doub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384" w:type="pct"/>
            <w:tcBorders>
              <w:top w:val="doub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681" w:type="pct"/>
            <w:tcBorders>
              <w:top w:val="doub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50" w:type="pct"/>
            <w:tcBorders>
              <w:top w:val="doub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84"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582"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648"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384"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611"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49"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384"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681"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50" w:type="pct"/>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84"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582"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648"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384"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611"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49"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384"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681"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50"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84"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582"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648"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384"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611"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49"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384"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681"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50"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84"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582"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648"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384"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611"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49"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384"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681"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50"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84"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582"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648"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384"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611"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49"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384"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681"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50"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84"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582"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648"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384"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611"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49"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384"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681"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50"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84"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582"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648"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384"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611"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49"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384"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681"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50"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84" w:type="pct"/>
            <w:noWrap w:val="0"/>
            <w:vAlign w:val="center"/>
          </w:tcPr>
          <w:p>
            <w:pPr>
              <w:pStyle w:val="167"/>
              <w:jc w:val="center"/>
              <w:rPr>
                <w:rFonts w:ascii="宋体" w:hAnsi="宋体"/>
                <w:color w:val="000000"/>
                <w:sz w:val="30"/>
                <w:szCs w:val="30"/>
              </w:rPr>
            </w:pPr>
          </w:p>
        </w:tc>
        <w:tc>
          <w:tcPr>
            <w:tcW w:w="582" w:type="pct"/>
            <w:noWrap w:val="0"/>
            <w:vAlign w:val="center"/>
          </w:tcPr>
          <w:p>
            <w:pPr>
              <w:pStyle w:val="167"/>
              <w:jc w:val="center"/>
              <w:rPr>
                <w:rFonts w:ascii="宋体" w:hAnsi="宋体"/>
                <w:color w:val="000000"/>
                <w:sz w:val="30"/>
                <w:szCs w:val="30"/>
              </w:rPr>
            </w:pPr>
          </w:p>
        </w:tc>
        <w:tc>
          <w:tcPr>
            <w:tcW w:w="648" w:type="pct"/>
            <w:noWrap w:val="0"/>
            <w:vAlign w:val="center"/>
          </w:tcPr>
          <w:p>
            <w:pPr>
              <w:pStyle w:val="167"/>
              <w:jc w:val="center"/>
              <w:rPr>
                <w:rFonts w:ascii="宋体" w:hAnsi="宋体"/>
                <w:color w:val="000000"/>
                <w:sz w:val="30"/>
                <w:szCs w:val="30"/>
              </w:rPr>
            </w:pPr>
          </w:p>
        </w:tc>
        <w:tc>
          <w:tcPr>
            <w:tcW w:w="425" w:type="pct"/>
            <w:noWrap w:val="0"/>
            <w:vAlign w:val="center"/>
          </w:tcPr>
          <w:p>
            <w:pPr>
              <w:pStyle w:val="167"/>
              <w:jc w:val="center"/>
              <w:rPr>
                <w:rFonts w:ascii="宋体" w:hAnsi="宋体"/>
                <w:color w:val="000000"/>
                <w:sz w:val="30"/>
                <w:szCs w:val="30"/>
              </w:rPr>
            </w:pPr>
          </w:p>
        </w:tc>
        <w:tc>
          <w:tcPr>
            <w:tcW w:w="384" w:type="pct"/>
            <w:noWrap w:val="0"/>
            <w:vAlign w:val="center"/>
          </w:tcPr>
          <w:p>
            <w:pPr>
              <w:pStyle w:val="167"/>
              <w:jc w:val="center"/>
              <w:rPr>
                <w:rFonts w:ascii="宋体" w:hAnsi="宋体"/>
                <w:color w:val="000000"/>
                <w:sz w:val="30"/>
                <w:szCs w:val="30"/>
              </w:rPr>
            </w:pPr>
          </w:p>
        </w:tc>
        <w:tc>
          <w:tcPr>
            <w:tcW w:w="611" w:type="pct"/>
            <w:noWrap w:val="0"/>
            <w:vAlign w:val="center"/>
          </w:tcPr>
          <w:p>
            <w:pPr>
              <w:pStyle w:val="167"/>
              <w:jc w:val="center"/>
              <w:rPr>
                <w:rFonts w:ascii="宋体" w:hAnsi="宋体"/>
                <w:color w:val="000000"/>
                <w:sz w:val="30"/>
                <w:szCs w:val="30"/>
              </w:rPr>
            </w:pPr>
          </w:p>
        </w:tc>
        <w:tc>
          <w:tcPr>
            <w:tcW w:w="449" w:type="pct"/>
            <w:noWrap w:val="0"/>
            <w:vAlign w:val="center"/>
          </w:tcPr>
          <w:p>
            <w:pPr>
              <w:pStyle w:val="167"/>
              <w:jc w:val="center"/>
              <w:rPr>
                <w:rFonts w:ascii="宋体" w:hAnsi="宋体"/>
                <w:color w:val="000000"/>
                <w:sz w:val="30"/>
                <w:szCs w:val="30"/>
              </w:rPr>
            </w:pPr>
          </w:p>
        </w:tc>
        <w:tc>
          <w:tcPr>
            <w:tcW w:w="384" w:type="pct"/>
            <w:noWrap w:val="0"/>
            <w:vAlign w:val="center"/>
          </w:tcPr>
          <w:p>
            <w:pPr>
              <w:pStyle w:val="167"/>
              <w:jc w:val="center"/>
              <w:rPr>
                <w:rFonts w:ascii="宋体" w:hAnsi="宋体"/>
                <w:color w:val="000000"/>
                <w:sz w:val="30"/>
                <w:szCs w:val="30"/>
              </w:rPr>
            </w:pPr>
          </w:p>
        </w:tc>
        <w:tc>
          <w:tcPr>
            <w:tcW w:w="681" w:type="pct"/>
            <w:noWrap w:val="0"/>
            <w:vAlign w:val="center"/>
          </w:tcPr>
          <w:p>
            <w:pPr>
              <w:pStyle w:val="167"/>
              <w:jc w:val="center"/>
              <w:rPr>
                <w:rFonts w:ascii="宋体" w:hAnsi="宋体"/>
                <w:color w:val="000000"/>
                <w:sz w:val="30"/>
                <w:szCs w:val="30"/>
              </w:rPr>
            </w:pPr>
          </w:p>
        </w:tc>
        <w:tc>
          <w:tcPr>
            <w:tcW w:w="450" w:type="pct"/>
            <w:noWrap w:val="0"/>
            <w:vAlign w:val="center"/>
          </w:tcPr>
          <w:p>
            <w:pPr>
              <w:pStyle w:val="167"/>
              <w:jc w:val="center"/>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84"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582"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648"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384"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611"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49"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384"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681"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50" w:type="pct"/>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84" w:type="pct"/>
            <w:noWrap w:val="0"/>
            <w:vAlign w:val="center"/>
          </w:tcPr>
          <w:p>
            <w:pPr>
              <w:pStyle w:val="167"/>
              <w:jc w:val="center"/>
              <w:rPr>
                <w:rFonts w:ascii="宋体" w:hAnsi="宋体"/>
                <w:color w:val="000000"/>
                <w:sz w:val="30"/>
                <w:szCs w:val="30"/>
              </w:rPr>
            </w:pPr>
          </w:p>
        </w:tc>
        <w:tc>
          <w:tcPr>
            <w:tcW w:w="582" w:type="pct"/>
            <w:noWrap w:val="0"/>
            <w:vAlign w:val="center"/>
          </w:tcPr>
          <w:p>
            <w:pPr>
              <w:pStyle w:val="167"/>
              <w:jc w:val="center"/>
              <w:rPr>
                <w:rFonts w:ascii="宋体" w:hAnsi="宋体"/>
                <w:color w:val="000000"/>
                <w:sz w:val="30"/>
                <w:szCs w:val="30"/>
              </w:rPr>
            </w:pPr>
          </w:p>
        </w:tc>
        <w:tc>
          <w:tcPr>
            <w:tcW w:w="648" w:type="pct"/>
            <w:noWrap w:val="0"/>
            <w:vAlign w:val="center"/>
          </w:tcPr>
          <w:p>
            <w:pPr>
              <w:pStyle w:val="167"/>
              <w:jc w:val="center"/>
              <w:rPr>
                <w:rFonts w:ascii="宋体" w:hAnsi="宋体"/>
                <w:color w:val="000000"/>
                <w:sz w:val="30"/>
                <w:szCs w:val="30"/>
              </w:rPr>
            </w:pPr>
          </w:p>
        </w:tc>
        <w:tc>
          <w:tcPr>
            <w:tcW w:w="425" w:type="pct"/>
            <w:noWrap w:val="0"/>
            <w:vAlign w:val="center"/>
          </w:tcPr>
          <w:p>
            <w:pPr>
              <w:pStyle w:val="167"/>
              <w:jc w:val="center"/>
              <w:rPr>
                <w:rFonts w:ascii="宋体" w:hAnsi="宋体"/>
                <w:color w:val="000000"/>
                <w:sz w:val="30"/>
                <w:szCs w:val="30"/>
              </w:rPr>
            </w:pPr>
          </w:p>
        </w:tc>
        <w:tc>
          <w:tcPr>
            <w:tcW w:w="384" w:type="pct"/>
            <w:noWrap w:val="0"/>
            <w:vAlign w:val="center"/>
          </w:tcPr>
          <w:p>
            <w:pPr>
              <w:pStyle w:val="167"/>
              <w:jc w:val="center"/>
              <w:rPr>
                <w:rFonts w:ascii="宋体" w:hAnsi="宋体"/>
                <w:color w:val="000000"/>
                <w:sz w:val="30"/>
                <w:szCs w:val="30"/>
              </w:rPr>
            </w:pPr>
          </w:p>
        </w:tc>
        <w:tc>
          <w:tcPr>
            <w:tcW w:w="611" w:type="pct"/>
            <w:noWrap w:val="0"/>
            <w:vAlign w:val="center"/>
          </w:tcPr>
          <w:p>
            <w:pPr>
              <w:pStyle w:val="167"/>
              <w:jc w:val="center"/>
              <w:rPr>
                <w:rFonts w:ascii="宋体" w:hAnsi="宋体"/>
                <w:color w:val="000000"/>
                <w:sz w:val="30"/>
                <w:szCs w:val="30"/>
              </w:rPr>
            </w:pPr>
          </w:p>
        </w:tc>
        <w:tc>
          <w:tcPr>
            <w:tcW w:w="449" w:type="pct"/>
            <w:noWrap w:val="0"/>
            <w:vAlign w:val="center"/>
          </w:tcPr>
          <w:p>
            <w:pPr>
              <w:pStyle w:val="167"/>
              <w:jc w:val="center"/>
              <w:rPr>
                <w:rFonts w:ascii="宋体" w:hAnsi="宋体"/>
                <w:color w:val="000000"/>
                <w:sz w:val="30"/>
                <w:szCs w:val="30"/>
              </w:rPr>
            </w:pPr>
          </w:p>
        </w:tc>
        <w:tc>
          <w:tcPr>
            <w:tcW w:w="384" w:type="pct"/>
            <w:noWrap w:val="0"/>
            <w:vAlign w:val="center"/>
          </w:tcPr>
          <w:p>
            <w:pPr>
              <w:pStyle w:val="167"/>
              <w:jc w:val="center"/>
              <w:rPr>
                <w:rFonts w:ascii="宋体" w:hAnsi="宋体"/>
                <w:color w:val="000000"/>
                <w:sz w:val="30"/>
                <w:szCs w:val="30"/>
              </w:rPr>
            </w:pPr>
          </w:p>
        </w:tc>
        <w:tc>
          <w:tcPr>
            <w:tcW w:w="681" w:type="pct"/>
            <w:noWrap w:val="0"/>
            <w:vAlign w:val="center"/>
          </w:tcPr>
          <w:p>
            <w:pPr>
              <w:pStyle w:val="167"/>
              <w:jc w:val="center"/>
              <w:rPr>
                <w:rFonts w:ascii="宋体" w:hAnsi="宋体"/>
                <w:color w:val="000000"/>
                <w:sz w:val="30"/>
                <w:szCs w:val="30"/>
              </w:rPr>
            </w:pPr>
          </w:p>
        </w:tc>
        <w:tc>
          <w:tcPr>
            <w:tcW w:w="450" w:type="pct"/>
            <w:noWrap w:val="0"/>
            <w:vAlign w:val="center"/>
          </w:tcPr>
          <w:p>
            <w:pPr>
              <w:pStyle w:val="167"/>
              <w:jc w:val="center"/>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84" w:type="pct"/>
            <w:noWrap w:val="0"/>
            <w:vAlign w:val="center"/>
          </w:tcPr>
          <w:p>
            <w:pPr>
              <w:pStyle w:val="167"/>
              <w:jc w:val="center"/>
              <w:rPr>
                <w:rFonts w:ascii="宋体" w:hAnsi="宋体"/>
                <w:color w:val="000000"/>
                <w:sz w:val="30"/>
                <w:szCs w:val="30"/>
              </w:rPr>
            </w:pPr>
          </w:p>
        </w:tc>
        <w:tc>
          <w:tcPr>
            <w:tcW w:w="582" w:type="pct"/>
            <w:noWrap w:val="0"/>
            <w:vAlign w:val="center"/>
          </w:tcPr>
          <w:p>
            <w:pPr>
              <w:pStyle w:val="167"/>
              <w:jc w:val="center"/>
              <w:rPr>
                <w:rFonts w:ascii="宋体" w:hAnsi="宋体"/>
                <w:color w:val="000000"/>
                <w:sz w:val="30"/>
                <w:szCs w:val="30"/>
              </w:rPr>
            </w:pPr>
          </w:p>
        </w:tc>
        <w:tc>
          <w:tcPr>
            <w:tcW w:w="648" w:type="pct"/>
            <w:noWrap w:val="0"/>
            <w:vAlign w:val="center"/>
          </w:tcPr>
          <w:p>
            <w:pPr>
              <w:pStyle w:val="167"/>
              <w:jc w:val="center"/>
              <w:rPr>
                <w:rFonts w:ascii="宋体" w:hAnsi="宋体"/>
                <w:color w:val="000000"/>
                <w:sz w:val="30"/>
                <w:szCs w:val="30"/>
              </w:rPr>
            </w:pPr>
          </w:p>
        </w:tc>
        <w:tc>
          <w:tcPr>
            <w:tcW w:w="425" w:type="pct"/>
            <w:noWrap w:val="0"/>
            <w:vAlign w:val="center"/>
          </w:tcPr>
          <w:p>
            <w:pPr>
              <w:pStyle w:val="167"/>
              <w:jc w:val="center"/>
              <w:rPr>
                <w:rFonts w:ascii="宋体" w:hAnsi="宋体"/>
                <w:color w:val="000000"/>
                <w:sz w:val="30"/>
                <w:szCs w:val="30"/>
              </w:rPr>
            </w:pPr>
          </w:p>
        </w:tc>
        <w:tc>
          <w:tcPr>
            <w:tcW w:w="384" w:type="pct"/>
            <w:noWrap w:val="0"/>
            <w:vAlign w:val="center"/>
          </w:tcPr>
          <w:p>
            <w:pPr>
              <w:pStyle w:val="167"/>
              <w:jc w:val="center"/>
              <w:rPr>
                <w:rFonts w:ascii="宋体" w:hAnsi="宋体"/>
                <w:color w:val="000000"/>
                <w:sz w:val="30"/>
                <w:szCs w:val="30"/>
              </w:rPr>
            </w:pPr>
          </w:p>
        </w:tc>
        <w:tc>
          <w:tcPr>
            <w:tcW w:w="611" w:type="pct"/>
            <w:noWrap w:val="0"/>
            <w:vAlign w:val="center"/>
          </w:tcPr>
          <w:p>
            <w:pPr>
              <w:pStyle w:val="167"/>
              <w:jc w:val="center"/>
              <w:rPr>
                <w:rFonts w:ascii="宋体" w:hAnsi="宋体"/>
                <w:color w:val="000000"/>
                <w:sz w:val="30"/>
                <w:szCs w:val="30"/>
              </w:rPr>
            </w:pPr>
          </w:p>
        </w:tc>
        <w:tc>
          <w:tcPr>
            <w:tcW w:w="449" w:type="pct"/>
            <w:noWrap w:val="0"/>
            <w:vAlign w:val="center"/>
          </w:tcPr>
          <w:p>
            <w:pPr>
              <w:pStyle w:val="167"/>
              <w:jc w:val="center"/>
              <w:rPr>
                <w:rFonts w:ascii="宋体" w:hAnsi="宋体"/>
                <w:color w:val="000000"/>
                <w:sz w:val="30"/>
                <w:szCs w:val="30"/>
              </w:rPr>
            </w:pPr>
          </w:p>
        </w:tc>
        <w:tc>
          <w:tcPr>
            <w:tcW w:w="384" w:type="pct"/>
            <w:noWrap w:val="0"/>
            <w:vAlign w:val="center"/>
          </w:tcPr>
          <w:p>
            <w:pPr>
              <w:pStyle w:val="167"/>
              <w:jc w:val="center"/>
              <w:rPr>
                <w:rFonts w:ascii="宋体" w:hAnsi="宋体"/>
                <w:color w:val="000000"/>
                <w:sz w:val="30"/>
                <w:szCs w:val="30"/>
              </w:rPr>
            </w:pPr>
          </w:p>
        </w:tc>
        <w:tc>
          <w:tcPr>
            <w:tcW w:w="681" w:type="pct"/>
            <w:noWrap w:val="0"/>
            <w:vAlign w:val="center"/>
          </w:tcPr>
          <w:p>
            <w:pPr>
              <w:pStyle w:val="167"/>
              <w:jc w:val="center"/>
              <w:rPr>
                <w:rFonts w:ascii="宋体" w:hAnsi="宋体"/>
                <w:color w:val="000000"/>
                <w:sz w:val="30"/>
                <w:szCs w:val="30"/>
              </w:rPr>
            </w:pPr>
          </w:p>
        </w:tc>
        <w:tc>
          <w:tcPr>
            <w:tcW w:w="450" w:type="pct"/>
            <w:noWrap w:val="0"/>
            <w:vAlign w:val="center"/>
          </w:tcPr>
          <w:p>
            <w:pPr>
              <w:pStyle w:val="167"/>
              <w:jc w:val="center"/>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84" w:type="pct"/>
            <w:noWrap w:val="0"/>
            <w:vAlign w:val="center"/>
          </w:tcPr>
          <w:p>
            <w:pPr>
              <w:pStyle w:val="167"/>
              <w:jc w:val="center"/>
              <w:rPr>
                <w:rFonts w:ascii="宋体" w:hAnsi="宋体"/>
                <w:color w:val="000000"/>
                <w:sz w:val="30"/>
                <w:szCs w:val="30"/>
              </w:rPr>
            </w:pPr>
          </w:p>
        </w:tc>
        <w:tc>
          <w:tcPr>
            <w:tcW w:w="582" w:type="pct"/>
            <w:noWrap w:val="0"/>
            <w:vAlign w:val="center"/>
          </w:tcPr>
          <w:p>
            <w:pPr>
              <w:pStyle w:val="167"/>
              <w:jc w:val="center"/>
              <w:rPr>
                <w:rFonts w:ascii="宋体" w:hAnsi="宋体"/>
                <w:color w:val="000000"/>
                <w:sz w:val="30"/>
                <w:szCs w:val="30"/>
              </w:rPr>
            </w:pPr>
          </w:p>
        </w:tc>
        <w:tc>
          <w:tcPr>
            <w:tcW w:w="648" w:type="pct"/>
            <w:noWrap w:val="0"/>
            <w:vAlign w:val="center"/>
          </w:tcPr>
          <w:p>
            <w:pPr>
              <w:pStyle w:val="167"/>
              <w:jc w:val="center"/>
              <w:rPr>
                <w:rFonts w:ascii="宋体" w:hAnsi="宋体"/>
                <w:color w:val="000000"/>
                <w:sz w:val="30"/>
                <w:szCs w:val="30"/>
              </w:rPr>
            </w:pPr>
          </w:p>
        </w:tc>
        <w:tc>
          <w:tcPr>
            <w:tcW w:w="425" w:type="pct"/>
            <w:noWrap w:val="0"/>
            <w:vAlign w:val="center"/>
          </w:tcPr>
          <w:p>
            <w:pPr>
              <w:pStyle w:val="167"/>
              <w:jc w:val="center"/>
              <w:rPr>
                <w:rFonts w:ascii="宋体" w:hAnsi="宋体"/>
                <w:color w:val="000000"/>
                <w:sz w:val="30"/>
                <w:szCs w:val="30"/>
              </w:rPr>
            </w:pPr>
          </w:p>
        </w:tc>
        <w:tc>
          <w:tcPr>
            <w:tcW w:w="384" w:type="pct"/>
            <w:noWrap w:val="0"/>
            <w:vAlign w:val="center"/>
          </w:tcPr>
          <w:p>
            <w:pPr>
              <w:pStyle w:val="167"/>
              <w:jc w:val="center"/>
              <w:rPr>
                <w:rFonts w:ascii="宋体" w:hAnsi="宋体"/>
                <w:color w:val="000000"/>
                <w:sz w:val="30"/>
                <w:szCs w:val="30"/>
              </w:rPr>
            </w:pPr>
          </w:p>
        </w:tc>
        <w:tc>
          <w:tcPr>
            <w:tcW w:w="611" w:type="pct"/>
            <w:noWrap w:val="0"/>
            <w:vAlign w:val="center"/>
          </w:tcPr>
          <w:p>
            <w:pPr>
              <w:pStyle w:val="167"/>
              <w:jc w:val="center"/>
              <w:rPr>
                <w:rFonts w:ascii="宋体" w:hAnsi="宋体"/>
                <w:color w:val="000000"/>
                <w:sz w:val="30"/>
                <w:szCs w:val="30"/>
              </w:rPr>
            </w:pPr>
          </w:p>
        </w:tc>
        <w:tc>
          <w:tcPr>
            <w:tcW w:w="449" w:type="pct"/>
            <w:noWrap w:val="0"/>
            <w:vAlign w:val="center"/>
          </w:tcPr>
          <w:p>
            <w:pPr>
              <w:pStyle w:val="167"/>
              <w:jc w:val="center"/>
              <w:rPr>
                <w:rFonts w:ascii="宋体" w:hAnsi="宋体"/>
                <w:color w:val="000000"/>
                <w:sz w:val="30"/>
                <w:szCs w:val="30"/>
              </w:rPr>
            </w:pPr>
          </w:p>
        </w:tc>
        <w:tc>
          <w:tcPr>
            <w:tcW w:w="384" w:type="pct"/>
            <w:noWrap w:val="0"/>
            <w:vAlign w:val="center"/>
          </w:tcPr>
          <w:p>
            <w:pPr>
              <w:pStyle w:val="167"/>
              <w:jc w:val="center"/>
              <w:rPr>
                <w:rFonts w:ascii="宋体" w:hAnsi="宋体"/>
                <w:color w:val="000000"/>
                <w:sz w:val="30"/>
                <w:szCs w:val="30"/>
              </w:rPr>
            </w:pPr>
          </w:p>
        </w:tc>
        <w:tc>
          <w:tcPr>
            <w:tcW w:w="681" w:type="pct"/>
            <w:noWrap w:val="0"/>
            <w:vAlign w:val="center"/>
          </w:tcPr>
          <w:p>
            <w:pPr>
              <w:pStyle w:val="167"/>
              <w:jc w:val="center"/>
              <w:rPr>
                <w:rFonts w:ascii="宋体" w:hAnsi="宋体"/>
                <w:color w:val="000000"/>
                <w:sz w:val="30"/>
                <w:szCs w:val="30"/>
              </w:rPr>
            </w:pPr>
          </w:p>
        </w:tc>
        <w:tc>
          <w:tcPr>
            <w:tcW w:w="450" w:type="pct"/>
            <w:noWrap w:val="0"/>
            <w:vAlign w:val="center"/>
          </w:tcPr>
          <w:p>
            <w:pPr>
              <w:pStyle w:val="167"/>
              <w:jc w:val="center"/>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84" w:type="pct"/>
            <w:noWrap w:val="0"/>
            <w:vAlign w:val="center"/>
          </w:tcPr>
          <w:p>
            <w:pPr>
              <w:pStyle w:val="167"/>
              <w:jc w:val="center"/>
              <w:rPr>
                <w:rFonts w:ascii="宋体" w:hAnsi="宋体"/>
                <w:color w:val="000000"/>
                <w:sz w:val="30"/>
                <w:szCs w:val="30"/>
              </w:rPr>
            </w:pPr>
          </w:p>
        </w:tc>
        <w:tc>
          <w:tcPr>
            <w:tcW w:w="582" w:type="pct"/>
            <w:noWrap w:val="0"/>
            <w:vAlign w:val="center"/>
          </w:tcPr>
          <w:p>
            <w:pPr>
              <w:pStyle w:val="167"/>
              <w:jc w:val="center"/>
              <w:rPr>
                <w:rFonts w:ascii="宋体" w:hAnsi="宋体"/>
                <w:color w:val="000000"/>
                <w:sz w:val="30"/>
                <w:szCs w:val="30"/>
              </w:rPr>
            </w:pPr>
          </w:p>
        </w:tc>
        <w:tc>
          <w:tcPr>
            <w:tcW w:w="648" w:type="pct"/>
            <w:noWrap w:val="0"/>
            <w:vAlign w:val="center"/>
          </w:tcPr>
          <w:p>
            <w:pPr>
              <w:pStyle w:val="167"/>
              <w:jc w:val="center"/>
              <w:rPr>
                <w:rFonts w:ascii="宋体" w:hAnsi="宋体"/>
                <w:color w:val="000000"/>
                <w:sz w:val="30"/>
                <w:szCs w:val="30"/>
              </w:rPr>
            </w:pPr>
          </w:p>
        </w:tc>
        <w:tc>
          <w:tcPr>
            <w:tcW w:w="425" w:type="pct"/>
            <w:noWrap w:val="0"/>
            <w:vAlign w:val="center"/>
          </w:tcPr>
          <w:p>
            <w:pPr>
              <w:pStyle w:val="167"/>
              <w:jc w:val="center"/>
              <w:rPr>
                <w:rFonts w:ascii="宋体" w:hAnsi="宋体"/>
                <w:color w:val="000000"/>
                <w:sz w:val="30"/>
                <w:szCs w:val="30"/>
              </w:rPr>
            </w:pPr>
          </w:p>
        </w:tc>
        <w:tc>
          <w:tcPr>
            <w:tcW w:w="384" w:type="pct"/>
            <w:noWrap w:val="0"/>
            <w:vAlign w:val="center"/>
          </w:tcPr>
          <w:p>
            <w:pPr>
              <w:pStyle w:val="167"/>
              <w:jc w:val="center"/>
              <w:rPr>
                <w:rFonts w:ascii="宋体" w:hAnsi="宋体"/>
                <w:color w:val="000000"/>
                <w:sz w:val="30"/>
                <w:szCs w:val="30"/>
              </w:rPr>
            </w:pPr>
          </w:p>
        </w:tc>
        <w:tc>
          <w:tcPr>
            <w:tcW w:w="611" w:type="pct"/>
            <w:noWrap w:val="0"/>
            <w:vAlign w:val="center"/>
          </w:tcPr>
          <w:p>
            <w:pPr>
              <w:pStyle w:val="167"/>
              <w:jc w:val="center"/>
              <w:rPr>
                <w:rFonts w:ascii="宋体" w:hAnsi="宋体"/>
                <w:color w:val="000000"/>
                <w:sz w:val="30"/>
                <w:szCs w:val="30"/>
              </w:rPr>
            </w:pPr>
          </w:p>
        </w:tc>
        <w:tc>
          <w:tcPr>
            <w:tcW w:w="449" w:type="pct"/>
            <w:noWrap w:val="0"/>
            <w:vAlign w:val="center"/>
          </w:tcPr>
          <w:p>
            <w:pPr>
              <w:pStyle w:val="167"/>
              <w:jc w:val="center"/>
              <w:rPr>
                <w:rFonts w:ascii="宋体" w:hAnsi="宋体"/>
                <w:color w:val="000000"/>
                <w:sz w:val="30"/>
                <w:szCs w:val="30"/>
              </w:rPr>
            </w:pPr>
          </w:p>
        </w:tc>
        <w:tc>
          <w:tcPr>
            <w:tcW w:w="384" w:type="pct"/>
            <w:noWrap w:val="0"/>
            <w:vAlign w:val="center"/>
          </w:tcPr>
          <w:p>
            <w:pPr>
              <w:pStyle w:val="167"/>
              <w:jc w:val="center"/>
              <w:rPr>
                <w:rFonts w:ascii="宋体" w:hAnsi="宋体"/>
                <w:color w:val="000000"/>
                <w:sz w:val="30"/>
                <w:szCs w:val="30"/>
              </w:rPr>
            </w:pPr>
          </w:p>
        </w:tc>
        <w:tc>
          <w:tcPr>
            <w:tcW w:w="681" w:type="pct"/>
            <w:noWrap w:val="0"/>
            <w:vAlign w:val="center"/>
          </w:tcPr>
          <w:p>
            <w:pPr>
              <w:pStyle w:val="167"/>
              <w:jc w:val="center"/>
              <w:rPr>
                <w:rFonts w:ascii="宋体" w:hAnsi="宋体"/>
                <w:color w:val="000000"/>
                <w:sz w:val="30"/>
                <w:szCs w:val="30"/>
              </w:rPr>
            </w:pPr>
          </w:p>
        </w:tc>
        <w:tc>
          <w:tcPr>
            <w:tcW w:w="450" w:type="pct"/>
            <w:noWrap w:val="0"/>
            <w:vAlign w:val="center"/>
          </w:tcPr>
          <w:p>
            <w:pPr>
              <w:pStyle w:val="167"/>
              <w:jc w:val="center"/>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84" w:type="pct"/>
            <w:noWrap w:val="0"/>
            <w:vAlign w:val="center"/>
          </w:tcPr>
          <w:p>
            <w:pPr>
              <w:pStyle w:val="167"/>
              <w:jc w:val="center"/>
              <w:rPr>
                <w:rFonts w:ascii="宋体" w:hAnsi="宋体"/>
                <w:color w:val="000000"/>
                <w:sz w:val="30"/>
                <w:szCs w:val="30"/>
              </w:rPr>
            </w:pPr>
          </w:p>
        </w:tc>
        <w:tc>
          <w:tcPr>
            <w:tcW w:w="582" w:type="pct"/>
            <w:noWrap w:val="0"/>
            <w:vAlign w:val="center"/>
          </w:tcPr>
          <w:p>
            <w:pPr>
              <w:pStyle w:val="167"/>
              <w:jc w:val="center"/>
              <w:rPr>
                <w:rFonts w:ascii="宋体" w:hAnsi="宋体"/>
                <w:color w:val="000000"/>
                <w:sz w:val="30"/>
                <w:szCs w:val="30"/>
              </w:rPr>
            </w:pPr>
          </w:p>
        </w:tc>
        <w:tc>
          <w:tcPr>
            <w:tcW w:w="648" w:type="pct"/>
            <w:noWrap w:val="0"/>
            <w:vAlign w:val="center"/>
          </w:tcPr>
          <w:p>
            <w:pPr>
              <w:pStyle w:val="167"/>
              <w:jc w:val="center"/>
              <w:rPr>
                <w:rFonts w:ascii="宋体" w:hAnsi="宋体"/>
                <w:color w:val="000000"/>
                <w:sz w:val="30"/>
                <w:szCs w:val="30"/>
              </w:rPr>
            </w:pPr>
          </w:p>
        </w:tc>
        <w:tc>
          <w:tcPr>
            <w:tcW w:w="425" w:type="pct"/>
            <w:noWrap w:val="0"/>
            <w:vAlign w:val="center"/>
          </w:tcPr>
          <w:p>
            <w:pPr>
              <w:pStyle w:val="167"/>
              <w:jc w:val="center"/>
              <w:rPr>
                <w:rFonts w:ascii="宋体" w:hAnsi="宋体"/>
                <w:color w:val="000000"/>
                <w:sz w:val="30"/>
                <w:szCs w:val="30"/>
              </w:rPr>
            </w:pPr>
          </w:p>
        </w:tc>
        <w:tc>
          <w:tcPr>
            <w:tcW w:w="384" w:type="pct"/>
            <w:noWrap w:val="0"/>
            <w:vAlign w:val="center"/>
          </w:tcPr>
          <w:p>
            <w:pPr>
              <w:pStyle w:val="167"/>
              <w:jc w:val="center"/>
              <w:rPr>
                <w:rFonts w:ascii="宋体" w:hAnsi="宋体"/>
                <w:color w:val="000000"/>
                <w:sz w:val="30"/>
                <w:szCs w:val="30"/>
              </w:rPr>
            </w:pPr>
          </w:p>
        </w:tc>
        <w:tc>
          <w:tcPr>
            <w:tcW w:w="611" w:type="pct"/>
            <w:noWrap w:val="0"/>
            <w:vAlign w:val="center"/>
          </w:tcPr>
          <w:p>
            <w:pPr>
              <w:pStyle w:val="167"/>
              <w:jc w:val="center"/>
              <w:rPr>
                <w:rFonts w:ascii="宋体" w:hAnsi="宋体"/>
                <w:color w:val="000000"/>
                <w:sz w:val="30"/>
                <w:szCs w:val="30"/>
              </w:rPr>
            </w:pPr>
          </w:p>
        </w:tc>
        <w:tc>
          <w:tcPr>
            <w:tcW w:w="449" w:type="pct"/>
            <w:noWrap w:val="0"/>
            <w:vAlign w:val="center"/>
          </w:tcPr>
          <w:p>
            <w:pPr>
              <w:pStyle w:val="167"/>
              <w:jc w:val="center"/>
              <w:rPr>
                <w:rFonts w:ascii="宋体" w:hAnsi="宋体"/>
                <w:color w:val="000000"/>
                <w:sz w:val="30"/>
                <w:szCs w:val="30"/>
              </w:rPr>
            </w:pPr>
          </w:p>
        </w:tc>
        <w:tc>
          <w:tcPr>
            <w:tcW w:w="384" w:type="pct"/>
            <w:noWrap w:val="0"/>
            <w:vAlign w:val="center"/>
          </w:tcPr>
          <w:p>
            <w:pPr>
              <w:pStyle w:val="167"/>
              <w:jc w:val="center"/>
              <w:rPr>
                <w:rFonts w:ascii="宋体" w:hAnsi="宋体"/>
                <w:color w:val="000000"/>
                <w:sz w:val="30"/>
                <w:szCs w:val="30"/>
              </w:rPr>
            </w:pPr>
          </w:p>
        </w:tc>
        <w:tc>
          <w:tcPr>
            <w:tcW w:w="681" w:type="pct"/>
            <w:noWrap w:val="0"/>
            <w:vAlign w:val="center"/>
          </w:tcPr>
          <w:p>
            <w:pPr>
              <w:pStyle w:val="167"/>
              <w:jc w:val="center"/>
              <w:rPr>
                <w:rFonts w:ascii="宋体" w:hAnsi="宋体"/>
                <w:color w:val="000000"/>
                <w:sz w:val="30"/>
                <w:szCs w:val="30"/>
              </w:rPr>
            </w:pPr>
          </w:p>
        </w:tc>
        <w:tc>
          <w:tcPr>
            <w:tcW w:w="450" w:type="pct"/>
            <w:noWrap w:val="0"/>
            <w:vAlign w:val="center"/>
          </w:tcPr>
          <w:p>
            <w:pPr>
              <w:pStyle w:val="167"/>
              <w:jc w:val="center"/>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384" w:type="pct"/>
            <w:noWrap w:val="0"/>
            <w:vAlign w:val="center"/>
          </w:tcPr>
          <w:p>
            <w:pPr>
              <w:pStyle w:val="167"/>
              <w:jc w:val="center"/>
              <w:rPr>
                <w:rFonts w:ascii="宋体" w:hAnsi="宋体"/>
                <w:color w:val="000000"/>
                <w:sz w:val="30"/>
                <w:szCs w:val="30"/>
              </w:rPr>
            </w:pPr>
          </w:p>
        </w:tc>
        <w:tc>
          <w:tcPr>
            <w:tcW w:w="582" w:type="pct"/>
            <w:noWrap w:val="0"/>
            <w:vAlign w:val="center"/>
          </w:tcPr>
          <w:p>
            <w:pPr>
              <w:pStyle w:val="167"/>
              <w:jc w:val="center"/>
              <w:rPr>
                <w:rFonts w:ascii="宋体" w:hAnsi="宋体"/>
                <w:color w:val="000000"/>
                <w:sz w:val="30"/>
                <w:szCs w:val="30"/>
              </w:rPr>
            </w:pPr>
          </w:p>
        </w:tc>
        <w:tc>
          <w:tcPr>
            <w:tcW w:w="648" w:type="pct"/>
            <w:noWrap w:val="0"/>
            <w:vAlign w:val="center"/>
          </w:tcPr>
          <w:p>
            <w:pPr>
              <w:pStyle w:val="167"/>
              <w:jc w:val="center"/>
              <w:rPr>
                <w:rFonts w:ascii="宋体" w:hAnsi="宋体"/>
                <w:color w:val="000000"/>
                <w:sz w:val="30"/>
                <w:szCs w:val="30"/>
              </w:rPr>
            </w:pPr>
          </w:p>
        </w:tc>
        <w:tc>
          <w:tcPr>
            <w:tcW w:w="425" w:type="pct"/>
            <w:noWrap w:val="0"/>
            <w:vAlign w:val="center"/>
          </w:tcPr>
          <w:p>
            <w:pPr>
              <w:pStyle w:val="167"/>
              <w:jc w:val="center"/>
              <w:rPr>
                <w:rFonts w:ascii="宋体" w:hAnsi="宋体"/>
                <w:color w:val="000000"/>
                <w:sz w:val="30"/>
                <w:szCs w:val="30"/>
              </w:rPr>
            </w:pPr>
          </w:p>
        </w:tc>
        <w:tc>
          <w:tcPr>
            <w:tcW w:w="384" w:type="pct"/>
            <w:noWrap w:val="0"/>
            <w:vAlign w:val="center"/>
          </w:tcPr>
          <w:p>
            <w:pPr>
              <w:pStyle w:val="167"/>
              <w:jc w:val="center"/>
              <w:rPr>
                <w:rFonts w:ascii="宋体" w:hAnsi="宋体"/>
                <w:color w:val="000000"/>
                <w:sz w:val="30"/>
                <w:szCs w:val="30"/>
              </w:rPr>
            </w:pPr>
          </w:p>
        </w:tc>
        <w:tc>
          <w:tcPr>
            <w:tcW w:w="611" w:type="pct"/>
            <w:noWrap w:val="0"/>
            <w:vAlign w:val="center"/>
          </w:tcPr>
          <w:p>
            <w:pPr>
              <w:pStyle w:val="167"/>
              <w:jc w:val="center"/>
              <w:rPr>
                <w:rFonts w:ascii="宋体" w:hAnsi="宋体"/>
                <w:color w:val="000000"/>
                <w:sz w:val="30"/>
                <w:szCs w:val="30"/>
              </w:rPr>
            </w:pPr>
          </w:p>
        </w:tc>
        <w:tc>
          <w:tcPr>
            <w:tcW w:w="449" w:type="pct"/>
            <w:noWrap w:val="0"/>
            <w:vAlign w:val="center"/>
          </w:tcPr>
          <w:p>
            <w:pPr>
              <w:pStyle w:val="167"/>
              <w:jc w:val="center"/>
              <w:rPr>
                <w:rFonts w:ascii="宋体" w:hAnsi="宋体"/>
                <w:color w:val="000000"/>
                <w:sz w:val="30"/>
                <w:szCs w:val="30"/>
              </w:rPr>
            </w:pPr>
          </w:p>
        </w:tc>
        <w:tc>
          <w:tcPr>
            <w:tcW w:w="384" w:type="pct"/>
            <w:noWrap w:val="0"/>
            <w:vAlign w:val="center"/>
          </w:tcPr>
          <w:p>
            <w:pPr>
              <w:pStyle w:val="167"/>
              <w:jc w:val="center"/>
              <w:rPr>
                <w:rFonts w:ascii="宋体" w:hAnsi="宋体"/>
                <w:color w:val="000000"/>
                <w:sz w:val="30"/>
                <w:szCs w:val="30"/>
              </w:rPr>
            </w:pPr>
          </w:p>
        </w:tc>
        <w:tc>
          <w:tcPr>
            <w:tcW w:w="681" w:type="pct"/>
            <w:noWrap w:val="0"/>
            <w:vAlign w:val="center"/>
          </w:tcPr>
          <w:p>
            <w:pPr>
              <w:pStyle w:val="167"/>
              <w:jc w:val="center"/>
              <w:rPr>
                <w:rFonts w:ascii="宋体" w:hAnsi="宋体"/>
                <w:color w:val="000000"/>
                <w:sz w:val="30"/>
                <w:szCs w:val="30"/>
              </w:rPr>
            </w:pPr>
          </w:p>
        </w:tc>
        <w:tc>
          <w:tcPr>
            <w:tcW w:w="450" w:type="pct"/>
            <w:noWrap w:val="0"/>
            <w:vAlign w:val="center"/>
          </w:tcPr>
          <w:p>
            <w:pPr>
              <w:pStyle w:val="167"/>
              <w:jc w:val="center"/>
              <w:rPr>
                <w:rFonts w:ascii="宋体" w:hAnsi="宋体"/>
                <w:color w:val="000000"/>
                <w:sz w:val="30"/>
                <w:szCs w:val="30"/>
              </w:rPr>
            </w:pPr>
          </w:p>
        </w:tc>
      </w:tr>
    </w:tbl>
    <w:p>
      <w:pPr>
        <w:pStyle w:val="167"/>
        <w:pageBreakBefore/>
        <w:spacing w:line="440" w:lineRule="exact"/>
        <w:rPr>
          <w:rFonts w:ascii="宋体" w:hAnsi="宋体"/>
          <w:color w:val="000000"/>
          <w:sz w:val="30"/>
          <w:szCs w:val="30"/>
        </w:rPr>
      </w:pPr>
      <w:r>
        <w:rPr>
          <w:rFonts w:ascii="宋体" w:hAnsi="宋体"/>
          <w:color w:val="000000"/>
          <w:sz w:val="30"/>
          <w:szCs w:val="30"/>
        </w:rPr>
        <w:t>附</w:t>
      </w:r>
      <w:bookmarkStart w:id="958" w:name="_Toc296891266"/>
      <w:bookmarkStart w:id="959" w:name="_Toc296944565"/>
      <w:bookmarkStart w:id="960" w:name="_Toc296503226"/>
      <w:bookmarkStart w:id="961" w:name="_Toc296346727"/>
      <w:bookmarkStart w:id="962" w:name="_Toc296347225"/>
      <w:bookmarkStart w:id="963" w:name="_Toc267261693"/>
      <w:bookmarkStart w:id="964" w:name="_Toc296891054"/>
      <w:r>
        <w:rPr>
          <w:rFonts w:ascii="宋体" w:hAnsi="宋体"/>
          <w:color w:val="000000"/>
          <w:sz w:val="30"/>
          <w:szCs w:val="30"/>
        </w:rPr>
        <w:t>件3：</w:t>
      </w:r>
      <w:bookmarkEnd w:id="958"/>
      <w:bookmarkEnd w:id="959"/>
      <w:bookmarkEnd w:id="960"/>
      <w:bookmarkEnd w:id="961"/>
      <w:bookmarkEnd w:id="962"/>
      <w:bookmarkEnd w:id="963"/>
      <w:bookmarkEnd w:id="964"/>
      <w:r>
        <w:rPr>
          <w:rFonts w:ascii="宋体" w:hAnsi="宋体"/>
          <w:color w:val="000000"/>
          <w:sz w:val="30"/>
          <w:szCs w:val="30"/>
        </w:rPr>
        <w:t xml:space="preserve">    </w:t>
      </w:r>
    </w:p>
    <w:p>
      <w:pPr>
        <w:pStyle w:val="167"/>
        <w:spacing w:before="156" w:beforeLines="50" w:after="156" w:afterLines="50" w:line="440" w:lineRule="exact"/>
        <w:jc w:val="center"/>
        <w:rPr>
          <w:rFonts w:ascii="宋体" w:hAnsi="宋体"/>
          <w:color w:val="000000"/>
          <w:sz w:val="30"/>
          <w:szCs w:val="30"/>
        </w:rPr>
      </w:pPr>
      <w:r>
        <w:rPr>
          <w:rFonts w:ascii="宋体" w:hAnsi="宋体"/>
          <w:color w:val="000000"/>
          <w:sz w:val="30"/>
          <w:szCs w:val="30"/>
        </w:rPr>
        <w:t>工程质量保修书</w:t>
      </w:r>
    </w:p>
    <w:p>
      <w:pPr>
        <w:pStyle w:val="167"/>
        <w:spacing w:line="440" w:lineRule="exact"/>
        <w:ind w:firstLine="420" w:firstLineChars="200"/>
        <w:rPr>
          <w:rFonts w:ascii="宋体" w:hAnsi="宋体"/>
          <w:color w:val="000000"/>
          <w:szCs w:val="21"/>
        </w:rPr>
      </w:pPr>
      <w:r>
        <w:rPr>
          <w:rFonts w:ascii="宋体" w:hAnsi="宋体"/>
          <w:color w:val="000000"/>
          <w:szCs w:val="21"/>
        </w:rPr>
        <w:t>发包人（全称）：</w:t>
      </w:r>
      <w:r>
        <w:rPr>
          <w:rFonts w:ascii="宋体" w:hAnsi="宋体"/>
          <w:color w:val="000000"/>
          <w:szCs w:val="21"/>
          <w:u w:val="single"/>
        </w:rPr>
        <w:t xml:space="preserve">                                </w:t>
      </w:r>
      <w:r>
        <w:rPr>
          <w:rFonts w:ascii="宋体" w:hAnsi="宋体"/>
          <w:color w:val="000000"/>
          <w:szCs w:val="21"/>
        </w:rPr>
        <w:t xml:space="preserve"> </w:t>
      </w:r>
    </w:p>
    <w:p>
      <w:pPr>
        <w:pStyle w:val="167"/>
        <w:spacing w:line="440" w:lineRule="exact"/>
        <w:rPr>
          <w:rFonts w:ascii="宋体" w:hAnsi="宋体"/>
          <w:color w:val="000000"/>
          <w:szCs w:val="21"/>
        </w:rPr>
      </w:pPr>
      <w:r>
        <w:rPr>
          <w:rFonts w:ascii="宋体" w:hAnsi="宋体"/>
          <w:color w:val="000000"/>
          <w:szCs w:val="21"/>
        </w:rPr>
        <w:t>　　承包人（全称）：</w:t>
      </w:r>
      <w:r>
        <w:rPr>
          <w:rFonts w:ascii="宋体" w:hAnsi="宋体"/>
          <w:color w:val="000000"/>
          <w:szCs w:val="21"/>
          <w:u w:val="single"/>
        </w:rPr>
        <w:t xml:space="preserve">                                </w:t>
      </w:r>
      <w:r>
        <w:rPr>
          <w:rFonts w:ascii="宋体" w:hAnsi="宋体"/>
          <w:color w:val="000000"/>
          <w:szCs w:val="21"/>
        </w:rPr>
        <w:t xml:space="preserve"> </w:t>
      </w:r>
    </w:p>
    <w:p>
      <w:pPr>
        <w:pStyle w:val="167"/>
        <w:spacing w:line="440" w:lineRule="exact"/>
        <w:rPr>
          <w:rFonts w:ascii="宋体" w:hAnsi="宋体"/>
          <w:color w:val="000000"/>
          <w:szCs w:val="21"/>
        </w:rPr>
      </w:pPr>
    </w:p>
    <w:p>
      <w:pPr>
        <w:pStyle w:val="167"/>
        <w:spacing w:line="360" w:lineRule="auto"/>
        <w:rPr>
          <w:rFonts w:ascii="宋体" w:hAnsi="宋体"/>
          <w:color w:val="000000"/>
          <w:szCs w:val="21"/>
        </w:rPr>
      </w:pPr>
      <w:r>
        <w:rPr>
          <w:rFonts w:ascii="宋体" w:hAnsi="宋体"/>
          <w:color w:val="000000"/>
          <w:szCs w:val="21"/>
        </w:rPr>
        <w:t>　　发包人和承包人根据《中华人民共和国建筑法》和《建设工程质量管理条例》，经协商一致就</w:t>
      </w:r>
      <w:r>
        <w:rPr>
          <w:rFonts w:ascii="宋体" w:hAnsi="宋体"/>
          <w:color w:val="000000"/>
          <w:szCs w:val="21"/>
          <w:u w:val="single"/>
        </w:rPr>
        <w:t xml:space="preserve">                </w:t>
      </w:r>
      <w:r>
        <w:rPr>
          <w:rFonts w:ascii="宋体" w:hAnsi="宋体"/>
          <w:color w:val="000000"/>
          <w:szCs w:val="21"/>
        </w:rPr>
        <w:t>（工程全称）签订工程质量保修书。</w:t>
      </w:r>
    </w:p>
    <w:p>
      <w:pPr>
        <w:pStyle w:val="167"/>
        <w:spacing w:line="360" w:lineRule="auto"/>
        <w:rPr>
          <w:rFonts w:ascii="宋体" w:hAnsi="宋体"/>
          <w:color w:val="000000"/>
          <w:szCs w:val="21"/>
        </w:rPr>
      </w:pPr>
      <w:r>
        <w:rPr>
          <w:rFonts w:ascii="宋体" w:hAnsi="宋体"/>
          <w:color w:val="000000"/>
          <w:szCs w:val="21"/>
        </w:rPr>
        <w:t>　　一、工程质量保修范围和内容</w:t>
      </w:r>
    </w:p>
    <w:p>
      <w:pPr>
        <w:pStyle w:val="167"/>
        <w:spacing w:line="360" w:lineRule="auto"/>
        <w:rPr>
          <w:rFonts w:ascii="宋体" w:hAnsi="宋体"/>
          <w:color w:val="000000"/>
          <w:szCs w:val="21"/>
        </w:rPr>
      </w:pPr>
      <w:r>
        <w:rPr>
          <w:rFonts w:ascii="宋体" w:hAnsi="宋体"/>
          <w:color w:val="000000"/>
          <w:szCs w:val="21"/>
        </w:rPr>
        <w:t>　　承包人在质量保修期内，按照有关法律规定和合同约定，承担工程质量保修责任。</w:t>
      </w:r>
    </w:p>
    <w:p>
      <w:pPr>
        <w:pStyle w:val="167"/>
        <w:spacing w:line="360" w:lineRule="auto"/>
        <w:rPr>
          <w:rFonts w:ascii="宋体" w:hAnsi="宋体"/>
          <w:color w:val="000000"/>
          <w:szCs w:val="21"/>
        </w:rPr>
      </w:pPr>
      <w:r>
        <w:rPr>
          <w:rFonts w:ascii="宋体" w:hAnsi="宋体"/>
          <w:color w:val="000000"/>
          <w:szCs w:val="21"/>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pStyle w:val="167"/>
        <w:spacing w:line="360" w:lineRule="auto"/>
        <w:rPr>
          <w:rFonts w:ascii="宋体" w:hAnsi="宋体"/>
          <w:color w:val="000000"/>
          <w:szCs w:val="21"/>
        </w:rPr>
      </w:pPr>
      <w:r>
        <w:rPr>
          <w:rFonts w:ascii="宋体" w:hAnsi="宋体"/>
          <w:color w:val="000000"/>
          <w:szCs w:val="21"/>
        </w:rPr>
        <w:t>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rPr>
          <w:rFonts w:ascii="宋体" w:hAnsi="宋体"/>
          <w:color w:val="000000"/>
          <w:szCs w:val="21"/>
        </w:rPr>
      </w:pPr>
      <w:r>
        <w:rPr>
          <w:rFonts w:ascii="宋体" w:hAnsi="宋体"/>
          <w:b/>
          <w:color w:val="000000"/>
          <w:szCs w:val="21"/>
        </w:rPr>
        <w:t>　　</w:t>
      </w:r>
      <w:r>
        <w:rPr>
          <w:rFonts w:ascii="宋体" w:hAnsi="宋体"/>
          <w:color w:val="000000"/>
          <w:szCs w:val="21"/>
        </w:rPr>
        <w:t>二、质量保修期</w:t>
      </w:r>
    </w:p>
    <w:p>
      <w:pPr>
        <w:pStyle w:val="167"/>
        <w:spacing w:line="360" w:lineRule="auto"/>
        <w:ind w:firstLine="420" w:firstLineChars="200"/>
        <w:rPr>
          <w:rFonts w:ascii="宋体" w:hAnsi="宋体"/>
          <w:color w:val="000000"/>
          <w:szCs w:val="21"/>
        </w:rPr>
      </w:pPr>
      <w:r>
        <w:rPr>
          <w:rFonts w:ascii="宋体" w:hAnsi="宋体"/>
          <w:color w:val="000000"/>
          <w:szCs w:val="21"/>
        </w:rPr>
        <w:t>根据《建设工程质量管理条例》及有关规定，工程的质量保修期如下：</w:t>
      </w:r>
    </w:p>
    <w:p>
      <w:pPr>
        <w:pStyle w:val="167"/>
        <w:ind w:firstLine="420" w:firstLineChars="200"/>
        <w:rPr>
          <w:rFonts w:ascii="宋体" w:hAnsi="宋体"/>
          <w:color w:val="000000"/>
          <w:szCs w:val="21"/>
        </w:rPr>
      </w:pPr>
      <w:r>
        <w:rPr>
          <w:rFonts w:hint="eastAsia" w:ascii="宋体" w:hAnsi="宋体"/>
          <w:color w:val="000000"/>
          <w:szCs w:val="21"/>
        </w:rPr>
        <w:t>1．地基基础工程和主体结构工程为设计文件规定的工程合理使用年限；</w:t>
      </w:r>
    </w:p>
    <w:p>
      <w:pPr>
        <w:pStyle w:val="167"/>
        <w:spacing w:line="360" w:lineRule="auto"/>
        <w:ind w:firstLine="420" w:firstLineChars="200"/>
        <w:rPr>
          <w:rFonts w:ascii="宋体" w:hAnsi="宋体"/>
          <w:color w:val="000000"/>
          <w:szCs w:val="21"/>
        </w:rPr>
      </w:pPr>
      <w:r>
        <w:rPr>
          <w:rFonts w:hint="eastAsia" w:ascii="宋体" w:hAnsi="宋体"/>
          <w:color w:val="000000"/>
          <w:szCs w:val="21"/>
        </w:rPr>
        <w:t>2．</w:t>
      </w:r>
      <w:r>
        <w:rPr>
          <w:rFonts w:ascii="宋体" w:hAnsi="宋体"/>
          <w:color w:val="000000"/>
          <w:szCs w:val="21"/>
        </w:rPr>
        <w:t>屋面防水工程、有防水要求的卫生间、房间和外墙面的防渗</w:t>
      </w:r>
      <w:r>
        <w:rPr>
          <w:rFonts w:hint="eastAsia" w:ascii="宋体" w:hAnsi="宋体"/>
          <w:color w:val="000000"/>
          <w:szCs w:val="21"/>
        </w:rPr>
        <w:t xml:space="preserve">     为</w:t>
      </w:r>
      <w:r>
        <w:rPr>
          <w:rFonts w:hint="eastAsia" w:ascii="宋体" w:hAnsi="宋体"/>
          <w:color w:val="000000"/>
          <w:szCs w:val="21"/>
          <w:u w:val="single"/>
        </w:rPr>
        <w:t xml:space="preserve">        </w:t>
      </w:r>
      <w:r>
        <w:rPr>
          <w:rFonts w:ascii="宋体" w:hAnsi="宋体"/>
          <w:color w:val="000000"/>
          <w:szCs w:val="21"/>
        </w:rPr>
        <w:t>年；</w:t>
      </w:r>
    </w:p>
    <w:p>
      <w:pPr>
        <w:pStyle w:val="167"/>
        <w:spacing w:line="360" w:lineRule="auto"/>
        <w:ind w:left="420" w:leftChars="200" w:firstLine="105" w:firstLineChars="50"/>
        <w:rPr>
          <w:rFonts w:ascii="宋体" w:hAnsi="宋体"/>
          <w:color w:val="000000"/>
          <w:szCs w:val="21"/>
        </w:rPr>
      </w:pPr>
      <w:r>
        <w:rPr>
          <w:rFonts w:hint="eastAsia" w:ascii="宋体" w:hAnsi="宋体"/>
          <w:color w:val="000000"/>
          <w:szCs w:val="21"/>
        </w:rPr>
        <w:t>3．</w:t>
      </w:r>
      <w:r>
        <w:rPr>
          <w:rFonts w:ascii="宋体" w:hAnsi="宋体"/>
          <w:color w:val="000000"/>
          <w:szCs w:val="21"/>
        </w:rPr>
        <w:t>装修工程为</w:t>
      </w:r>
      <w:r>
        <w:rPr>
          <w:rFonts w:ascii="宋体" w:hAnsi="宋体"/>
          <w:color w:val="000000"/>
          <w:szCs w:val="21"/>
          <w:u w:val="single"/>
        </w:rPr>
        <w:t xml:space="preserve">         </w:t>
      </w:r>
      <w:r>
        <w:rPr>
          <w:rFonts w:ascii="宋体" w:hAnsi="宋体"/>
          <w:color w:val="000000"/>
          <w:szCs w:val="21"/>
        </w:rPr>
        <w:t>年；</w:t>
      </w:r>
    </w:p>
    <w:p>
      <w:pPr>
        <w:pStyle w:val="167"/>
        <w:spacing w:line="360" w:lineRule="auto"/>
        <w:ind w:left="420" w:leftChars="200" w:firstLine="105" w:firstLineChars="50"/>
        <w:rPr>
          <w:rFonts w:ascii="宋体" w:hAnsi="宋体"/>
          <w:color w:val="000000"/>
          <w:szCs w:val="21"/>
        </w:rPr>
      </w:pPr>
      <w:r>
        <w:rPr>
          <w:rFonts w:hint="eastAsia" w:ascii="宋体" w:hAnsi="宋体"/>
          <w:color w:val="000000"/>
          <w:szCs w:val="21"/>
        </w:rPr>
        <w:t>4．</w:t>
      </w:r>
      <w:r>
        <w:rPr>
          <w:rFonts w:ascii="宋体" w:hAnsi="宋体"/>
          <w:color w:val="000000"/>
          <w:szCs w:val="21"/>
        </w:rPr>
        <w:t>电气管线、给排水管道、设备安装工程为</w:t>
      </w:r>
      <w:r>
        <w:rPr>
          <w:rFonts w:ascii="宋体" w:hAnsi="宋体"/>
          <w:color w:val="000000"/>
          <w:szCs w:val="21"/>
          <w:u w:val="single"/>
        </w:rPr>
        <w:t xml:space="preserve">         </w:t>
      </w:r>
      <w:r>
        <w:rPr>
          <w:rFonts w:ascii="宋体" w:hAnsi="宋体"/>
          <w:color w:val="000000"/>
          <w:szCs w:val="21"/>
        </w:rPr>
        <w:t>年；</w:t>
      </w:r>
    </w:p>
    <w:p>
      <w:pPr>
        <w:pStyle w:val="167"/>
        <w:spacing w:line="360" w:lineRule="auto"/>
        <w:ind w:left="420" w:leftChars="200" w:firstLine="105" w:firstLineChars="50"/>
        <w:rPr>
          <w:rFonts w:ascii="宋体" w:hAnsi="宋体"/>
          <w:color w:val="000000"/>
          <w:szCs w:val="21"/>
        </w:rPr>
      </w:pPr>
      <w:r>
        <w:rPr>
          <w:rFonts w:hint="eastAsia" w:ascii="宋体" w:hAnsi="宋体"/>
          <w:color w:val="000000"/>
          <w:szCs w:val="21"/>
        </w:rPr>
        <w:t>5．</w:t>
      </w:r>
      <w:r>
        <w:rPr>
          <w:rFonts w:ascii="宋体" w:hAnsi="宋体"/>
          <w:color w:val="000000"/>
          <w:szCs w:val="21"/>
        </w:rPr>
        <w:t>供热与供冷系统为</w:t>
      </w:r>
      <w:r>
        <w:rPr>
          <w:rFonts w:ascii="宋体" w:hAnsi="宋体"/>
          <w:color w:val="000000"/>
          <w:szCs w:val="21"/>
          <w:u w:val="single"/>
        </w:rPr>
        <w:t xml:space="preserve">         </w:t>
      </w:r>
      <w:r>
        <w:rPr>
          <w:rFonts w:ascii="宋体" w:hAnsi="宋体"/>
          <w:color w:val="000000"/>
          <w:szCs w:val="21"/>
        </w:rPr>
        <w:t>个采暖期、供冷期；</w:t>
      </w:r>
    </w:p>
    <w:p>
      <w:pPr>
        <w:pStyle w:val="167"/>
        <w:spacing w:line="360" w:lineRule="auto"/>
        <w:ind w:left="420" w:leftChars="200" w:firstLine="105" w:firstLineChars="50"/>
        <w:rPr>
          <w:rFonts w:ascii="宋体" w:hAnsi="宋体"/>
          <w:color w:val="000000"/>
          <w:szCs w:val="21"/>
        </w:rPr>
      </w:pPr>
      <w:r>
        <w:rPr>
          <w:rFonts w:hint="eastAsia" w:ascii="宋体" w:hAnsi="宋体"/>
          <w:color w:val="000000"/>
          <w:szCs w:val="21"/>
        </w:rPr>
        <w:t>6．</w:t>
      </w:r>
      <w:r>
        <w:rPr>
          <w:rFonts w:ascii="宋体" w:hAnsi="宋体"/>
          <w:color w:val="000000"/>
          <w:szCs w:val="21"/>
        </w:rPr>
        <w:t>住宅小区内的给排水设施、道路等配套工程为</w:t>
      </w:r>
      <w:r>
        <w:rPr>
          <w:rFonts w:ascii="宋体" w:hAnsi="宋体"/>
          <w:color w:val="000000"/>
          <w:szCs w:val="21"/>
          <w:u w:val="single"/>
        </w:rPr>
        <w:t xml:space="preserve">         </w:t>
      </w:r>
      <w:r>
        <w:rPr>
          <w:rFonts w:ascii="宋体" w:hAnsi="宋体"/>
          <w:color w:val="000000"/>
          <w:szCs w:val="21"/>
        </w:rPr>
        <w:t>年；</w:t>
      </w:r>
    </w:p>
    <w:p>
      <w:pPr>
        <w:pStyle w:val="167"/>
        <w:spacing w:line="360" w:lineRule="auto"/>
        <w:ind w:left="420" w:leftChars="200" w:firstLine="105" w:firstLineChars="50"/>
        <w:rPr>
          <w:rFonts w:ascii="宋体" w:hAnsi="宋体"/>
          <w:color w:val="000000"/>
          <w:szCs w:val="21"/>
        </w:rPr>
      </w:pPr>
      <w:r>
        <w:rPr>
          <w:rFonts w:hint="eastAsia" w:ascii="宋体" w:hAnsi="宋体"/>
          <w:color w:val="000000"/>
          <w:szCs w:val="21"/>
        </w:rPr>
        <w:t>7．</w:t>
      </w:r>
      <w:r>
        <w:rPr>
          <w:rFonts w:ascii="宋体" w:hAnsi="宋体"/>
          <w:color w:val="000000"/>
          <w:szCs w:val="21"/>
        </w:rPr>
        <w:t>其他项目保修期限约定如下：</w:t>
      </w:r>
    </w:p>
    <w:p>
      <w:pPr>
        <w:pStyle w:val="167"/>
        <w:spacing w:line="360" w:lineRule="auto"/>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rPr>
          <w:rFonts w:ascii="宋体" w:hAnsi="宋体"/>
          <w:color w:val="000000"/>
          <w:szCs w:val="21"/>
        </w:rPr>
      </w:pPr>
      <w:r>
        <w:rPr>
          <w:rFonts w:ascii="宋体" w:hAnsi="宋体"/>
          <w:color w:val="000000"/>
          <w:szCs w:val="21"/>
        </w:rPr>
        <w:t>　　质量保修期自工程竣工验收合格之日起计算。</w:t>
      </w:r>
    </w:p>
    <w:p>
      <w:pPr>
        <w:pStyle w:val="167"/>
        <w:spacing w:line="360" w:lineRule="auto"/>
        <w:ind w:firstLine="420" w:firstLineChars="200"/>
        <w:rPr>
          <w:rFonts w:ascii="宋体" w:hAnsi="宋体"/>
          <w:color w:val="000000"/>
          <w:szCs w:val="21"/>
        </w:rPr>
      </w:pPr>
      <w:r>
        <w:rPr>
          <w:rFonts w:ascii="宋体" w:hAnsi="宋体"/>
          <w:color w:val="000000"/>
          <w:szCs w:val="21"/>
        </w:rPr>
        <w:t>三、缺陷责任期</w:t>
      </w:r>
    </w:p>
    <w:p>
      <w:pPr>
        <w:pStyle w:val="167"/>
        <w:spacing w:line="360" w:lineRule="auto"/>
        <w:ind w:firstLine="420" w:firstLineChars="200"/>
        <w:rPr>
          <w:rFonts w:ascii="宋体" w:hAnsi="宋体"/>
          <w:color w:val="000000"/>
          <w:szCs w:val="21"/>
        </w:rPr>
      </w:pPr>
      <w:r>
        <w:rPr>
          <w:rFonts w:ascii="宋体" w:hAnsi="宋体"/>
          <w:color w:val="000000"/>
          <w:szCs w:val="21"/>
        </w:rPr>
        <w:t>工程缺陷责任期为</w:t>
      </w:r>
      <w:r>
        <w:rPr>
          <w:rFonts w:ascii="宋体" w:hAnsi="宋体"/>
          <w:color w:val="000000"/>
          <w:szCs w:val="21"/>
          <w:u w:val="single"/>
        </w:rPr>
        <w:t xml:space="preserve">         </w:t>
      </w:r>
      <w:r>
        <w:rPr>
          <w:rFonts w:ascii="宋体" w:hAnsi="宋体"/>
          <w:color w:val="000000"/>
          <w:szCs w:val="21"/>
        </w:rPr>
        <w:t>个月，缺陷责任期自工程竣工验收合格之日起计算。单位工程先于全部工程进行验收，单位工程缺陷责任期自单位工程验收合格之日起算。</w:t>
      </w:r>
    </w:p>
    <w:p>
      <w:pPr>
        <w:pStyle w:val="167"/>
        <w:spacing w:line="360" w:lineRule="auto"/>
        <w:ind w:firstLine="420" w:firstLineChars="200"/>
        <w:rPr>
          <w:rFonts w:ascii="宋体" w:hAnsi="宋体"/>
          <w:color w:val="000000"/>
          <w:szCs w:val="21"/>
        </w:rPr>
      </w:pPr>
      <w:r>
        <w:rPr>
          <w:rFonts w:ascii="宋体" w:hAnsi="宋体"/>
          <w:color w:val="000000"/>
          <w:szCs w:val="21"/>
        </w:rPr>
        <w:t>缺陷责任期终止后，发包人应退还剩余的质量保证金。</w:t>
      </w:r>
    </w:p>
    <w:p>
      <w:pPr>
        <w:pStyle w:val="167"/>
        <w:spacing w:line="360" w:lineRule="auto"/>
        <w:rPr>
          <w:rFonts w:ascii="宋体" w:hAnsi="宋体"/>
          <w:color w:val="000000"/>
          <w:szCs w:val="21"/>
        </w:rPr>
      </w:pPr>
      <w:r>
        <w:rPr>
          <w:rFonts w:ascii="宋体" w:hAnsi="宋体"/>
          <w:color w:val="000000"/>
          <w:szCs w:val="21"/>
        </w:rPr>
        <w:t xml:space="preserve">    四、质量保修责任</w:t>
      </w:r>
    </w:p>
    <w:p>
      <w:pPr>
        <w:pStyle w:val="167"/>
        <w:spacing w:line="360" w:lineRule="auto"/>
        <w:ind w:left="105" w:leftChars="50" w:firstLine="430" w:firstLineChars="205"/>
        <w:rPr>
          <w:rFonts w:ascii="宋体" w:hAnsi="宋体"/>
          <w:color w:val="000000"/>
          <w:szCs w:val="21"/>
        </w:rPr>
      </w:pPr>
      <w:r>
        <w:rPr>
          <w:rFonts w:hint="eastAsia" w:ascii="宋体" w:hAnsi="宋体"/>
          <w:color w:val="000000"/>
          <w:szCs w:val="21"/>
        </w:rPr>
        <w:t>1．</w:t>
      </w:r>
      <w:r>
        <w:rPr>
          <w:rFonts w:ascii="宋体" w:hAnsi="宋体"/>
          <w:color w:val="000000"/>
          <w:szCs w:val="21"/>
        </w:rPr>
        <w:t>属于保修范围、内容的项目，承包人应当在接到保修通知之日起7天内派人保修。承包人不在约定期限内派人保修的，发包人可以委托他人修理。</w:t>
      </w:r>
    </w:p>
    <w:p>
      <w:pPr>
        <w:pStyle w:val="167"/>
        <w:spacing w:line="360" w:lineRule="auto"/>
        <w:ind w:left="105" w:leftChars="50" w:firstLine="430" w:firstLineChars="205"/>
        <w:rPr>
          <w:rFonts w:ascii="宋体" w:hAnsi="宋体"/>
          <w:color w:val="000000"/>
          <w:szCs w:val="21"/>
        </w:rPr>
      </w:pPr>
      <w:r>
        <w:rPr>
          <w:rFonts w:hint="eastAsia" w:ascii="宋体" w:hAnsi="宋体"/>
          <w:color w:val="000000"/>
          <w:szCs w:val="21"/>
        </w:rPr>
        <w:t>2．</w:t>
      </w:r>
      <w:r>
        <w:rPr>
          <w:rFonts w:ascii="宋体" w:hAnsi="宋体"/>
          <w:color w:val="000000"/>
          <w:szCs w:val="21"/>
        </w:rPr>
        <w:t>发生紧急事故需抢修的，承包人在接到事故通知后，应当立即到达事故现场抢修。</w:t>
      </w:r>
    </w:p>
    <w:p>
      <w:pPr>
        <w:pStyle w:val="167"/>
        <w:spacing w:line="360" w:lineRule="auto"/>
        <w:ind w:left="105" w:leftChars="50" w:firstLine="430" w:firstLineChars="205"/>
        <w:rPr>
          <w:rFonts w:ascii="宋体" w:hAnsi="宋体"/>
          <w:color w:val="000000"/>
          <w:szCs w:val="21"/>
        </w:rPr>
      </w:pPr>
      <w:r>
        <w:rPr>
          <w:rFonts w:hint="eastAsia" w:ascii="宋体" w:hAnsi="宋体"/>
          <w:color w:val="000000"/>
          <w:szCs w:val="21"/>
        </w:rPr>
        <w:t>3．</w:t>
      </w:r>
      <w:r>
        <w:rPr>
          <w:rFonts w:ascii="宋体" w:hAnsi="宋体"/>
          <w:color w:val="000000"/>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167"/>
        <w:spacing w:line="360" w:lineRule="auto"/>
        <w:ind w:left="420" w:leftChars="200" w:firstLine="105" w:firstLineChars="50"/>
        <w:rPr>
          <w:rFonts w:ascii="宋体" w:hAnsi="宋体"/>
          <w:color w:val="000000"/>
          <w:szCs w:val="21"/>
        </w:rPr>
      </w:pPr>
      <w:r>
        <w:rPr>
          <w:rFonts w:hint="eastAsia" w:ascii="宋体" w:hAnsi="宋体"/>
          <w:color w:val="000000"/>
          <w:szCs w:val="21"/>
        </w:rPr>
        <w:t>4．</w:t>
      </w:r>
      <w:r>
        <w:rPr>
          <w:rFonts w:ascii="宋体" w:hAnsi="宋体"/>
          <w:color w:val="000000"/>
          <w:szCs w:val="21"/>
        </w:rPr>
        <w:t>质量保修完成后，由发包人组织验收。</w:t>
      </w:r>
    </w:p>
    <w:p>
      <w:pPr>
        <w:pStyle w:val="167"/>
        <w:spacing w:line="360" w:lineRule="auto"/>
        <w:rPr>
          <w:rFonts w:ascii="宋体" w:hAnsi="宋体"/>
          <w:color w:val="000000"/>
          <w:szCs w:val="21"/>
        </w:rPr>
      </w:pPr>
      <w:r>
        <w:rPr>
          <w:rFonts w:ascii="宋体" w:hAnsi="宋体"/>
          <w:color w:val="000000"/>
          <w:szCs w:val="21"/>
        </w:rPr>
        <w:t>　　五、保修费用</w:t>
      </w:r>
    </w:p>
    <w:p>
      <w:pPr>
        <w:pStyle w:val="167"/>
        <w:spacing w:line="360" w:lineRule="auto"/>
        <w:rPr>
          <w:rFonts w:ascii="宋体" w:hAnsi="宋体"/>
          <w:color w:val="000000"/>
          <w:szCs w:val="21"/>
        </w:rPr>
      </w:pPr>
      <w:r>
        <w:rPr>
          <w:rFonts w:ascii="宋体" w:hAnsi="宋体"/>
          <w:color w:val="000000"/>
          <w:szCs w:val="21"/>
        </w:rPr>
        <w:t>　　保修费用由造成质量缺陷的责任方承担。</w:t>
      </w:r>
    </w:p>
    <w:p>
      <w:pPr>
        <w:pStyle w:val="167"/>
        <w:spacing w:line="360" w:lineRule="auto"/>
        <w:ind w:firstLine="600"/>
        <w:jc w:val="left"/>
        <w:rPr>
          <w:rFonts w:ascii="宋体" w:hAnsi="宋体"/>
          <w:color w:val="000000"/>
          <w:szCs w:val="21"/>
          <w:u w:val="single"/>
        </w:rPr>
      </w:pPr>
      <w:r>
        <w:rPr>
          <w:rFonts w:ascii="宋体" w:hAnsi="宋体"/>
          <w:b/>
          <w:color w:val="000000"/>
          <w:szCs w:val="21"/>
        </w:rPr>
        <w:t>六</w:t>
      </w:r>
      <w:r>
        <w:rPr>
          <w:rFonts w:ascii="宋体" w:hAnsi="宋体"/>
          <w:color w:val="000000"/>
          <w:szCs w:val="21"/>
        </w:rPr>
        <w:t>、双方约定的其他工程质量保修事项：</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jc w:val="left"/>
        <w:rPr>
          <w:rFonts w:ascii="宋体" w:hAnsi="宋体"/>
          <w:color w:val="000000"/>
          <w:szCs w:val="21"/>
        </w:rPr>
      </w:pP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399" w:firstLineChars="190"/>
        <w:rPr>
          <w:rFonts w:ascii="宋体" w:hAnsi="宋体"/>
          <w:color w:val="000000"/>
          <w:szCs w:val="21"/>
        </w:rPr>
      </w:pPr>
      <w:r>
        <w:rPr>
          <w:rFonts w:ascii="宋体" w:hAnsi="宋体"/>
          <w:color w:val="000000"/>
          <w:szCs w:val="21"/>
        </w:rPr>
        <w:t>工程质量保修书由发包人、承包人在工程竣工验收前共同签署，作为施工合同附件，其有效期限至保修期满。</w:t>
      </w:r>
    </w:p>
    <w:p>
      <w:pPr>
        <w:pStyle w:val="167"/>
        <w:spacing w:line="360" w:lineRule="auto"/>
        <w:ind w:firstLine="420"/>
        <w:rPr>
          <w:rFonts w:ascii="宋体" w:hAnsi="宋体"/>
          <w:color w:val="000000"/>
          <w:szCs w:val="21"/>
        </w:rPr>
      </w:pPr>
    </w:p>
    <w:p>
      <w:pPr>
        <w:pStyle w:val="167"/>
        <w:spacing w:line="360" w:lineRule="auto"/>
        <w:rPr>
          <w:rFonts w:ascii="宋体" w:hAnsi="宋体"/>
          <w:color w:val="000000"/>
          <w:szCs w:val="21"/>
        </w:rPr>
      </w:pPr>
      <w:r>
        <w:rPr>
          <w:rFonts w:ascii="宋体" w:hAnsi="宋体"/>
          <w:color w:val="000000"/>
          <w:szCs w:val="21"/>
        </w:rPr>
        <w:t>发包人(公章)：</w:t>
      </w:r>
      <w:r>
        <w:rPr>
          <w:rFonts w:ascii="宋体" w:hAnsi="宋体"/>
          <w:color w:val="000000"/>
          <w:szCs w:val="21"/>
          <w:u w:val="single"/>
        </w:rPr>
        <w:t xml:space="preserve">              </w:t>
      </w:r>
      <w:r>
        <w:rPr>
          <w:rFonts w:ascii="宋体" w:hAnsi="宋体"/>
          <w:color w:val="000000"/>
          <w:szCs w:val="21"/>
        </w:rPr>
        <w:t xml:space="preserve"> 承包人(公章)：</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rPr>
          <w:rFonts w:ascii="宋体" w:hAnsi="宋体"/>
          <w:color w:val="000000"/>
          <w:szCs w:val="21"/>
        </w:rPr>
      </w:pPr>
      <w:r>
        <w:rPr>
          <w:rFonts w:ascii="宋体" w:hAnsi="宋体"/>
          <w:color w:val="000000"/>
          <w:szCs w:val="21"/>
        </w:rPr>
        <w:t>地  址：</w:t>
      </w:r>
      <w:r>
        <w:rPr>
          <w:rFonts w:ascii="宋体" w:hAnsi="宋体"/>
          <w:color w:val="000000"/>
          <w:szCs w:val="21"/>
          <w:u w:val="single"/>
        </w:rPr>
        <w:t xml:space="preserve">                   </w:t>
      </w:r>
      <w:r>
        <w:rPr>
          <w:rFonts w:hint="eastAsia" w:ascii="宋体" w:hAnsi="宋体"/>
          <w:color w:val="000000"/>
          <w:szCs w:val="21"/>
        </w:rPr>
        <w:t xml:space="preserve"> </w:t>
      </w:r>
      <w:r>
        <w:rPr>
          <w:rFonts w:ascii="宋体" w:hAnsi="宋体"/>
          <w:color w:val="000000"/>
          <w:szCs w:val="21"/>
        </w:rPr>
        <w:t>地  址：</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rPr>
          <w:rFonts w:ascii="宋体" w:hAnsi="宋体"/>
          <w:color w:val="000000"/>
          <w:szCs w:val="21"/>
        </w:rPr>
      </w:pPr>
      <w:r>
        <w:rPr>
          <w:rFonts w:ascii="宋体" w:hAnsi="宋体"/>
          <w:color w:val="000000"/>
          <w:szCs w:val="21"/>
        </w:rPr>
        <w:t>法定代表人(签字)：</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 xml:space="preserve"> 法定代表人(签字)：</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rPr>
          <w:rFonts w:ascii="宋体" w:hAnsi="宋体"/>
          <w:color w:val="000000"/>
          <w:szCs w:val="21"/>
        </w:rPr>
      </w:pPr>
      <w:r>
        <w:rPr>
          <w:rFonts w:ascii="宋体" w:hAnsi="宋体"/>
          <w:color w:val="000000"/>
          <w:szCs w:val="21"/>
        </w:rPr>
        <w:t>委托代理人(签字)：</w:t>
      </w:r>
      <w:r>
        <w:rPr>
          <w:rFonts w:ascii="宋体" w:hAnsi="宋体"/>
          <w:color w:val="000000"/>
          <w:szCs w:val="21"/>
          <w:u w:val="single"/>
        </w:rPr>
        <w:t xml:space="preserve">          </w:t>
      </w:r>
      <w:r>
        <w:rPr>
          <w:rFonts w:ascii="宋体" w:hAnsi="宋体"/>
          <w:color w:val="000000"/>
          <w:szCs w:val="21"/>
        </w:rPr>
        <w:t xml:space="preserve"> 委托代理人(签字)：</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rPr>
          <w:rFonts w:ascii="宋体" w:hAnsi="宋体"/>
          <w:color w:val="000000"/>
          <w:szCs w:val="21"/>
        </w:rPr>
      </w:pPr>
      <w:r>
        <w:rPr>
          <w:rFonts w:ascii="宋体" w:hAnsi="宋体"/>
          <w:color w:val="000000"/>
          <w:szCs w:val="21"/>
        </w:rPr>
        <w:t>电  话：</w:t>
      </w:r>
      <w:r>
        <w:rPr>
          <w:rFonts w:ascii="宋体" w:hAnsi="宋体"/>
          <w:color w:val="000000"/>
          <w:szCs w:val="21"/>
          <w:u w:val="single"/>
        </w:rPr>
        <w:t xml:space="preserve">                   </w:t>
      </w:r>
      <w:r>
        <w:rPr>
          <w:rFonts w:ascii="宋体" w:hAnsi="宋体"/>
          <w:color w:val="000000"/>
          <w:szCs w:val="21"/>
        </w:rPr>
        <w:t xml:space="preserve"> 电  话：</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rPr>
          <w:rFonts w:ascii="宋体" w:hAnsi="宋体"/>
          <w:color w:val="000000"/>
          <w:szCs w:val="21"/>
        </w:rPr>
      </w:pPr>
      <w:r>
        <w:rPr>
          <w:rFonts w:ascii="宋体" w:hAnsi="宋体"/>
          <w:color w:val="000000"/>
          <w:szCs w:val="21"/>
        </w:rPr>
        <w:t>传  真：</w:t>
      </w:r>
      <w:r>
        <w:rPr>
          <w:rFonts w:ascii="宋体" w:hAnsi="宋体"/>
          <w:color w:val="000000"/>
          <w:szCs w:val="21"/>
          <w:u w:val="single"/>
        </w:rPr>
        <w:t xml:space="preserve">                   </w:t>
      </w:r>
      <w:r>
        <w:rPr>
          <w:rFonts w:ascii="宋体" w:hAnsi="宋体"/>
          <w:color w:val="000000"/>
          <w:szCs w:val="21"/>
        </w:rPr>
        <w:t xml:space="preserve"> 传  真：</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rPr>
          <w:rFonts w:ascii="宋体" w:hAnsi="宋体"/>
          <w:color w:val="000000"/>
          <w:szCs w:val="21"/>
        </w:rPr>
      </w:pPr>
      <w:r>
        <w:rPr>
          <w:rFonts w:ascii="宋体" w:hAnsi="宋体"/>
          <w:color w:val="000000"/>
          <w:szCs w:val="21"/>
        </w:rPr>
        <w:t>开户银行：</w:t>
      </w:r>
      <w:r>
        <w:rPr>
          <w:rFonts w:ascii="宋体" w:hAnsi="宋体"/>
          <w:color w:val="000000"/>
          <w:szCs w:val="21"/>
          <w:u w:val="single"/>
        </w:rPr>
        <w:t xml:space="preserve">                 </w:t>
      </w:r>
      <w:r>
        <w:rPr>
          <w:rFonts w:ascii="宋体" w:hAnsi="宋体"/>
          <w:color w:val="000000"/>
          <w:szCs w:val="21"/>
        </w:rPr>
        <w:t xml:space="preserve"> 开户银行：</w:t>
      </w:r>
      <w:r>
        <w:rPr>
          <w:rFonts w:ascii="宋体" w:hAnsi="宋体"/>
          <w:color w:val="000000"/>
          <w:szCs w:val="21"/>
          <w:u w:val="single"/>
        </w:rPr>
        <w:t xml:space="preserve">                   </w:t>
      </w:r>
    </w:p>
    <w:p>
      <w:pPr>
        <w:pStyle w:val="167"/>
        <w:spacing w:line="360" w:lineRule="auto"/>
        <w:rPr>
          <w:rFonts w:ascii="宋体" w:hAnsi="宋体"/>
          <w:color w:val="000000"/>
          <w:szCs w:val="21"/>
        </w:rPr>
      </w:pPr>
      <w:r>
        <w:rPr>
          <w:rFonts w:ascii="宋体" w:hAnsi="宋体"/>
          <w:color w:val="000000"/>
          <w:szCs w:val="21"/>
        </w:rPr>
        <w:t>账  号：</w:t>
      </w:r>
      <w:r>
        <w:rPr>
          <w:rFonts w:ascii="宋体" w:hAnsi="宋体"/>
          <w:color w:val="000000"/>
          <w:szCs w:val="21"/>
          <w:u w:val="single"/>
        </w:rPr>
        <w:t xml:space="preserve">                   </w:t>
      </w:r>
      <w:r>
        <w:rPr>
          <w:rFonts w:hint="eastAsia" w:ascii="宋体" w:hAnsi="宋体"/>
          <w:color w:val="000000"/>
          <w:szCs w:val="21"/>
        </w:rPr>
        <w:t xml:space="preserve">  </w:t>
      </w:r>
      <w:r>
        <w:rPr>
          <w:rFonts w:ascii="宋体" w:hAnsi="宋体"/>
          <w:color w:val="000000"/>
          <w:szCs w:val="21"/>
        </w:rPr>
        <w:t>账</w:t>
      </w:r>
      <w:r>
        <w:rPr>
          <w:rFonts w:hint="eastAsia" w:ascii="宋体" w:hAnsi="宋体"/>
          <w:color w:val="000000"/>
          <w:szCs w:val="21"/>
        </w:rPr>
        <w:t xml:space="preserve"> </w:t>
      </w:r>
      <w:r>
        <w:rPr>
          <w:rFonts w:ascii="宋体" w:hAnsi="宋体"/>
          <w:color w:val="000000"/>
          <w:szCs w:val="21"/>
        </w:rPr>
        <w:t xml:space="preserve"> 号：</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p>
    <w:p>
      <w:pPr>
        <w:pStyle w:val="167"/>
        <w:spacing w:line="360" w:lineRule="auto"/>
        <w:rPr>
          <w:rFonts w:ascii="宋体" w:hAnsi="宋体"/>
          <w:color w:val="000000"/>
          <w:sz w:val="30"/>
          <w:szCs w:val="30"/>
        </w:rPr>
      </w:pPr>
      <w:r>
        <w:rPr>
          <w:rFonts w:ascii="宋体" w:hAnsi="宋体"/>
          <w:color w:val="000000"/>
          <w:szCs w:val="21"/>
        </w:rPr>
        <w:t>邮政编码：</w:t>
      </w:r>
      <w:r>
        <w:rPr>
          <w:rFonts w:ascii="宋体" w:hAnsi="宋体"/>
          <w:color w:val="000000"/>
          <w:szCs w:val="21"/>
          <w:u w:val="single"/>
        </w:rPr>
        <w:t xml:space="preserve">                 </w:t>
      </w:r>
      <w:r>
        <w:rPr>
          <w:rFonts w:ascii="宋体" w:hAnsi="宋体"/>
          <w:color w:val="000000"/>
          <w:szCs w:val="21"/>
        </w:rPr>
        <w:t xml:space="preserve"> 邮政编码：</w:t>
      </w:r>
      <w:r>
        <w:rPr>
          <w:rFonts w:ascii="宋体" w:hAnsi="宋体"/>
          <w:color w:val="000000"/>
          <w:szCs w:val="21"/>
          <w:u w:val="single"/>
        </w:rPr>
        <w:t xml:space="preserve">                   </w:t>
      </w:r>
      <w:r>
        <w:rPr>
          <w:rFonts w:ascii="宋体" w:hAnsi="宋体"/>
          <w:b/>
          <w:color w:val="000000"/>
          <w:sz w:val="30"/>
          <w:szCs w:val="30"/>
        </w:rPr>
        <w:br w:type="page"/>
      </w:r>
      <w:r>
        <w:rPr>
          <w:rFonts w:ascii="宋体" w:hAnsi="宋体"/>
          <w:color w:val="000000"/>
          <w:sz w:val="30"/>
          <w:szCs w:val="30"/>
        </w:rPr>
        <w:t>附件4：</w:t>
      </w:r>
    </w:p>
    <w:p>
      <w:pPr>
        <w:pStyle w:val="167"/>
        <w:spacing w:before="156" w:beforeLines="50" w:after="156" w:afterLines="50" w:line="440" w:lineRule="exact"/>
        <w:jc w:val="center"/>
        <w:rPr>
          <w:rFonts w:ascii="宋体" w:hAnsi="宋体"/>
          <w:color w:val="000000"/>
          <w:sz w:val="30"/>
          <w:szCs w:val="30"/>
        </w:rPr>
      </w:pPr>
      <w:r>
        <w:rPr>
          <w:rFonts w:ascii="宋体" w:hAnsi="宋体"/>
          <w:color w:val="000000"/>
          <w:sz w:val="30"/>
          <w:szCs w:val="30"/>
        </w:rPr>
        <w:t>主要建设工程文件目录</w:t>
      </w:r>
    </w:p>
    <w:tbl>
      <w:tblPr>
        <w:tblStyle w:val="44"/>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文件名称</w:t>
            </w:r>
          </w:p>
        </w:tc>
        <w:tc>
          <w:tcPr>
            <w:tcW w:w="1276" w:type="dxa"/>
            <w:tcBorders>
              <w:top w:val="single" w:color="auto" w:sz="12" w:space="0"/>
              <w:bottom w:val="doub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套数</w:t>
            </w:r>
          </w:p>
        </w:tc>
        <w:tc>
          <w:tcPr>
            <w:tcW w:w="1450" w:type="dxa"/>
            <w:tcBorders>
              <w:top w:val="single" w:color="auto" w:sz="12" w:space="0"/>
              <w:bottom w:val="doub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费用</w:t>
            </w:r>
            <w:r>
              <w:rPr>
                <w:rFonts w:hint="eastAsia" w:ascii="宋体" w:hAnsi="宋体"/>
                <w:color w:val="000000"/>
                <w:sz w:val="28"/>
                <w:szCs w:val="30"/>
              </w:rPr>
              <w:t>（元）</w:t>
            </w:r>
          </w:p>
        </w:tc>
        <w:tc>
          <w:tcPr>
            <w:tcW w:w="1243" w:type="dxa"/>
            <w:tcBorders>
              <w:top w:val="single" w:color="auto" w:sz="12" w:space="0"/>
              <w:bottom w:val="doub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质量</w:t>
            </w:r>
          </w:p>
        </w:tc>
        <w:tc>
          <w:tcPr>
            <w:tcW w:w="1450" w:type="dxa"/>
            <w:tcBorders>
              <w:top w:val="single" w:color="auto" w:sz="12" w:space="0"/>
              <w:bottom w:val="double" w:color="auto" w:sz="6" w:space="0"/>
            </w:tcBorders>
            <w:noWrap w:val="0"/>
            <w:vAlign w:val="top"/>
          </w:tcPr>
          <w:p>
            <w:pPr>
              <w:pStyle w:val="167"/>
              <w:spacing w:line="440" w:lineRule="exact"/>
              <w:jc w:val="center"/>
              <w:rPr>
                <w:rFonts w:ascii="宋体" w:hAnsi="宋体"/>
                <w:color w:val="000000"/>
                <w:sz w:val="28"/>
                <w:szCs w:val="30"/>
              </w:rPr>
            </w:pPr>
            <w:r>
              <w:rPr>
                <w:rFonts w:ascii="宋体" w:hAnsi="宋体"/>
                <w:color w:val="000000"/>
                <w:sz w:val="28"/>
                <w:szCs w:val="30"/>
              </w:rPr>
              <w:t>移交时间</w:t>
            </w:r>
          </w:p>
        </w:tc>
        <w:tc>
          <w:tcPr>
            <w:tcW w:w="1667" w:type="dxa"/>
            <w:tcBorders>
              <w:top w:val="single" w:color="auto" w:sz="12" w:space="0"/>
              <w:bottom w:val="double" w:color="auto" w:sz="6" w:space="0"/>
            </w:tcBorders>
            <w:noWrap w:val="0"/>
            <w:vAlign w:val="top"/>
          </w:tcPr>
          <w:p>
            <w:pPr>
              <w:pStyle w:val="167"/>
              <w:spacing w:line="440" w:lineRule="exact"/>
              <w:jc w:val="center"/>
              <w:rPr>
                <w:rFonts w:ascii="宋体" w:hAnsi="宋体"/>
                <w:color w:val="000000"/>
                <w:sz w:val="28"/>
                <w:szCs w:val="30"/>
              </w:rPr>
            </w:pPr>
            <w:r>
              <w:rPr>
                <w:rFonts w:ascii="宋体" w:hAnsi="宋体"/>
                <w:color w:val="000000"/>
                <w:sz w:val="28"/>
                <w:szCs w:val="30"/>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276" w:type="dxa"/>
            <w:tcBorders>
              <w:top w:val="doub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450" w:type="dxa"/>
            <w:tcBorders>
              <w:top w:val="doub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243" w:type="dxa"/>
            <w:tcBorders>
              <w:top w:val="doub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450" w:type="dxa"/>
            <w:tcBorders>
              <w:top w:val="doub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667" w:type="dxa"/>
            <w:tcBorders>
              <w:top w:val="doub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276" w:type="dxa"/>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450" w:type="dxa"/>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243" w:type="dxa"/>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450" w:type="dxa"/>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667" w:type="dxa"/>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276"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45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243"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45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667"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276"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45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243"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45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667"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276"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45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243"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45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667"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276"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45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243"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45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667"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276"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45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243"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45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667"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276"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45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243"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45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667"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167"/>
              <w:rPr>
                <w:rFonts w:ascii="宋体" w:hAnsi="宋体"/>
                <w:color w:val="000000"/>
                <w:sz w:val="30"/>
                <w:szCs w:val="30"/>
              </w:rPr>
            </w:pPr>
          </w:p>
        </w:tc>
        <w:tc>
          <w:tcPr>
            <w:tcW w:w="1276" w:type="dxa"/>
            <w:noWrap w:val="0"/>
            <w:vAlign w:val="top"/>
          </w:tcPr>
          <w:p>
            <w:pPr>
              <w:pStyle w:val="167"/>
              <w:rPr>
                <w:rFonts w:ascii="宋体" w:hAnsi="宋体"/>
                <w:color w:val="000000"/>
                <w:sz w:val="30"/>
                <w:szCs w:val="30"/>
              </w:rPr>
            </w:pPr>
          </w:p>
        </w:tc>
        <w:tc>
          <w:tcPr>
            <w:tcW w:w="1450" w:type="dxa"/>
            <w:noWrap w:val="0"/>
            <w:vAlign w:val="top"/>
          </w:tcPr>
          <w:p>
            <w:pPr>
              <w:pStyle w:val="167"/>
              <w:rPr>
                <w:rFonts w:ascii="宋体" w:hAnsi="宋体"/>
                <w:color w:val="000000"/>
                <w:sz w:val="30"/>
                <w:szCs w:val="30"/>
              </w:rPr>
            </w:pPr>
          </w:p>
        </w:tc>
        <w:tc>
          <w:tcPr>
            <w:tcW w:w="1243" w:type="dxa"/>
            <w:noWrap w:val="0"/>
            <w:vAlign w:val="top"/>
          </w:tcPr>
          <w:p>
            <w:pPr>
              <w:pStyle w:val="167"/>
              <w:rPr>
                <w:rFonts w:ascii="宋体" w:hAnsi="宋体"/>
                <w:color w:val="000000"/>
                <w:sz w:val="30"/>
                <w:szCs w:val="30"/>
              </w:rPr>
            </w:pPr>
          </w:p>
        </w:tc>
        <w:tc>
          <w:tcPr>
            <w:tcW w:w="1450" w:type="dxa"/>
            <w:noWrap w:val="0"/>
            <w:vAlign w:val="top"/>
          </w:tcPr>
          <w:p>
            <w:pPr>
              <w:pStyle w:val="167"/>
              <w:rPr>
                <w:rFonts w:ascii="宋体" w:hAnsi="宋体"/>
                <w:color w:val="000000"/>
                <w:sz w:val="30"/>
                <w:szCs w:val="30"/>
              </w:rPr>
            </w:pPr>
          </w:p>
        </w:tc>
        <w:tc>
          <w:tcPr>
            <w:tcW w:w="1667" w:type="dxa"/>
            <w:noWrap w:val="0"/>
            <w:vAlign w:val="top"/>
          </w:tcPr>
          <w:p>
            <w:pPr>
              <w:pStyle w:val="167"/>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276"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45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243"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45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667"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167"/>
              <w:rPr>
                <w:rFonts w:ascii="宋体" w:hAnsi="宋体"/>
                <w:color w:val="000000"/>
                <w:sz w:val="30"/>
                <w:szCs w:val="30"/>
              </w:rPr>
            </w:pPr>
          </w:p>
        </w:tc>
        <w:tc>
          <w:tcPr>
            <w:tcW w:w="1276" w:type="dxa"/>
            <w:noWrap w:val="0"/>
            <w:vAlign w:val="top"/>
          </w:tcPr>
          <w:p>
            <w:pPr>
              <w:pStyle w:val="167"/>
              <w:rPr>
                <w:rFonts w:ascii="宋体" w:hAnsi="宋体"/>
                <w:color w:val="000000"/>
                <w:sz w:val="30"/>
                <w:szCs w:val="30"/>
              </w:rPr>
            </w:pPr>
          </w:p>
        </w:tc>
        <w:tc>
          <w:tcPr>
            <w:tcW w:w="1450" w:type="dxa"/>
            <w:noWrap w:val="0"/>
            <w:vAlign w:val="top"/>
          </w:tcPr>
          <w:p>
            <w:pPr>
              <w:pStyle w:val="167"/>
              <w:rPr>
                <w:rFonts w:ascii="宋体" w:hAnsi="宋体"/>
                <w:color w:val="000000"/>
                <w:sz w:val="30"/>
                <w:szCs w:val="30"/>
              </w:rPr>
            </w:pPr>
          </w:p>
        </w:tc>
        <w:tc>
          <w:tcPr>
            <w:tcW w:w="1243" w:type="dxa"/>
            <w:noWrap w:val="0"/>
            <w:vAlign w:val="top"/>
          </w:tcPr>
          <w:p>
            <w:pPr>
              <w:pStyle w:val="167"/>
              <w:rPr>
                <w:rFonts w:ascii="宋体" w:hAnsi="宋体"/>
                <w:color w:val="000000"/>
                <w:sz w:val="30"/>
                <w:szCs w:val="30"/>
              </w:rPr>
            </w:pPr>
          </w:p>
        </w:tc>
        <w:tc>
          <w:tcPr>
            <w:tcW w:w="1450" w:type="dxa"/>
            <w:noWrap w:val="0"/>
            <w:vAlign w:val="top"/>
          </w:tcPr>
          <w:p>
            <w:pPr>
              <w:pStyle w:val="167"/>
              <w:rPr>
                <w:rFonts w:ascii="宋体" w:hAnsi="宋体"/>
                <w:color w:val="000000"/>
                <w:sz w:val="30"/>
                <w:szCs w:val="30"/>
              </w:rPr>
            </w:pPr>
          </w:p>
        </w:tc>
        <w:tc>
          <w:tcPr>
            <w:tcW w:w="1667" w:type="dxa"/>
            <w:noWrap w:val="0"/>
            <w:vAlign w:val="top"/>
          </w:tcPr>
          <w:p>
            <w:pPr>
              <w:pStyle w:val="167"/>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167"/>
              <w:rPr>
                <w:rFonts w:ascii="宋体" w:hAnsi="宋体"/>
                <w:color w:val="000000"/>
                <w:sz w:val="30"/>
                <w:szCs w:val="30"/>
              </w:rPr>
            </w:pPr>
          </w:p>
        </w:tc>
        <w:tc>
          <w:tcPr>
            <w:tcW w:w="1276" w:type="dxa"/>
            <w:noWrap w:val="0"/>
            <w:vAlign w:val="top"/>
          </w:tcPr>
          <w:p>
            <w:pPr>
              <w:pStyle w:val="167"/>
              <w:rPr>
                <w:rFonts w:ascii="宋体" w:hAnsi="宋体"/>
                <w:color w:val="000000"/>
                <w:sz w:val="30"/>
                <w:szCs w:val="30"/>
              </w:rPr>
            </w:pPr>
          </w:p>
        </w:tc>
        <w:tc>
          <w:tcPr>
            <w:tcW w:w="1450" w:type="dxa"/>
            <w:noWrap w:val="0"/>
            <w:vAlign w:val="top"/>
          </w:tcPr>
          <w:p>
            <w:pPr>
              <w:pStyle w:val="167"/>
              <w:rPr>
                <w:rFonts w:ascii="宋体" w:hAnsi="宋体"/>
                <w:color w:val="000000"/>
                <w:sz w:val="30"/>
                <w:szCs w:val="30"/>
              </w:rPr>
            </w:pPr>
          </w:p>
        </w:tc>
        <w:tc>
          <w:tcPr>
            <w:tcW w:w="1243" w:type="dxa"/>
            <w:noWrap w:val="0"/>
            <w:vAlign w:val="top"/>
          </w:tcPr>
          <w:p>
            <w:pPr>
              <w:pStyle w:val="167"/>
              <w:rPr>
                <w:rFonts w:ascii="宋体" w:hAnsi="宋体"/>
                <w:color w:val="000000"/>
                <w:sz w:val="30"/>
                <w:szCs w:val="30"/>
              </w:rPr>
            </w:pPr>
          </w:p>
        </w:tc>
        <w:tc>
          <w:tcPr>
            <w:tcW w:w="1450" w:type="dxa"/>
            <w:noWrap w:val="0"/>
            <w:vAlign w:val="top"/>
          </w:tcPr>
          <w:p>
            <w:pPr>
              <w:pStyle w:val="167"/>
              <w:rPr>
                <w:rFonts w:ascii="宋体" w:hAnsi="宋体"/>
                <w:color w:val="000000"/>
                <w:sz w:val="30"/>
                <w:szCs w:val="30"/>
              </w:rPr>
            </w:pPr>
          </w:p>
        </w:tc>
        <w:tc>
          <w:tcPr>
            <w:tcW w:w="1667" w:type="dxa"/>
            <w:noWrap w:val="0"/>
            <w:vAlign w:val="top"/>
          </w:tcPr>
          <w:p>
            <w:pPr>
              <w:pStyle w:val="167"/>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167"/>
              <w:rPr>
                <w:rFonts w:ascii="宋体" w:hAnsi="宋体"/>
                <w:color w:val="000000"/>
                <w:sz w:val="30"/>
                <w:szCs w:val="30"/>
              </w:rPr>
            </w:pPr>
          </w:p>
        </w:tc>
        <w:tc>
          <w:tcPr>
            <w:tcW w:w="1276" w:type="dxa"/>
            <w:noWrap w:val="0"/>
            <w:vAlign w:val="top"/>
          </w:tcPr>
          <w:p>
            <w:pPr>
              <w:pStyle w:val="167"/>
              <w:rPr>
                <w:rFonts w:ascii="宋体" w:hAnsi="宋体"/>
                <w:color w:val="000000"/>
                <w:sz w:val="30"/>
                <w:szCs w:val="30"/>
              </w:rPr>
            </w:pPr>
          </w:p>
        </w:tc>
        <w:tc>
          <w:tcPr>
            <w:tcW w:w="1450" w:type="dxa"/>
            <w:noWrap w:val="0"/>
            <w:vAlign w:val="top"/>
          </w:tcPr>
          <w:p>
            <w:pPr>
              <w:pStyle w:val="167"/>
              <w:rPr>
                <w:rFonts w:ascii="宋体" w:hAnsi="宋体"/>
                <w:color w:val="000000"/>
                <w:sz w:val="30"/>
                <w:szCs w:val="30"/>
              </w:rPr>
            </w:pPr>
          </w:p>
        </w:tc>
        <w:tc>
          <w:tcPr>
            <w:tcW w:w="1243" w:type="dxa"/>
            <w:noWrap w:val="0"/>
            <w:vAlign w:val="top"/>
          </w:tcPr>
          <w:p>
            <w:pPr>
              <w:pStyle w:val="167"/>
              <w:rPr>
                <w:rFonts w:ascii="宋体" w:hAnsi="宋体"/>
                <w:color w:val="000000"/>
                <w:sz w:val="30"/>
                <w:szCs w:val="30"/>
              </w:rPr>
            </w:pPr>
          </w:p>
        </w:tc>
        <w:tc>
          <w:tcPr>
            <w:tcW w:w="1450" w:type="dxa"/>
            <w:noWrap w:val="0"/>
            <w:vAlign w:val="top"/>
          </w:tcPr>
          <w:p>
            <w:pPr>
              <w:pStyle w:val="167"/>
              <w:rPr>
                <w:rFonts w:ascii="宋体" w:hAnsi="宋体"/>
                <w:color w:val="000000"/>
                <w:sz w:val="30"/>
                <w:szCs w:val="30"/>
              </w:rPr>
            </w:pPr>
          </w:p>
        </w:tc>
        <w:tc>
          <w:tcPr>
            <w:tcW w:w="1667" w:type="dxa"/>
            <w:noWrap w:val="0"/>
            <w:vAlign w:val="top"/>
          </w:tcPr>
          <w:p>
            <w:pPr>
              <w:pStyle w:val="167"/>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167"/>
              <w:rPr>
                <w:rFonts w:ascii="宋体" w:hAnsi="宋体"/>
                <w:color w:val="000000"/>
                <w:sz w:val="30"/>
                <w:szCs w:val="30"/>
              </w:rPr>
            </w:pPr>
          </w:p>
        </w:tc>
        <w:tc>
          <w:tcPr>
            <w:tcW w:w="1276" w:type="dxa"/>
            <w:noWrap w:val="0"/>
            <w:vAlign w:val="top"/>
          </w:tcPr>
          <w:p>
            <w:pPr>
              <w:pStyle w:val="167"/>
              <w:rPr>
                <w:rFonts w:ascii="宋体" w:hAnsi="宋体"/>
                <w:color w:val="000000"/>
                <w:sz w:val="30"/>
                <w:szCs w:val="30"/>
              </w:rPr>
            </w:pPr>
          </w:p>
        </w:tc>
        <w:tc>
          <w:tcPr>
            <w:tcW w:w="1450" w:type="dxa"/>
            <w:noWrap w:val="0"/>
            <w:vAlign w:val="top"/>
          </w:tcPr>
          <w:p>
            <w:pPr>
              <w:pStyle w:val="167"/>
              <w:rPr>
                <w:rFonts w:ascii="宋体" w:hAnsi="宋体"/>
                <w:color w:val="000000"/>
                <w:sz w:val="30"/>
                <w:szCs w:val="30"/>
              </w:rPr>
            </w:pPr>
          </w:p>
        </w:tc>
        <w:tc>
          <w:tcPr>
            <w:tcW w:w="1243" w:type="dxa"/>
            <w:noWrap w:val="0"/>
            <w:vAlign w:val="top"/>
          </w:tcPr>
          <w:p>
            <w:pPr>
              <w:pStyle w:val="167"/>
              <w:rPr>
                <w:rFonts w:ascii="宋体" w:hAnsi="宋体"/>
                <w:color w:val="000000"/>
                <w:sz w:val="30"/>
                <w:szCs w:val="30"/>
              </w:rPr>
            </w:pPr>
          </w:p>
        </w:tc>
        <w:tc>
          <w:tcPr>
            <w:tcW w:w="1450" w:type="dxa"/>
            <w:noWrap w:val="0"/>
            <w:vAlign w:val="top"/>
          </w:tcPr>
          <w:p>
            <w:pPr>
              <w:pStyle w:val="167"/>
              <w:rPr>
                <w:rFonts w:ascii="宋体" w:hAnsi="宋体"/>
                <w:color w:val="000000"/>
                <w:sz w:val="30"/>
                <w:szCs w:val="30"/>
              </w:rPr>
            </w:pPr>
          </w:p>
        </w:tc>
        <w:tc>
          <w:tcPr>
            <w:tcW w:w="1667" w:type="dxa"/>
            <w:noWrap w:val="0"/>
            <w:vAlign w:val="top"/>
          </w:tcPr>
          <w:p>
            <w:pPr>
              <w:pStyle w:val="167"/>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167"/>
              <w:rPr>
                <w:rFonts w:ascii="宋体" w:hAnsi="宋体"/>
                <w:color w:val="000000"/>
                <w:sz w:val="30"/>
                <w:szCs w:val="30"/>
              </w:rPr>
            </w:pPr>
          </w:p>
        </w:tc>
        <w:tc>
          <w:tcPr>
            <w:tcW w:w="1276" w:type="dxa"/>
            <w:noWrap w:val="0"/>
            <w:vAlign w:val="top"/>
          </w:tcPr>
          <w:p>
            <w:pPr>
              <w:pStyle w:val="167"/>
              <w:rPr>
                <w:rFonts w:ascii="宋体" w:hAnsi="宋体"/>
                <w:color w:val="000000"/>
                <w:sz w:val="30"/>
                <w:szCs w:val="30"/>
              </w:rPr>
            </w:pPr>
          </w:p>
        </w:tc>
        <w:tc>
          <w:tcPr>
            <w:tcW w:w="1450" w:type="dxa"/>
            <w:noWrap w:val="0"/>
            <w:vAlign w:val="top"/>
          </w:tcPr>
          <w:p>
            <w:pPr>
              <w:pStyle w:val="167"/>
              <w:rPr>
                <w:rFonts w:ascii="宋体" w:hAnsi="宋体"/>
                <w:color w:val="000000"/>
                <w:sz w:val="30"/>
                <w:szCs w:val="30"/>
              </w:rPr>
            </w:pPr>
          </w:p>
        </w:tc>
        <w:tc>
          <w:tcPr>
            <w:tcW w:w="1243" w:type="dxa"/>
            <w:noWrap w:val="0"/>
            <w:vAlign w:val="top"/>
          </w:tcPr>
          <w:p>
            <w:pPr>
              <w:pStyle w:val="167"/>
              <w:rPr>
                <w:rFonts w:ascii="宋体" w:hAnsi="宋体"/>
                <w:color w:val="000000"/>
                <w:sz w:val="30"/>
                <w:szCs w:val="30"/>
              </w:rPr>
            </w:pPr>
          </w:p>
        </w:tc>
        <w:tc>
          <w:tcPr>
            <w:tcW w:w="1450" w:type="dxa"/>
            <w:noWrap w:val="0"/>
            <w:vAlign w:val="top"/>
          </w:tcPr>
          <w:p>
            <w:pPr>
              <w:pStyle w:val="167"/>
              <w:rPr>
                <w:rFonts w:ascii="宋体" w:hAnsi="宋体"/>
                <w:color w:val="000000"/>
                <w:sz w:val="30"/>
                <w:szCs w:val="30"/>
              </w:rPr>
            </w:pPr>
          </w:p>
        </w:tc>
        <w:tc>
          <w:tcPr>
            <w:tcW w:w="1667" w:type="dxa"/>
            <w:noWrap w:val="0"/>
            <w:vAlign w:val="top"/>
          </w:tcPr>
          <w:p>
            <w:pPr>
              <w:pStyle w:val="167"/>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167"/>
              <w:rPr>
                <w:rFonts w:ascii="宋体" w:hAnsi="宋体"/>
                <w:color w:val="000000"/>
                <w:sz w:val="30"/>
                <w:szCs w:val="30"/>
              </w:rPr>
            </w:pPr>
          </w:p>
        </w:tc>
        <w:tc>
          <w:tcPr>
            <w:tcW w:w="1276" w:type="dxa"/>
            <w:noWrap w:val="0"/>
            <w:vAlign w:val="top"/>
          </w:tcPr>
          <w:p>
            <w:pPr>
              <w:pStyle w:val="167"/>
              <w:rPr>
                <w:rFonts w:ascii="宋体" w:hAnsi="宋体"/>
                <w:color w:val="000000"/>
                <w:sz w:val="30"/>
                <w:szCs w:val="30"/>
              </w:rPr>
            </w:pPr>
          </w:p>
        </w:tc>
        <w:tc>
          <w:tcPr>
            <w:tcW w:w="1450" w:type="dxa"/>
            <w:noWrap w:val="0"/>
            <w:vAlign w:val="top"/>
          </w:tcPr>
          <w:p>
            <w:pPr>
              <w:pStyle w:val="167"/>
              <w:rPr>
                <w:rFonts w:ascii="宋体" w:hAnsi="宋体"/>
                <w:color w:val="000000"/>
                <w:sz w:val="30"/>
                <w:szCs w:val="30"/>
              </w:rPr>
            </w:pPr>
          </w:p>
        </w:tc>
        <w:tc>
          <w:tcPr>
            <w:tcW w:w="1243" w:type="dxa"/>
            <w:noWrap w:val="0"/>
            <w:vAlign w:val="top"/>
          </w:tcPr>
          <w:p>
            <w:pPr>
              <w:pStyle w:val="167"/>
              <w:rPr>
                <w:rFonts w:ascii="宋体" w:hAnsi="宋体"/>
                <w:color w:val="000000"/>
                <w:sz w:val="30"/>
                <w:szCs w:val="30"/>
              </w:rPr>
            </w:pPr>
          </w:p>
        </w:tc>
        <w:tc>
          <w:tcPr>
            <w:tcW w:w="1450" w:type="dxa"/>
            <w:noWrap w:val="0"/>
            <w:vAlign w:val="top"/>
          </w:tcPr>
          <w:p>
            <w:pPr>
              <w:pStyle w:val="167"/>
              <w:rPr>
                <w:rFonts w:ascii="宋体" w:hAnsi="宋体"/>
                <w:color w:val="000000"/>
                <w:sz w:val="30"/>
                <w:szCs w:val="30"/>
              </w:rPr>
            </w:pPr>
          </w:p>
        </w:tc>
        <w:tc>
          <w:tcPr>
            <w:tcW w:w="1667" w:type="dxa"/>
            <w:noWrap w:val="0"/>
            <w:vAlign w:val="top"/>
          </w:tcPr>
          <w:p>
            <w:pPr>
              <w:pStyle w:val="167"/>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167"/>
              <w:rPr>
                <w:rFonts w:ascii="宋体" w:hAnsi="宋体"/>
                <w:color w:val="000000"/>
                <w:sz w:val="30"/>
                <w:szCs w:val="30"/>
              </w:rPr>
            </w:pPr>
          </w:p>
        </w:tc>
        <w:tc>
          <w:tcPr>
            <w:tcW w:w="1276" w:type="dxa"/>
            <w:noWrap w:val="0"/>
            <w:vAlign w:val="top"/>
          </w:tcPr>
          <w:p>
            <w:pPr>
              <w:pStyle w:val="167"/>
              <w:rPr>
                <w:rFonts w:ascii="宋体" w:hAnsi="宋体"/>
                <w:color w:val="000000"/>
                <w:sz w:val="30"/>
                <w:szCs w:val="30"/>
              </w:rPr>
            </w:pPr>
          </w:p>
        </w:tc>
        <w:tc>
          <w:tcPr>
            <w:tcW w:w="1450" w:type="dxa"/>
            <w:noWrap w:val="0"/>
            <w:vAlign w:val="top"/>
          </w:tcPr>
          <w:p>
            <w:pPr>
              <w:pStyle w:val="167"/>
              <w:rPr>
                <w:rFonts w:ascii="宋体" w:hAnsi="宋体"/>
                <w:color w:val="000000"/>
                <w:sz w:val="30"/>
                <w:szCs w:val="30"/>
              </w:rPr>
            </w:pPr>
          </w:p>
        </w:tc>
        <w:tc>
          <w:tcPr>
            <w:tcW w:w="1243" w:type="dxa"/>
            <w:noWrap w:val="0"/>
            <w:vAlign w:val="top"/>
          </w:tcPr>
          <w:p>
            <w:pPr>
              <w:pStyle w:val="167"/>
              <w:rPr>
                <w:rFonts w:ascii="宋体" w:hAnsi="宋体"/>
                <w:color w:val="000000"/>
                <w:sz w:val="30"/>
                <w:szCs w:val="30"/>
              </w:rPr>
            </w:pPr>
          </w:p>
        </w:tc>
        <w:tc>
          <w:tcPr>
            <w:tcW w:w="1450" w:type="dxa"/>
            <w:noWrap w:val="0"/>
            <w:vAlign w:val="top"/>
          </w:tcPr>
          <w:p>
            <w:pPr>
              <w:pStyle w:val="167"/>
              <w:rPr>
                <w:rFonts w:ascii="宋体" w:hAnsi="宋体"/>
                <w:color w:val="000000"/>
                <w:sz w:val="30"/>
                <w:szCs w:val="30"/>
              </w:rPr>
            </w:pPr>
          </w:p>
        </w:tc>
        <w:tc>
          <w:tcPr>
            <w:tcW w:w="1667" w:type="dxa"/>
            <w:noWrap w:val="0"/>
            <w:vAlign w:val="top"/>
          </w:tcPr>
          <w:p>
            <w:pPr>
              <w:pStyle w:val="167"/>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167"/>
              <w:rPr>
                <w:rFonts w:ascii="宋体" w:hAnsi="宋体"/>
                <w:color w:val="000000"/>
                <w:sz w:val="30"/>
                <w:szCs w:val="30"/>
              </w:rPr>
            </w:pPr>
          </w:p>
        </w:tc>
        <w:tc>
          <w:tcPr>
            <w:tcW w:w="1276" w:type="dxa"/>
            <w:noWrap w:val="0"/>
            <w:vAlign w:val="top"/>
          </w:tcPr>
          <w:p>
            <w:pPr>
              <w:pStyle w:val="167"/>
              <w:rPr>
                <w:rFonts w:ascii="宋体" w:hAnsi="宋体"/>
                <w:color w:val="000000"/>
                <w:sz w:val="30"/>
                <w:szCs w:val="30"/>
              </w:rPr>
            </w:pPr>
          </w:p>
        </w:tc>
        <w:tc>
          <w:tcPr>
            <w:tcW w:w="1450" w:type="dxa"/>
            <w:noWrap w:val="0"/>
            <w:vAlign w:val="top"/>
          </w:tcPr>
          <w:p>
            <w:pPr>
              <w:pStyle w:val="167"/>
              <w:rPr>
                <w:rFonts w:ascii="宋体" w:hAnsi="宋体"/>
                <w:color w:val="000000"/>
                <w:sz w:val="30"/>
                <w:szCs w:val="30"/>
              </w:rPr>
            </w:pPr>
          </w:p>
        </w:tc>
        <w:tc>
          <w:tcPr>
            <w:tcW w:w="1243" w:type="dxa"/>
            <w:noWrap w:val="0"/>
            <w:vAlign w:val="top"/>
          </w:tcPr>
          <w:p>
            <w:pPr>
              <w:pStyle w:val="167"/>
              <w:rPr>
                <w:rFonts w:ascii="宋体" w:hAnsi="宋体"/>
                <w:color w:val="000000"/>
                <w:sz w:val="30"/>
                <w:szCs w:val="30"/>
              </w:rPr>
            </w:pPr>
          </w:p>
        </w:tc>
        <w:tc>
          <w:tcPr>
            <w:tcW w:w="1450" w:type="dxa"/>
            <w:noWrap w:val="0"/>
            <w:vAlign w:val="top"/>
          </w:tcPr>
          <w:p>
            <w:pPr>
              <w:pStyle w:val="167"/>
              <w:rPr>
                <w:rFonts w:ascii="宋体" w:hAnsi="宋体"/>
                <w:color w:val="000000"/>
                <w:sz w:val="30"/>
                <w:szCs w:val="30"/>
              </w:rPr>
            </w:pPr>
          </w:p>
        </w:tc>
        <w:tc>
          <w:tcPr>
            <w:tcW w:w="1667" w:type="dxa"/>
            <w:noWrap w:val="0"/>
            <w:vAlign w:val="top"/>
          </w:tcPr>
          <w:p>
            <w:pPr>
              <w:pStyle w:val="167"/>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noWrap w:val="0"/>
            <w:vAlign w:val="top"/>
          </w:tcPr>
          <w:p>
            <w:pPr>
              <w:pStyle w:val="167"/>
              <w:rPr>
                <w:rFonts w:ascii="宋体" w:hAnsi="宋体"/>
                <w:color w:val="000000"/>
                <w:sz w:val="30"/>
                <w:szCs w:val="30"/>
              </w:rPr>
            </w:pPr>
          </w:p>
        </w:tc>
        <w:tc>
          <w:tcPr>
            <w:tcW w:w="1276" w:type="dxa"/>
            <w:noWrap w:val="0"/>
            <w:vAlign w:val="top"/>
          </w:tcPr>
          <w:p>
            <w:pPr>
              <w:pStyle w:val="167"/>
              <w:rPr>
                <w:rFonts w:ascii="宋体" w:hAnsi="宋体"/>
                <w:color w:val="000000"/>
                <w:sz w:val="30"/>
                <w:szCs w:val="30"/>
              </w:rPr>
            </w:pPr>
          </w:p>
        </w:tc>
        <w:tc>
          <w:tcPr>
            <w:tcW w:w="1450" w:type="dxa"/>
            <w:noWrap w:val="0"/>
            <w:vAlign w:val="top"/>
          </w:tcPr>
          <w:p>
            <w:pPr>
              <w:pStyle w:val="167"/>
              <w:rPr>
                <w:rFonts w:ascii="宋体" w:hAnsi="宋体"/>
                <w:color w:val="000000"/>
                <w:sz w:val="30"/>
                <w:szCs w:val="30"/>
              </w:rPr>
            </w:pPr>
          </w:p>
        </w:tc>
        <w:tc>
          <w:tcPr>
            <w:tcW w:w="1243" w:type="dxa"/>
            <w:noWrap w:val="0"/>
            <w:vAlign w:val="top"/>
          </w:tcPr>
          <w:p>
            <w:pPr>
              <w:pStyle w:val="167"/>
              <w:rPr>
                <w:rFonts w:ascii="宋体" w:hAnsi="宋体"/>
                <w:color w:val="000000"/>
                <w:sz w:val="30"/>
                <w:szCs w:val="30"/>
              </w:rPr>
            </w:pPr>
          </w:p>
        </w:tc>
        <w:tc>
          <w:tcPr>
            <w:tcW w:w="1450" w:type="dxa"/>
            <w:noWrap w:val="0"/>
            <w:vAlign w:val="top"/>
          </w:tcPr>
          <w:p>
            <w:pPr>
              <w:pStyle w:val="167"/>
              <w:rPr>
                <w:rFonts w:ascii="宋体" w:hAnsi="宋体"/>
                <w:color w:val="000000"/>
                <w:sz w:val="30"/>
                <w:szCs w:val="30"/>
              </w:rPr>
            </w:pPr>
          </w:p>
        </w:tc>
        <w:tc>
          <w:tcPr>
            <w:tcW w:w="1667" w:type="dxa"/>
            <w:noWrap w:val="0"/>
            <w:vAlign w:val="top"/>
          </w:tcPr>
          <w:p>
            <w:pPr>
              <w:pStyle w:val="167"/>
              <w:rPr>
                <w:rFonts w:ascii="宋体" w:hAnsi="宋体"/>
                <w:color w:val="000000"/>
                <w:sz w:val="30"/>
                <w:szCs w:val="30"/>
              </w:rPr>
            </w:pPr>
          </w:p>
        </w:tc>
      </w:tr>
    </w:tbl>
    <w:p>
      <w:pPr>
        <w:pStyle w:val="167"/>
        <w:spacing w:line="440" w:lineRule="exact"/>
        <w:rPr>
          <w:rFonts w:ascii="宋体" w:hAnsi="宋体"/>
          <w:color w:val="000000"/>
          <w:sz w:val="30"/>
          <w:szCs w:val="30"/>
        </w:rPr>
      </w:pPr>
    </w:p>
    <w:p>
      <w:pPr>
        <w:pStyle w:val="167"/>
        <w:spacing w:line="440" w:lineRule="exact"/>
        <w:rPr>
          <w:rFonts w:ascii="宋体" w:hAnsi="宋体"/>
          <w:color w:val="000000"/>
          <w:sz w:val="30"/>
          <w:szCs w:val="30"/>
        </w:rPr>
      </w:pPr>
      <w:r>
        <w:rPr>
          <w:rFonts w:ascii="宋体" w:hAnsi="宋体"/>
          <w:color w:val="000000"/>
          <w:sz w:val="30"/>
          <w:szCs w:val="30"/>
        </w:rPr>
        <w:br w:type="page"/>
      </w:r>
      <w:r>
        <w:rPr>
          <w:rFonts w:ascii="宋体" w:hAnsi="宋体"/>
          <w:color w:val="000000"/>
          <w:sz w:val="30"/>
          <w:szCs w:val="30"/>
        </w:rPr>
        <w:t>附</w:t>
      </w:r>
      <w:bookmarkStart w:id="965" w:name="_Toc296891267"/>
      <w:bookmarkStart w:id="966" w:name="_Toc296503227"/>
      <w:bookmarkStart w:id="967" w:name="_Toc296891055"/>
      <w:bookmarkStart w:id="968" w:name="_Toc296944566"/>
      <w:bookmarkStart w:id="969" w:name="_Toc296347226"/>
      <w:bookmarkStart w:id="970" w:name="_Toc267261698"/>
      <w:bookmarkStart w:id="971" w:name="_Toc296346728"/>
      <w:r>
        <w:rPr>
          <w:rFonts w:ascii="宋体" w:hAnsi="宋体"/>
          <w:color w:val="000000"/>
          <w:sz w:val="30"/>
          <w:szCs w:val="30"/>
        </w:rPr>
        <w:t>件5：</w:t>
      </w:r>
    </w:p>
    <w:bookmarkEnd w:id="965"/>
    <w:bookmarkEnd w:id="966"/>
    <w:bookmarkEnd w:id="967"/>
    <w:bookmarkEnd w:id="968"/>
    <w:bookmarkEnd w:id="969"/>
    <w:bookmarkEnd w:id="970"/>
    <w:bookmarkEnd w:id="971"/>
    <w:p>
      <w:pPr>
        <w:pStyle w:val="167"/>
        <w:spacing w:before="156" w:beforeLines="50" w:after="156" w:afterLines="50" w:line="440" w:lineRule="exact"/>
        <w:jc w:val="center"/>
        <w:rPr>
          <w:rFonts w:ascii="宋体" w:hAnsi="宋体"/>
          <w:color w:val="000000"/>
          <w:sz w:val="30"/>
          <w:szCs w:val="30"/>
        </w:rPr>
      </w:pPr>
      <w:r>
        <w:rPr>
          <w:rFonts w:ascii="宋体" w:hAnsi="宋体"/>
          <w:color w:val="000000"/>
          <w:sz w:val="30"/>
          <w:szCs w:val="30"/>
        </w:rPr>
        <w:t>承包人用于本工程施工的机械设备表</w:t>
      </w:r>
    </w:p>
    <w:tbl>
      <w:tblPr>
        <w:tblStyle w:val="4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序号</w:t>
            </w:r>
          </w:p>
        </w:tc>
        <w:tc>
          <w:tcPr>
            <w:tcW w:w="1418" w:type="dxa"/>
            <w:tcBorders>
              <w:top w:val="single" w:color="auto" w:sz="12" w:space="0"/>
              <w:bottom w:val="doub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机械或设备名称</w:t>
            </w:r>
          </w:p>
        </w:tc>
        <w:tc>
          <w:tcPr>
            <w:tcW w:w="850" w:type="dxa"/>
            <w:tcBorders>
              <w:top w:val="single" w:color="auto" w:sz="12" w:space="0"/>
              <w:bottom w:val="doub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规格型号</w:t>
            </w:r>
          </w:p>
        </w:tc>
        <w:tc>
          <w:tcPr>
            <w:tcW w:w="1058" w:type="dxa"/>
            <w:tcBorders>
              <w:top w:val="single" w:color="auto" w:sz="12" w:space="0"/>
              <w:bottom w:val="doub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数量</w:t>
            </w:r>
          </w:p>
        </w:tc>
        <w:tc>
          <w:tcPr>
            <w:tcW w:w="880" w:type="dxa"/>
            <w:tcBorders>
              <w:top w:val="single" w:color="auto" w:sz="12" w:space="0"/>
              <w:bottom w:val="doub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产地</w:t>
            </w:r>
          </w:p>
        </w:tc>
        <w:tc>
          <w:tcPr>
            <w:tcW w:w="1020" w:type="dxa"/>
            <w:tcBorders>
              <w:top w:val="single" w:color="auto" w:sz="12" w:space="0"/>
              <w:bottom w:val="doub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制造年份</w:t>
            </w:r>
          </w:p>
        </w:tc>
        <w:tc>
          <w:tcPr>
            <w:tcW w:w="1480" w:type="dxa"/>
            <w:tcBorders>
              <w:top w:val="single" w:color="auto" w:sz="12" w:space="0"/>
              <w:bottom w:val="doub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额定功率(kW)</w:t>
            </w:r>
          </w:p>
        </w:tc>
        <w:tc>
          <w:tcPr>
            <w:tcW w:w="1020" w:type="dxa"/>
            <w:tcBorders>
              <w:top w:val="single" w:color="auto" w:sz="12" w:space="0"/>
              <w:bottom w:val="doub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生产能力</w:t>
            </w:r>
          </w:p>
        </w:tc>
        <w:tc>
          <w:tcPr>
            <w:tcW w:w="921" w:type="dxa"/>
            <w:tcBorders>
              <w:top w:val="single" w:color="auto" w:sz="12" w:space="0"/>
              <w:bottom w:val="doub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418" w:type="dxa"/>
            <w:tcBorders>
              <w:top w:val="doub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850" w:type="dxa"/>
            <w:tcBorders>
              <w:top w:val="doub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058" w:type="dxa"/>
            <w:tcBorders>
              <w:top w:val="doub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880" w:type="dxa"/>
            <w:tcBorders>
              <w:top w:val="doub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020" w:type="dxa"/>
            <w:tcBorders>
              <w:top w:val="doub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480" w:type="dxa"/>
            <w:tcBorders>
              <w:top w:val="doub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020" w:type="dxa"/>
            <w:tcBorders>
              <w:top w:val="doub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921" w:type="dxa"/>
            <w:tcBorders>
              <w:top w:val="doub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418" w:type="dxa"/>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850" w:type="dxa"/>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058" w:type="dxa"/>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880" w:type="dxa"/>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020" w:type="dxa"/>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480" w:type="dxa"/>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020" w:type="dxa"/>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921" w:type="dxa"/>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41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85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05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88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02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48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02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921"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41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85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05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88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02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48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02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921"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41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85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05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88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02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48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02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921"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41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85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05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88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02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48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02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921"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41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85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05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88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02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48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02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921"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41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85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05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88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02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48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02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921"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167"/>
              <w:rPr>
                <w:rFonts w:ascii="宋体" w:hAnsi="宋体"/>
                <w:color w:val="000000"/>
                <w:sz w:val="30"/>
                <w:szCs w:val="30"/>
              </w:rPr>
            </w:pPr>
          </w:p>
        </w:tc>
        <w:tc>
          <w:tcPr>
            <w:tcW w:w="1418" w:type="dxa"/>
            <w:noWrap w:val="0"/>
            <w:vAlign w:val="top"/>
          </w:tcPr>
          <w:p>
            <w:pPr>
              <w:pStyle w:val="167"/>
              <w:rPr>
                <w:rFonts w:ascii="宋体" w:hAnsi="宋体"/>
                <w:color w:val="000000"/>
                <w:sz w:val="30"/>
                <w:szCs w:val="30"/>
              </w:rPr>
            </w:pPr>
          </w:p>
        </w:tc>
        <w:tc>
          <w:tcPr>
            <w:tcW w:w="850" w:type="dxa"/>
            <w:noWrap w:val="0"/>
            <w:vAlign w:val="top"/>
          </w:tcPr>
          <w:p>
            <w:pPr>
              <w:pStyle w:val="167"/>
              <w:rPr>
                <w:rFonts w:ascii="宋体" w:hAnsi="宋体"/>
                <w:color w:val="000000"/>
                <w:sz w:val="30"/>
                <w:szCs w:val="30"/>
              </w:rPr>
            </w:pPr>
          </w:p>
        </w:tc>
        <w:tc>
          <w:tcPr>
            <w:tcW w:w="1058" w:type="dxa"/>
            <w:noWrap w:val="0"/>
            <w:vAlign w:val="top"/>
          </w:tcPr>
          <w:p>
            <w:pPr>
              <w:pStyle w:val="167"/>
              <w:rPr>
                <w:rFonts w:ascii="宋体" w:hAnsi="宋体"/>
                <w:color w:val="000000"/>
                <w:sz w:val="30"/>
                <w:szCs w:val="30"/>
              </w:rPr>
            </w:pPr>
          </w:p>
        </w:tc>
        <w:tc>
          <w:tcPr>
            <w:tcW w:w="880" w:type="dxa"/>
            <w:noWrap w:val="0"/>
            <w:vAlign w:val="top"/>
          </w:tcPr>
          <w:p>
            <w:pPr>
              <w:pStyle w:val="167"/>
              <w:rPr>
                <w:rFonts w:ascii="宋体" w:hAnsi="宋体"/>
                <w:color w:val="000000"/>
                <w:sz w:val="30"/>
                <w:szCs w:val="30"/>
              </w:rPr>
            </w:pPr>
          </w:p>
        </w:tc>
        <w:tc>
          <w:tcPr>
            <w:tcW w:w="1020" w:type="dxa"/>
            <w:noWrap w:val="0"/>
            <w:vAlign w:val="top"/>
          </w:tcPr>
          <w:p>
            <w:pPr>
              <w:pStyle w:val="167"/>
              <w:rPr>
                <w:rFonts w:ascii="宋体" w:hAnsi="宋体"/>
                <w:color w:val="000000"/>
                <w:sz w:val="30"/>
                <w:szCs w:val="30"/>
              </w:rPr>
            </w:pPr>
          </w:p>
        </w:tc>
        <w:tc>
          <w:tcPr>
            <w:tcW w:w="1480" w:type="dxa"/>
            <w:noWrap w:val="0"/>
            <w:vAlign w:val="top"/>
          </w:tcPr>
          <w:p>
            <w:pPr>
              <w:pStyle w:val="167"/>
              <w:rPr>
                <w:rFonts w:ascii="宋体" w:hAnsi="宋体"/>
                <w:color w:val="000000"/>
                <w:sz w:val="30"/>
                <w:szCs w:val="30"/>
              </w:rPr>
            </w:pPr>
          </w:p>
        </w:tc>
        <w:tc>
          <w:tcPr>
            <w:tcW w:w="1020" w:type="dxa"/>
            <w:noWrap w:val="0"/>
            <w:vAlign w:val="top"/>
          </w:tcPr>
          <w:p>
            <w:pPr>
              <w:pStyle w:val="167"/>
              <w:rPr>
                <w:rFonts w:ascii="宋体" w:hAnsi="宋体"/>
                <w:color w:val="000000"/>
                <w:sz w:val="30"/>
                <w:szCs w:val="30"/>
              </w:rPr>
            </w:pPr>
          </w:p>
        </w:tc>
        <w:tc>
          <w:tcPr>
            <w:tcW w:w="921" w:type="dxa"/>
            <w:noWrap w:val="0"/>
            <w:vAlign w:val="top"/>
          </w:tcPr>
          <w:p>
            <w:pPr>
              <w:pStyle w:val="167"/>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41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85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05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88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02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48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020"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921"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167"/>
              <w:rPr>
                <w:rFonts w:ascii="宋体" w:hAnsi="宋体"/>
                <w:color w:val="000000"/>
                <w:sz w:val="30"/>
                <w:szCs w:val="30"/>
              </w:rPr>
            </w:pPr>
          </w:p>
        </w:tc>
        <w:tc>
          <w:tcPr>
            <w:tcW w:w="1418" w:type="dxa"/>
            <w:noWrap w:val="0"/>
            <w:vAlign w:val="top"/>
          </w:tcPr>
          <w:p>
            <w:pPr>
              <w:pStyle w:val="167"/>
              <w:rPr>
                <w:rFonts w:ascii="宋体" w:hAnsi="宋体"/>
                <w:color w:val="000000"/>
                <w:sz w:val="30"/>
                <w:szCs w:val="30"/>
              </w:rPr>
            </w:pPr>
          </w:p>
        </w:tc>
        <w:tc>
          <w:tcPr>
            <w:tcW w:w="850" w:type="dxa"/>
            <w:noWrap w:val="0"/>
            <w:vAlign w:val="top"/>
          </w:tcPr>
          <w:p>
            <w:pPr>
              <w:pStyle w:val="167"/>
              <w:rPr>
                <w:rFonts w:ascii="宋体" w:hAnsi="宋体"/>
                <w:color w:val="000000"/>
                <w:sz w:val="30"/>
                <w:szCs w:val="30"/>
              </w:rPr>
            </w:pPr>
          </w:p>
        </w:tc>
        <w:tc>
          <w:tcPr>
            <w:tcW w:w="1058" w:type="dxa"/>
            <w:noWrap w:val="0"/>
            <w:vAlign w:val="top"/>
          </w:tcPr>
          <w:p>
            <w:pPr>
              <w:pStyle w:val="167"/>
              <w:rPr>
                <w:rFonts w:ascii="宋体" w:hAnsi="宋体"/>
                <w:color w:val="000000"/>
                <w:sz w:val="30"/>
                <w:szCs w:val="30"/>
              </w:rPr>
            </w:pPr>
          </w:p>
        </w:tc>
        <w:tc>
          <w:tcPr>
            <w:tcW w:w="880" w:type="dxa"/>
            <w:noWrap w:val="0"/>
            <w:vAlign w:val="top"/>
          </w:tcPr>
          <w:p>
            <w:pPr>
              <w:pStyle w:val="167"/>
              <w:rPr>
                <w:rFonts w:ascii="宋体" w:hAnsi="宋体"/>
                <w:color w:val="000000"/>
                <w:sz w:val="30"/>
                <w:szCs w:val="30"/>
              </w:rPr>
            </w:pPr>
          </w:p>
        </w:tc>
        <w:tc>
          <w:tcPr>
            <w:tcW w:w="1020" w:type="dxa"/>
            <w:noWrap w:val="0"/>
            <w:vAlign w:val="top"/>
          </w:tcPr>
          <w:p>
            <w:pPr>
              <w:pStyle w:val="167"/>
              <w:rPr>
                <w:rFonts w:ascii="宋体" w:hAnsi="宋体"/>
                <w:color w:val="000000"/>
                <w:sz w:val="30"/>
                <w:szCs w:val="30"/>
              </w:rPr>
            </w:pPr>
          </w:p>
        </w:tc>
        <w:tc>
          <w:tcPr>
            <w:tcW w:w="1480" w:type="dxa"/>
            <w:noWrap w:val="0"/>
            <w:vAlign w:val="top"/>
          </w:tcPr>
          <w:p>
            <w:pPr>
              <w:pStyle w:val="167"/>
              <w:rPr>
                <w:rFonts w:ascii="宋体" w:hAnsi="宋体"/>
                <w:color w:val="000000"/>
                <w:sz w:val="30"/>
                <w:szCs w:val="30"/>
              </w:rPr>
            </w:pPr>
          </w:p>
        </w:tc>
        <w:tc>
          <w:tcPr>
            <w:tcW w:w="1020" w:type="dxa"/>
            <w:noWrap w:val="0"/>
            <w:vAlign w:val="top"/>
          </w:tcPr>
          <w:p>
            <w:pPr>
              <w:pStyle w:val="167"/>
              <w:rPr>
                <w:rFonts w:ascii="宋体" w:hAnsi="宋体"/>
                <w:color w:val="000000"/>
                <w:sz w:val="30"/>
                <w:szCs w:val="30"/>
              </w:rPr>
            </w:pPr>
          </w:p>
        </w:tc>
        <w:tc>
          <w:tcPr>
            <w:tcW w:w="921" w:type="dxa"/>
            <w:noWrap w:val="0"/>
            <w:vAlign w:val="top"/>
          </w:tcPr>
          <w:p>
            <w:pPr>
              <w:pStyle w:val="167"/>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167"/>
              <w:rPr>
                <w:rFonts w:ascii="宋体" w:hAnsi="宋体"/>
                <w:color w:val="000000"/>
                <w:sz w:val="30"/>
                <w:szCs w:val="30"/>
              </w:rPr>
            </w:pPr>
          </w:p>
        </w:tc>
        <w:tc>
          <w:tcPr>
            <w:tcW w:w="1418" w:type="dxa"/>
            <w:noWrap w:val="0"/>
            <w:vAlign w:val="top"/>
          </w:tcPr>
          <w:p>
            <w:pPr>
              <w:pStyle w:val="167"/>
              <w:rPr>
                <w:rFonts w:ascii="宋体" w:hAnsi="宋体"/>
                <w:color w:val="000000"/>
                <w:sz w:val="30"/>
                <w:szCs w:val="30"/>
              </w:rPr>
            </w:pPr>
          </w:p>
        </w:tc>
        <w:tc>
          <w:tcPr>
            <w:tcW w:w="850" w:type="dxa"/>
            <w:noWrap w:val="0"/>
            <w:vAlign w:val="top"/>
          </w:tcPr>
          <w:p>
            <w:pPr>
              <w:pStyle w:val="167"/>
              <w:rPr>
                <w:rFonts w:ascii="宋体" w:hAnsi="宋体"/>
                <w:color w:val="000000"/>
                <w:sz w:val="30"/>
                <w:szCs w:val="30"/>
              </w:rPr>
            </w:pPr>
          </w:p>
        </w:tc>
        <w:tc>
          <w:tcPr>
            <w:tcW w:w="1058" w:type="dxa"/>
            <w:noWrap w:val="0"/>
            <w:vAlign w:val="top"/>
          </w:tcPr>
          <w:p>
            <w:pPr>
              <w:pStyle w:val="167"/>
              <w:rPr>
                <w:rFonts w:ascii="宋体" w:hAnsi="宋体"/>
                <w:color w:val="000000"/>
                <w:sz w:val="30"/>
                <w:szCs w:val="30"/>
              </w:rPr>
            </w:pPr>
          </w:p>
        </w:tc>
        <w:tc>
          <w:tcPr>
            <w:tcW w:w="880" w:type="dxa"/>
            <w:noWrap w:val="0"/>
            <w:vAlign w:val="top"/>
          </w:tcPr>
          <w:p>
            <w:pPr>
              <w:pStyle w:val="167"/>
              <w:rPr>
                <w:rFonts w:ascii="宋体" w:hAnsi="宋体"/>
                <w:color w:val="000000"/>
                <w:sz w:val="30"/>
                <w:szCs w:val="30"/>
              </w:rPr>
            </w:pPr>
          </w:p>
        </w:tc>
        <w:tc>
          <w:tcPr>
            <w:tcW w:w="1020" w:type="dxa"/>
            <w:noWrap w:val="0"/>
            <w:vAlign w:val="top"/>
          </w:tcPr>
          <w:p>
            <w:pPr>
              <w:pStyle w:val="167"/>
              <w:rPr>
                <w:rFonts w:ascii="宋体" w:hAnsi="宋体"/>
                <w:color w:val="000000"/>
                <w:sz w:val="30"/>
                <w:szCs w:val="30"/>
              </w:rPr>
            </w:pPr>
          </w:p>
        </w:tc>
        <w:tc>
          <w:tcPr>
            <w:tcW w:w="1480" w:type="dxa"/>
            <w:noWrap w:val="0"/>
            <w:vAlign w:val="top"/>
          </w:tcPr>
          <w:p>
            <w:pPr>
              <w:pStyle w:val="167"/>
              <w:rPr>
                <w:rFonts w:ascii="宋体" w:hAnsi="宋体"/>
                <w:color w:val="000000"/>
                <w:sz w:val="30"/>
                <w:szCs w:val="30"/>
              </w:rPr>
            </w:pPr>
          </w:p>
        </w:tc>
        <w:tc>
          <w:tcPr>
            <w:tcW w:w="1020" w:type="dxa"/>
            <w:noWrap w:val="0"/>
            <w:vAlign w:val="top"/>
          </w:tcPr>
          <w:p>
            <w:pPr>
              <w:pStyle w:val="167"/>
              <w:rPr>
                <w:rFonts w:ascii="宋体" w:hAnsi="宋体"/>
                <w:color w:val="000000"/>
                <w:sz w:val="30"/>
                <w:szCs w:val="30"/>
              </w:rPr>
            </w:pPr>
          </w:p>
        </w:tc>
        <w:tc>
          <w:tcPr>
            <w:tcW w:w="921" w:type="dxa"/>
            <w:noWrap w:val="0"/>
            <w:vAlign w:val="top"/>
          </w:tcPr>
          <w:p>
            <w:pPr>
              <w:pStyle w:val="167"/>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167"/>
              <w:rPr>
                <w:rFonts w:ascii="宋体" w:hAnsi="宋体"/>
                <w:color w:val="000000"/>
                <w:sz w:val="30"/>
                <w:szCs w:val="30"/>
              </w:rPr>
            </w:pPr>
          </w:p>
        </w:tc>
        <w:tc>
          <w:tcPr>
            <w:tcW w:w="1418" w:type="dxa"/>
            <w:noWrap w:val="0"/>
            <w:vAlign w:val="top"/>
          </w:tcPr>
          <w:p>
            <w:pPr>
              <w:pStyle w:val="167"/>
              <w:rPr>
                <w:rFonts w:ascii="宋体" w:hAnsi="宋体"/>
                <w:color w:val="000000"/>
                <w:sz w:val="30"/>
                <w:szCs w:val="30"/>
              </w:rPr>
            </w:pPr>
          </w:p>
        </w:tc>
        <w:tc>
          <w:tcPr>
            <w:tcW w:w="850" w:type="dxa"/>
            <w:noWrap w:val="0"/>
            <w:vAlign w:val="top"/>
          </w:tcPr>
          <w:p>
            <w:pPr>
              <w:pStyle w:val="167"/>
              <w:rPr>
                <w:rFonts w:ascii="宋体" w:hAnsi="宋体"/>
                <w:color w:val="000000"/>
                <w:sz w:val="30"/>
                <w:szCs w:val="30"/>
              </w:rPr>
            </w:pPr>
          </w:p>
        </w:tc>
        <w:tc>
          <w:tcPr>
            <w:tcW w:w="1058" w:type="dxa"/>
            <w:noWrap w:val="0"/>
            <w:vAlign w:val="top"/>
          </w:tcPr>
          <w:p>
            <w:pPr>
              <w:pStyle w:val="167"/>
              <w:rPr>
                <w:rFonts w:ascii="宋体" w:hAnsi="宋体"/>
                <w:color w:val="000000"/>
                <w:sz w:val="30"/>
                <w:szCs w:val="30"/>
              </w:rPr>
            </w:pPr>
          </w:p>
        </w:tc>
        <w:tc>
          <w:tcPr>
            <w:tcW w:w="880" w:type="dxa"/>
            <w:noWrap w:val="0"/>
            <w:vAlign w:val="top"/>
          </w:tcPr>
          <w:p>
            <w:pPr>
              <w:pStyle w:val="167"/>
              <w:rPr>
                <w:rFonts w:ascii="宋体" w:hAnsi="宋体"/>
                <w:color w:val="000000"/>
                <w:sz w:val="30"/>
                <w:szCs w:val="30"/>
              </w:rPr>
            </w:pPr>
          </w:p>
        </w:tc>
        <w:tc>
          <w:tcPr>
            <w:tcW w:w="1020" w:type="dxa"/>
            <w:noWrap w:val="0"/>
            <w:vAlign w:val="top"/>
          </w:tcPr>
          <w:p>
            <w:pPr>
              <w:pStyle w:val="167"/>
              <w:rPr>
                <w:rFonts w:ascii="宋体" w:hAnsi="宋体"/>
                <w:color w:val="000000"/>
                <w:sz w:val="30"/>
                <w:szCs w:val="30"/>
              </w:rPr>
            </w:pPr>
          </w:p>
        </w:tc>
        <w:tc>
          <w:tcPr>
            <w:tcW w:w="1480" w:type="dxa"/>
            <w:noWrap w:val="0"/>
            <w:vAlign w:val="top"/>
          </w:tcPr>
          <w:p>
            <w:pPr>
              <w:pStyle w:val="167"/>
              <w:rPr>
                <w:rFonts w:ascii="宋体" w:hAnsi="宋体"/>
                <w:color w:val="000000"/>
                <w:sz w:val="30"/>
                <w:szCs w:val="30"/>
              </w:rPr>
            </w:pPr>
          </w:p>
        </w:tc>
        <w:tc>
          <w:tcPr>
            <w:tcW w:w="1020" w:type="dxa"/>
            <w:noWrap w:val="0"/>
            <w:vAlign w:val="top"/>
          </w:tcPr>
          <w:p>
            <w:pPr>
              <w:pStyle w:val="167"/>
              <w:rPr>
                <w:rFonts w:ascii="宋体" w:hAnsi="宋体"/>
                <w:color w:val="000000"/>
                <w:sz w:val="30"/>
                <w:szCs w:val="30"/>
              </w:rPr>
            </w:pPr>
          </w:p>
        </w:tc>
        <w:tc>
          <w:tcPr>
            <w:tcW w:w="921" w:type="dxa"/>
            <w:noWrap w:val="0"/>
            <w:vAlign w:val="top"/>
          </w:tcPr>
          <w:p>
            <w:pPr>
              <w:pStyle w:val="167"/>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167"/>
              <w:rPr>
                <w:rFonts w:ascii="宋体" w:hAnsi="宋体"/>
                <w:color w:val="000000"/>
                <w:sz w:val="30"/>
                <w:szCs w:val="30"/>
              </w:rPr>
            </w:pPr>
          </w:p>
        </w:tc>
        <w:tc>
          <w:tcPr>
            <w:tcW w:w="1418" w:type="dxa"/>
            <w:noWrap w:val="0"/>
            <w:vAlign w:val="top"/>
          </w:tcPr>
          <w:p>
            <w:pPr>
              <w:pStyle w:val="167"/>
              <w:rPr>
                <w:rFonts w:ascii="宋体" w:hAnsi="宋体"/>
                <w:color w:val="000000"/>
                <w:sz w:val="30"/>
                <w:szCs w:val="30"/>
              </w:rPr>
            </w:pPr>
          </w:p>
        </w:tc>
        <w:tc>
          <w:tcPr>
            <w:tcW w:w="850" w:type="dxa"/>
            <w:noWrap w:val="0"/>
            <w:vAlign w:val="top"/>
          </w:tcPr>
          <w:p>
            <w:pPr>
              <w:pStyle w:val="167"/>
              <w:rPr>
                <w:rFonts w:ascii="宋体" w:hAnsi="宋体"/>
                <w:color w:val="000000"/>
                <w:sz w:val="30"/>
                <w:szCs w:val="30"/>
              </w:rPr>
            </w:pPr>
          </w:p>
        </w:tc>
        <w:tc>
          <w:tcPr>
            <w:tcW w:w="1058" w:type="dxa"/>
            <w:noWrap w:val="0"/>
            <w:vAlign w:val="top"/>
          </w:tcPr>
          <w:p>
            <w:pPr>
              <w:pStyle w:val="167"/>
              <w:rPr>
                <w:rFonts w:ascii="宋体" w:hAnsi="宋体"/>
                <w:color w:val="000000"/>
                <w:sz w:val="30"/>
                <w:szCs w:val="30"/>
              </w:rPr>
            </w:pPr>
          </w:p>
        </w:tc>
        <w:tc>
          <w:tcPr>
            <w:tcW w:w="880" w:type="dxa"/>
            <w:noWrap w:val="0"/>
            <w:vAlign w:val="top"/>
          </w:tcPr>
          <w:p>
            <w:pPr>
              <w:pStyle w:val="167"/>
              <w:rPr>
                <w:rFonts w:ascii="宋体" w:hAnsi="宋体"/>
                <w:color w:val="000000"/>
                <w:sz w:val="30"/>
                <w:szCs w:val="30"/>
              </w:rPr>
            </w:pPr>
          </w:p>
        </w:tc>
        <w:tc>
          <w:tcPr>
            <w:tcW w:w="1020" w:type="dxa"/>
            <w:noWrap w:val="0"/>
            <w:vAlign w:val="top"/>
          </w:tcPr>
          <w:p>
            <w:pPr>
              <w:pStyle w:val="167"/>
              <w:rPr>
                <w:rFonts w:ascii="宋体" w:hAnsi="宋体"/>
                <w:color w:val="000000"/>
                <w:sz w:val="30"/>
                <w:szCs w:val="30"/>
              </w:rPr>
            </w:pPr>
          </w:p>
        </w:tc>
        <w:tc>
          <w:tcPr>
            <w:tcW w:w="1480" w:type="dxa"/>
            <w:noWrap w:val="0"/>
            <w:vAlign w:val="top"/>
          </w:tcPr>
          <w:p>
            <w:pPr>
              <w:pStyle w:val="167"/>
              <w:rPr>
                <w:rFonts w:ascii="宋体" w:hAnsi="宋体"/>
                <w:color w:val="000000"/>
                <w:sz w:val="30"/>
                <w:szCs w:val="30"/>
              </w:rPr>
            </w:pPr>
          </w:p>
        </w:tc>
        <w:tc>
          <w:tcPr>
            <w:tcW w:w="1020" w:type="dxa"/>
            <w:noWrap w:val="0"/>
            <w:vAlign w:val="top"/>
          </w:tcPr>
          <w:p>
            <w:pPr>
              <w:pStyle w:val="167"/>
              <w:rPr>
                <w:rFonts w:ascii="宋体" w:hAnsi="宋体"/>
                <w:color w:val="000000"/>
                <w:sz w:val="30"/>
                <w:szCs w:val="30"/>
              </w:rPr>
            </w:pPr>
          </w:p>
        </w:tc>
        <w:tc>
          <w:tcPr>
            <w:tcW w:w="921" w:type="dxa"/>
            <w:noWrap w:val="0"/>
            <w:vAlign w:val="top"/>
          </w:tcPr>
          <w:p>
            <w:pPr>
              <w:pStyle w:val="167"/>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167"/>
              <w:rPr>
                <w:rFonts w:ascii="宋体" w:hAnsi="宋体"/>
                <w:color w:val="000000"/>
                <w:sz w:val="30"/>
                <w:szCs w:val="30"/>
              </w:rPr>
            </w:pPr>
          </w:p>
        </w:tc>
        <w:tc>
          <w:tcPr>
            <w:tcW w:w="1418" w:type="dxa"/>
            <w:noWrap w:val="0"/>
            <w:vAlign w:val="top"/>
          </w:tcPr>
          <w:p>
            <w:pPr>
              <w:pStyle w:val="167"/>
              <w:rPr>
                <w:rFonts w:ascii="宋体" w:hAnsi="宋体"/>
                <w:color w:val="000000"/>
                <w:sz w:val="30"/>
                <w:szCs w:val="30"/>
              </w:rPr>
            </w:pPr>
          </w:p>
        </w:tc>
        <w:tc>
          <w:tcPr>
            <w:tcW w:w="850" w:type="dxa"/>
            <w:noWrap w:val="0"/>
            <w:vAlign w:val="top"/>
          </w:tcPr>
          <w:p>
            <w:pPr>
              <w:pStyle w:val="167"/>
              <w:rPr>
                <w:rFonts w:ascii="宋体" w:hAnsi="宋体"/>
                <w:color w:val="000000"/>
                <w:sz w:val="30"/>
                <w:szCs w:val="30"/>
              </w:rPr>
            </w:pPr>
          </w:p>
        </w:tc>
        <w:tc>
          <w:tcPr>
            <w:tcW w:w="1058" w:type="dxa"/>
            <w:noWrap w:val="0"/>
            <w:vAlign w:val="top"/>
          </w:tcPr>
          <w:p>
            <w:pPr>
              <w:pStyle w:val="167"/>
              <w:rPr>
                <w:rFonts w:ascii="宋体" w:hAnsi="宋体"/>
                <w:color w:val="000000"/>
                <w:sz w:val="30"/>
                <w:szCs w:val="30"/>
              </w:rPr>
            </w:pPr>
          </w:p>
        </w:tc>
        <w:tc>
          <w:tcPr>
            <w:tcW w:w="880" w:type="dxa"/>
            <w:noWrap w:val="0"/>
            <w:vAlign w:val="top"/>
          </w:tcPr>
          <w:p>
            <w:pPr>
              <w:pStyle w:val="167"/>
              <w:rPr>
                <w:rFonts w:ascii="宋体" w:hAnsi="宋体"/>
                <w:color w:val="000000"/>
                <w:sz w:val="30"/>
                <w:szCs w:val="30"/>
              </w:rPr>
            </w:pPr>
          </w:p>
        </w:tc>
        <w:tc>
          <w:tcPr>
            <w:tcW w:w="1020" w:type="dxa"/>
            <w:noWrap w:val="0"/>
            <w:vAlign w:val="top"/>
          </w:tcPr>
          <w:p>
            <w:pPr>
              <w:pStyle w:val="167"/>
              <w:rPr>
                <w:rFonts w:ascii="宋体" w:hAnsi="宋体"/>
                <w:color w:val="000000"/>
                <w:sz w:val="30"/>
                <w:szCs w:val="30"/>
              </w:rPr>
            </w:pPr>
          </w:p>
        </w:tc>
        <w:tc>
          <w:tcPr>
            <w:tcW w:w="1480" w:type="dxa"/>
            <w:noWrap w:val="0"/>
            <w:vAlign w:val="top"/>
          </w:tcPr>
          <w:p>
            <w:pPr>
              <w:pStyle w:val="167"/>
              <w:rPr>
                <w:rFonts w:ascii="宋体" w:hAnsi="宋体"/>
                <w:color w:val="000000"/>
                <w:sz w:val="30"/>
                <w:szCs w:val="30"/>
              </w:rPr>
            </w:pPr>
          </w:p>
        </w:tc>
        <w:tc>
          <w:tcPr>
            <w:tcW w:w="1020" w:type="dxa"/>
            <w:noWrap w:val="0"/>
            <w:vAlign w:val="top"/>
          </w:tcPr>
          <w:p>
            <w:pPr>
              <w:pStyle w:val="167"/>
              <w:rPr>
                <w:rFonts w:ascii="宋体" w:hAnsi="宋体"/>
                <w:color w:val="000000"/>
                <w:sz w:val="30"/>
                <w:szCs w:val="30"/>
              </w:rPr>
            </w:pPr>
          </w:p>
        </w:tc>
        <w:tc>
          <w:tcPr>
            <w:tcW w:w="921" w:type="dxa"/>
            <w:noWrap w:val="0"/>
            <w:vAlign w:val="top"/>
          </w:tcPr>
          <w:p>
            <w:pPr>
              <w:pStyle w:val="167"/>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167"/>
              <w:rPr>
                <w:rFonts w:ascii="宋体" w:hAnsi="宋体"/>
                <w:color w:val="000000"/>
                <w:sz w:val="30"/>
                <w:szCs w:val="30"/>
              </w:rPr>
            </w:pPr>
          </w:p>
        </w:tc>
        <w:tc>
          <w:tcPr>
            <w:tcW w:w="1418" w:type="dxa"/>
            <w:noWrap w:val="0"/>
            <w:vAlign w:val="top"/>
          </w:tcPr>
          <w:p>
            <w:pPr>
              <w:pStyle w:val="167"/>
              <w:rPr>
                <w:rFonts w:ascii="宋体" w:hAnsi="宋体"/>
                <w:color w:val="000000"/>
                <w:sz w:val="30"/>
                <w:szCs w:val="30"/>
              </w:rPr>
            </w:pPr>
          </w:p>
        </w:tc>
        <w:tc>
          <w:tcPr>
            <w:tcW w:w="850" w:type="dxa"/>
            <w:noWrap w:val="0"/>
            <w:vAlign w:val="top"/>
          </w:tcPr>
          <w:p>
            <w:pPr>
              <w:pStyle w:val="167"/>
              <w:rPr>
                <w:rFonts w:ascii="宋体" w:hAnsi="宋体"/>
                <w:color w:val="000000"/>
                <w:sz w:val="30"/>
                <w:szCs w:val="30"/>
              </w:rPr>
            </w:pPr>
          </w:p>
        </w:tc>
        <w:tc>
          <w:tcPr>
            <w:tcW w:w="1058" w:type="dxa"/>
            <w:noWrap w:val="0"/>
            <w:vAlign w:val="top"/>
          </w:tcPr>
          <w:p>
            <w:pPr>
              <w:pStyle w:val="167"/>
              <w:rPr>
                <w:rFonts w:ascii="宋体" w:hAnsi="宋体"/>
                <w:color w:val="000000"/>
                <w:sz w:val="30"/>
                <w:szCs w:val="30"/>
              </w:rPr>
            </w:pPr>
          </w:p>
        </w:tc>
        <w:tc>
          <w:tcPr>
            <w:tcW w:w="880" w:type="dxa"/>
            <w:noWrap w:val="0"/>
            <w:vAlign w:val="top"/>
          </w:tcPr>
          <w:p>
            <w:pPr>
              <w:pStyle w:val="167"/>
              <w:rPr>
                <w:rFonts w:ascii="宋体" w:hAnsi="宋体"/>
                <w:color w:val="000000"/>
                <w:sz w:val="30"/>
                <w:szCs w:val="30"/>
              </w:rPr>
            </w:pPr>
          </w:p>
        </w:tc>
        <w:tc>
          <w:tcPr>
            <w:tcW w:w="1020" w:type="dxa"/>
            <w:noWrap w:val="0"/>
            <w:vAlign w:val="top"/>
          </w:tcPr>
          <w:p>
            <w:pPr>
              <w:pStyle w:val="167"/>
              <w:rPr>
                <w:rFonts w:ascii="宋体" w:hAnsi="宋体"/>
                <w:color w:val="000000"/>
                <w:sz w:val="30"/>
                <w:szCs w:val="30"/>
              </w:rPr>
            </w:pPr>
          </w:p>
        </w:tc>
        <w:tc>
          <w:tcPr>
            <w:tcW w:w="1480" w:type="dxa"/>
            <w:noWrap w:val="0"/>
            <w:vAlign w:val="top"/>
          </w:tcPr>
          <w:p>
            <w:pPr>
              <w:pStyle w:val="167"/>
              <w:rPr>
                <w:rFonts w:ascii="宋体" w:hAnsi="宋体"/>
                <w:color w:val="000000"/>
                <w:sz w:val="30"/>
                <w:szCs w:val="30"/>
              </w:rPr>
            </w:pPr>
          </w:p>
        </w:tc>
        <w:tc>
          <w:tcPr>
            <w:tcW w:w="1020" w:type="dxa"/>
            <w:noWrap w:val="0"/>
            <w:vAlign w:val="top"/>
          </w:tcPr>
          <w:p>
            <w:pPr>
              <w:pStyle w:val="167"/>
              <w:rPr>
                <w:rFonts w:ascii="宋体" w:hAnsi="宋体"/>
                <w:color w:val="000000"/>
                <w:sz w:val="30"/>
                <w:szCs w:val="30"/>
              </w:rPr>
            </w:pPr>
          </w:p>
        </w:tc>
        <w:tc>
          <w:tcPr>
            <w:tcW w:w="921" w:type="dxa"/>
            <w:noWrap w:val="0"/>
            <w:vAlign w:val="top"/>
          </w:tcPr>
          <w:p>
            <w:pPr>
              <w:pStyle w:val="167"/>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167"/>
              <w:rPr>
                <w:rFonts w:ascii="宋体" w:hAnsi="宋体"/>
                <w:color w:val="000000"/>
                <w:sz w:val="30"/>
                <w:szCs w:val="30"/>
              </w:rPr>
            </w:pPr>
          </w:p>
        </w:tc>
        <w:tc>
          <w:tcPr>
            <w:tcW w:w="1418" w:type="dxa"/>
            <w:noWrap w:val="0"/>
            <w:vAlign w:val="top"/>
          </w:tcPr>
          <w:p>
            <w:pPr>
              <w:pStyle w:val="167"/>
              <w:rPr>
                <w:rFonts w:ascii="宋体" w:hAnsi="宋体"/>
                <w:color w:val="000000"/>
                <w:sz w:val="30"/>
                <w:szCs w:val="30"/>
              </w:rPr>
            </w:pPr>
          </w:p>
        </w:tc>
        <w:tc>
          <w:tcPr>
            <w:tcW w:w="850" w:type="dxa"/>
            <w:noWrap w:val="0"/>
            <w:vAlign w:val="top"/>
          </w:tcPr>
          <w:p>
            <w:pPr>
              <w:pStyle w:val="167"/>
              <w:rPr>
                <w:rFonts w:ascii="宋体" w:hAnsi="宋体"/>
                <w:color w:val="000000"/>
                <w:sz w:val="30"/>
                <w:szCs w:val="30"/>
              </w:rPr>
            </w:pPr>
          </w:p>
        </w:tc>
        <w:tc>
          <w:tcPr>
            <w:tcW w:w="1058" w:type="dxa"/>
            <w:noWrap w:val="0"/>
            <w:vAlign w:val="top"/>
          </w:tcPr>
          <w:p>
            <w:pPr>
              <w:pStyle w:val="167"/>
              <w:rPr>
                <w:rFonts w:ascii="宋体" w:hAnsi="宋体"/>
                <w:color w:val="000000"/>
                <w:sz w:val="30"/>
                <w:szCs w:val="30"/>
              </w:rPr>
            </w:pPr>
          </w:p>
        </w:tc>
        <w:tc>
          <w:tcPr>
            <w:tcW w:w="880" w:type="dxa"/>
            <w:noWrap w:val="0"/>
            <w:vAlign w:val="top"/>
          </w:tcPr>
          <w:p>
            <w:pPr>
              <w:pStyle w:val="167"/>
              <w:rPr>
                <w:rFonts w:ascii="宋体" w:hAnsi="宋体"/>
                <w:color w:val="000000"/>
                <w:sz w:val="30"/>
                <w:szCs w:val="30"/>
              </w:rPr>
            </w:pPr>
          </w:p>
        </w:tc>
        <w:tc>
          <w:tcPr>
            <w:tcW w:w="1020" w:type="dxa"/>
            <w:noWrap w:val="0"/>
            <w:vAlign w:val="top"/>
          </w:tcPr>
          <w:p>
            <w:pPr>
              <w:pStyle w:val="167"/>
              <w:rPr>
                <w:rFonts w:ascii="宋体" w:hAnsi="宋体"/>
                <w:color w:val="000000"/>
                <w:sz w:val="30"/>
                <w:szCs w:val="30"/>
              </w:rPr>
            </w:pPr>
          </w:p>
        </w:tc>
        <w:tc>
          <w:tcPr>
            <w:tcW w:w="1480" w:type="dxa"/>
            <w:noWrap w:val="0"/>
            <w:vAlign w:val="top"/>
          </w:tcPr>
          <w:p>
            <w:pPr>
              <w:pStyle w:val="167"/>
              <w:rPr>
                <w:rFonts w:ascii="宋体" w:hAnsi="宋体"/>
                <w:color w:val="000000"/>
                <w:sz w:val="30"/>
                <w:szCs w:val="30"/>
              </w:rPr>
            </w:pPr>
          </w:p>
        </w:tc>
        <w:tc>
          <w:tcPr>
            <w:tcW w:w="1020" w:type="dxa"/>
            <w:noWrap w:val="0"/>
            <w:vAlign w:val="top"/>
          </w:tcPr>
          <w:p>
            <w:pPr>
              <w:pStyle w:val="167"/>
              <w:rPr>
                <w:rFonts w:ascii="宋体" w:hAnsi="宋体"/>
                <w:color w:val="000000"/>
                <w:sz w:val="30"/>
                <w:szCs w:val="30"/>
              </w:rPr>
            </w:pPr>
          </w:p>
        </w:tc>
        <w:tc>
          <w:tcPr>
            <w:tcW w:w="921" w:type="dxa"/>
            <w:noWrap w:val="0"/>
            <w:vAlign w:val="top"/>
          </w:tcPr>
          <w:p>
            <w:pPr>
              <w:pStyle w:val="167"/>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167"/>
              <w:rPr>
                <w:rFonts w:ascii="宋体" w:hAnsi="宋体"/>
                <w:color w:val="000000"/>
                <w:sz w:val="30"/>
                <w:szCs w:val="30"/>
              </w:rPr>
            </w:pPr>
          </w:p>
        </w:tc>
        <w:tc>
          <w:tcPr>
            <w:tcW w:w="1418" w:type="dxa"/>
            <w:noWrap w:val="0"/>
            <w:vAlign w:val="top"/>
          </w:tcPr>
          <w:p>
            <w:pPr>
              <w:pStyle w:val="167"/>
              <w:rPr>
                <w:rFonts w:ascii="宋体" w:hAnsi="宋体"/>
                <w:color w:val="000000"/>
                <w:sz w:val="30"/>
                <w:szCs w:val="30"/>
              </w:rPr>
            </w:pPr>
          </w:p>
        </w:tc>
        <w:tc>
          <w:tcPr>
            <w:tcW w:w="850" w:type="dxa"/>
            <w:noWrap w:val="0"/>
            <w:vAlign w:val="top"/>
          </w:tcPr>
          <w:p>
            <w:pPr>
              <w:pStyle w:val="167"/>
              <w:rPr>
                <w:rFonts w:ascii="宋体" w:hAnsi="宋体"/>
                <w:color w:val="000000"/>
                <w:sz w:val="30"/>
                <w:szCs w:val="30"/>
              </w:rPr>
            </w:pPr>
          </w:p>
        </w:tc>
        <w:tc>
          <w:tcPr>
            <w:tcW w:w="1058" w:type="dxa"/>
            <w:noWrap w:val="0"/>
            <w:vAlign w:val="top"/>
          </w:tcPr>
          <w:p>
            <w:pPr>
              <w:pStyle w:val="167"/>
              <w:rPr>
                <w:rFonts w:ascii="宋体" w:hAnsi="宋体"/>
                <w:color w:val="000000"/>
                <w:sz w:val="30"/>
                <w:szCs w:val="30"/>
              </w:rPr>
            </w:pPr>
          </w:p>
        </w:tc>
        <w:tc>
          <w:tcPr>
            <w:tcW w:w="880" w:type="dxa"/>
            <w:noWrap w:val="0"/>
            <w:vAlign w:val="top"/>
          </w:tcPr>
          <w:p>
            <w:pPr>
              <w:pStyle w:val="167"/>
              <w:rPr>
                <w:rFonts w:ascii="宋体" w:hAnsi="宋体"/>
                <w:color w:val="000000"/>
                <w:sz w:val="30"/>
                <w:szCs w:val="30"/>
              </w:rPr>
            </w:pPr>
          </w:p>
        </w:tc>
        <w:tc>
          <w:tcPr>
            <w:tcW w:w="1020" w:type="dxa"/>
            <w:noWrap w:val="0"/>
            <w:vAlign w:val="top"/>
          </w:tcPr>
          <w:p>
            <w:pPr>
              <w:pStyle w:val="167"/>
              <w:rPr>
                <w:rFonts w:ascii="宋体" w:hAnsi="宋体"/>
                <w:color w:val="000000"/>
                <w:sz w:val="30"/>
                <w:szCs w:val="30"/>
              </w:rPr>
            </w:pPr>
          </w:p>
        </w:tc>
        <w:tc>
          <w:tcPr>
            <w:tcW w:w="1480" w:type="dxa"/>
            <w:noWrap w:val="0"/>
            <w:vAlign w:val="top"/>
          </w:tcPr>
          <w:p>
            <w:pPr>
              <w:pStyle w:val="167"/>
              <w:rPr>
                <w:rFonts w:ascii="宋体" w:hAnsi="宋体"/>
                <w:color w:val="000000"/>
                <w:sz w:val="30"/>
                <w:szCs w:val="30"/>
              </w:rPr>
            </w:pPr>
          </w:p>
        </w:tc>
        <w:tc>
          <w:tcPr>
            <w:tcW w:w="1020" w:type="dxa"/>
            <w:noWrap w:val="0"/>
            <w:vAlign w:val="top"/>
          </w:tcPr>
          <w:p>
            <w:pPr>
              <w:pStyle w:val="167"/>
              <w:rPr>
                <w:rFonts w:ascii="宋体" w:hAnsi="宋体"/>
                <w:color w:val="000000"/>
                <w:sz w:val="30"/>
                <w:szCs w:val="30"/>
              </w:rPr>
            </w:pPr>
          </w:p>
        </w:tc>
        <w:tc>
          <w:tcPr>
            <w:tcW w:w="921" w:type="dxa"/>
            <w:noWrap w:val="0"/>
            <w:vAlign w:val="top"/>
          </w:tcPr>
          <w:p>
            <w:pPr>
              <w:pStyle w:val="167"/>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noWrap w:val="0"/>
            <w:vAlign w:val="top"/>
          </w:tcPr>
          <w:p>
            <w:pPr>
              <w:pStyle w:val="167"/>
              <w:rPr>
                <w:rFonts w:ascii="宋体" w:hAnsi="宋体"/>
                <w:color w:val="000000"/>
                <w:sz w:val="30"/>
                <w:szCs w:val="30"/>
              </w:rPr>
            </w:pPr>
          </w:p>
        </w:tc>
        <w:tc>
          <w:tcPr>
            <w:tcW w:w="1418" w:type="dxa"/>
            <w:noWrap w:val="0"/>
            <w:vAlign w:val="top"/>
          </w:tcPr>
          <w:p>
            <w:pPr>
              <w:pStyle w:val="167"/>
              <w:rPr>
                <w:rFonts w:ascii="宋体" w:hAnsi="宋体"/>
                <w:color w:val="000000"/>
                <w:sz w:val="30"/>
                <w:szCs w:val="30"/>
              </w:rPr>
            </w:pPr>
          </w:p>
        </w:tc>
        <w:tc>
          <w:tcPr>
            <w:tcW w:w="850" w:type="dxa"/>
            <w:noWrap w:val="0"/>
            <w:vAlign w:val="top"/>
          </w:tcPr>
          <w:p>
            <w:pPr>
              <w:pStyle w:val="167"/>
              <w:rPr>
                <w:rFonts w:ascii="宋体" w:hAnsi="宋体"/>
                <w:color w:val="000000"/>
                <w:sz w:val="30"/>
                <w:szCs w:val="30"/>
              </w:rPr>
            </w:pPr>
          </w:p>
        </w:tc>
        <w:tc>
          <w:tcPr>
            <w:tcW w:w="1058" w:type="dxa"/>
            <w:noWrap w:val="0"/>
            <w:vAlign w:val="top"/>
          </w:tcPr>
          <w:p>
            <w:pPr>
              <w:pStyle w:val="167"/>
              <w:rPr>
                <w:rFonts w:ascii="宋体" w:hAnsi="宋体"/>
                <w:color w:val="000000"/>
                <w:sz w:val="30"/>
                <w:szCs w:val="30"/>
              </w:rPr>
            </w:pPr>
          </w:p>
        </w:tc>
        <w:tc>
          <w:tcPr>
            <w:tcW w:w="880" w:type="dxa"/>
            <w:noWrap w:val="0"/>
            <w:vAlign w:val="top"/>
          </w:tcPr>
          <w:p>
            <w:pPr>
              <w:pStyle w:val="167"/>
              <w:rPr>
                <w:rFonts w:ascii="宋体" w:hAnsi="宋体"/>
                <w:color w:val="000000"/>
                <w:sz w:val="30"/>
                <w:szCs w:val="30"/>
              </w:rPr>
            </w:pPr>
          </w:p>
        </w:tc>
        <w:tc>
          <w:tcPr>
            <w:tcW w:w="1020" w:type="dxa"/>
            <w:noWrap w:val="0"/>
            <w:vAlign w:val="top"/>
          </w:tcPr>
          <w:p>
            <w:pPr>
              <w:pStyle w:val="167"/>
              <w:rPr>
                <w:rFonts w:ascii="宋体" w:hAnsi="宋体"/>
                <w:color w:val="000000"/>
                <w:sz w:val="30"/>
                <w:szCs w:val="30"/>
              </w:rPr>
            </w:pPr>
          </w:p>
        </w:tc>
        <w:tc>
          <w:tcPr>
            <w:tcW w:w="1480" w:type="dxa"/>
            <w:noWrap w:val="0"/>
            <w:vAlign w:val="top"/>
          </w:tcPr>
          <w:p>
            <w:pPr>
              <w:pStyle w:val="167"/>
              <w:rPr>
                <w:rFonts w:ascii="宋体" w:hAnsi="宋体"/>
                <w:color w:val="000000"/>
                <w:sz w:val="30"/>
                <w:szCs w:val="30"/>
              </w:rPr>
            </w:pPr>
          </w:p>
        </w:tc>
        <w:tc>
          <w:tcPr>
            <w:tcW w:w="1020" w:type="dxa"/>
            <w:noWrap w:val="0"/>
            <w:vAlign w:val="top"/>
          </w:tcPr>
          <w:p>
            <w:pPr>
              <w:pStyle w:val="167"/>
              <w:rPr>
                <w:rFonts w:ascii="宋体" w:hAnsi="宋体"/>
                <w:color w:val="000000"/>
                <w:sz w:val="30"/>
                <w:szCs w:val="30"/>
              </w:rPr>
            </w:pPr>
          </w:p>
        </w:tc>
        <w:tc>
          <w:tcPr>
            <w:tcW w:w="921" w:type="dxa"/>
            <w:noWrap w:val="0"/>
            <w:vAlign w:val="top"/>
          </w:tcPr>
          <w:p>
            <w:pPr>
              <w:pStyle w:val="167"/>
              <w:rPr>
                <w:rFonts w:ascii="宋体" w:hAnsi="宋体"/>
                <w:color w:val="000000"/>
                <w:sz w:val="30"/>
                <w:szCs w:val="30"/>
              </w:rPr>
            </w:pPr>
          </w:p>
        </w:tc>
      </w:tr>
    </w:tbl>
    <w:p>
      <w:pPr>
        <w:pStyle w:val="167"/>
        <w:spacing w:line="440" w:lineRule="exact"/>
        <w:rPr>
          <w:rFonts w:ascii="宋体" w:hAnsi="宋体"/>
          <w:color w:val="000000"/>
          <w:sz w:val="30"/>
          <w:szCs w:val="30"/>
        </w:rPr>
      </w:pPr>
      <w:r>
        <w:rPr>
          <w:rFonts w:ascii="宋体" w:hAnsi="宋体"/>
          <w:color w:val="000000"/>
          <w:sz w:val="30"/>
          <w:szCs w:val="30"/>
        </w:rPr>
        <w:t>附</w:t>
      </w:r>
      <w:bookmarkStart w:id="972" w:name="_Toc296347227"/>
      <w:bookmarkStart w:id="973" w:name="_Toc296503228"/>
      <w:bookmarkStart w:id="974" w:name="_Toc296891268"/>
      <w:bookmarkStart w:id="975" w:name="_Toc267261699"/>
      <w:bookmarkStart w:id="976" w:name="_Toc296891056"/>
      <w:bookmarkStart w:id="977" w:name="_Toc296944567"/>
      <w:bookmarkStart w:id="978" w:name="_Toc296346729"/>
      <w:r>
        <w:rPr>
          <w:rFonts w:ascii="宋体" w:hAnsi="宋体"/>
          <w:color w:val="000000"/>
          <w:sz w:val="30"/>
          <w:szCs w:val="30"/>
        </w:rPr>
        <w:t>件6：</w:t>
      </w:r>
    </w:p>
    <w:bookmarkEnd w:id="972"/>
    <w:bookmarkEnd w:id="973"/>
    <w:bookmarkEnd w:id="974"/>
    <w:bookmarkEnd w:id="975"/>
    <w:bookmarkEnd w:id="976"/>
    <w:bookmarkEnd w:id="977"/>
    <w:bookmarkEnd w:id="978"/>
    <w:p>
      <w:pPr>
        <w:pStyle w:val="167"/>
        <w:spacing w:before="156" w:beforeLines="50" w:after="156" w:afterLines="50" w:line="440" w:lineRule="exact"/>
        <w:jc w:val="center"/>
        <w:rPr>
          <w:rFonts w:ascii="宋体" w:hAnsi="宋体"/>
          <w:color w:val="000000"/>
          <w:sz w:val="30"/>
          <w:szCs w:val="30"/>
        </w:rPr>
      </w:pPr>
      <w:r>
        <w:rPr>
          <w:rFonts w:ascii="宋体" w:hAnsi="宋体"/>
          <w:color w:val="000000"/>
          <w:sz w:val="30"/>
          <w:szCs w:val="30"/>
        </w:rPr>
        <w:t>承包人主要施工管理人员表</w:t>
      </w:r>
    </w:p>
    <w:tbl>
      <w:tblPr>
        <w:tblStyle w:val="4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名    称</w:t>
            </w:r>
          </w:p>
        </w:tc>
        <w:tc>
          <w:tcPr>
            <w:tcW w:w="1418" w:type="dxa"/>
            <w:tcBorders>
              <w:top w:val="single" w:color="auto" w:sz="12" w:space="0"/>
              <w:bottom w:val="doub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姓名</w:t>
            </w:r>
          </w:p>
        </w:tc>
        <w:tc>
          <w:tcPr>
            <w:tcW w:w="1134" w:type="dxa"/>
            <w:tcBorders>
              <w:top w:val="single" w:color="auto" w:sz="12" w:space="0"/>
              <w:bottom w:val="doub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r>
              <w:rPr>
                <w:rFonts w:ascii="宋体" w:hAnsi="宋体"/>
                <w:color w:val="000000"/>
                <w:sz w:val="30"/>
                <w:szCs w:val="30"/>
              </w:rPr>
              <w:t>职务</w:t>
            </w:r>
          </w:p>
        </w:tc>
        <w:tc>
          <w:tcPr>
            <w:tcW w:w="1134" w:type="dxa"/>
            <w:tcBorders>
              <w:top w:val="single" w:color="auto" w:sz="12" w:space="0"/>
              <w:bottom w:val="doub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r>
              <w:rPr>
                <w:rFonts w:ascii="宋体" w:hAnsi="宋体"/>
                <w:color w:val="000000"/>
                <w:sz w:val="30"/>
                <w:szCs w:val="30"/>
              </w:rPr>
              <w:t>职称</w:t>
            </w:r>
          </w:p>
        </w:tc>
        <w:tc>
          <w:tcPr>
            <w:tcW w:w="4252" w:type="dxa"/>
            <w:tcBorders>
              <w:top w:val="single" w:color="auto" w:sz="12" w:space="0"/>
              <w:bottom w:val="doub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r>
              <w:rPr>
                <w:rFonts w:ascii="宋体" w:hAnsi="宋体"/>
                <w:color w:val="000000"/>
                <w:sz w:val="30"/>
                <w:szCs w:val="30"/>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项目主管</w:t>
            </w:r>
          </w:p>
        </w:tc>
        <w:tc>
          <w:tcPr>
            <w:tcW w:w="1418" w:type="dxa"/>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134" w:type="dxa"/>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134" w:type="dxa"/>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2" w:type="dxa"/>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2"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其他人员</w:t>
            </w:r>
          </w:p>
        </w:tc>
        <w:tc>
          <w:tcPr>
            <w:tcW w:w="141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2"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2"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项目经理</w:t>
            </w:r>
          </w:p>
        </w:tc>
        <w:tc>
          <w:tcPr>
            <w:tcW w:w="141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2"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项目副经理</w:t>
            </w:r>
          </w:p>
        </w:tc>
        <w:tc>
          <w:tcPr>
            <w:tcW w:w="141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2"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技术负责人</w:t>
            </w:r>
          </w:p>
        </w:tc>
        <w:tc>
          <w:tcPr>
            <w:tcW w:w="141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2"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造价管理</w:t>
            </w:r>
          </w:p>
        </w:tc>
        <w:tc>
          <w:tcPr>
            <w:tcW w:w="141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2"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质量管理</w:t>
            </w:r>
          </w:p>
        </w:tc>
        <w:tc>
          <w:tcPr>
            <w:tcW w:w="141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2"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材料管理</w:t>
            </w:r>
          </w:p>
        </w:tc>
        <w:tc>
          <w:tcPr>
            <w:tcW w:w="141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2"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计划管理</w:t>
            </w:r>
          </w:p>
        </w:tc>
        <w:tc>
          <w:tcPr>
            <w:tcW w:w="141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2"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安全管理</w:t>
            </w:r>
          </w:p>
        </w:tc>
        <w:tc>
          <w:tcPr>
            <w:tcW w:w="141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2"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其他人员</w:t>
            </w:r>
          </w:p>
        </w:tc>
        <w:tc>
          <w:tcPr>
            <w:tcW w:w="141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2"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tcBorders>
              <w:bottom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134" w:type="dxa"/>
            <w:tcBorders>
              <w:bottom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134" w:type="dxa"/>
            <w:tcBorders>
              <w:bottom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2" w:type="dxa"/>
            <w:tcBorders>
              <w:bottom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2"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2"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2"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tcBorders>
              <w:bottom w:val="single" w:color="auto" w:sz="12"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134" w:type="dxa"/>
            <w:tcBorders>
              <w:bottom w:val="single" w:color="auto" w:sz="12"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134" w:type="dxa"/>
            <w:tcBorders>
              <w:bottom w:val="single" w:color="auto" w:sz="12"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2" w:type="dxa"/>
            <w:tcBorders>
              <w:bottom w:val="single" w:color="auto" w:sz="12"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bl>
    <w:p>
      <w:pPr>
        <w:pStyle w:val="167"/>
        <w:spacing w:line="440" w:lineRule="exact"/>
        <w:rPr>
          <w:rFonts w:ascii="宋体" w:hAnsi="宋体"/>
          <w:color w:val="000000"/>
          <w:sz w:val="30"/>
          <w:szCs w:val="30"/>
        </w:rPr>
      </w:pPr>
      <w:r>
        <w:rPr>
          <w:rFonts w:ascii="宋体" w:hAnsi="宋体"/>
          <w:color w:val="000000"/>
          <w:sz w:val="30"/>
          <w:szCs w:val="30"/>
        </w:rPr>
        <w:br w:type="page"/>
      </w:r>
      <w:r>
        <w:rPr>
          <w:rFonts w:ascii="宋体" w:hAnsi="宋体"/>
          <w:color w:val="000000"/>
          <w:sz w:val="30"/>
          <w:szCs w:val="30"/>
        </w:rPr>
        <w:t>附</w:t>
      </w:r>
      <w:bookmarkStart w:id="979" w:name="_Toc296891057"/>
      <w:bookmarkStart w:id="980" w:name="_Toc296944568"/>
      <w:bookmarkStart w:id="981" w:name="_Toc296347228"/>
      <w:bookmarkStart w:id="982" w:name="_Toc296346730"/>
      <w:bookmarkStart w:id="983" w:name="_Toc296891269"/>
      <w:bookmarkStart w:id="984" w:name="_Toc296503229"/>
      <w:r>
        <w:rPr>
          <w:rFonts w:ascii="宋体" w:hAnsi="宋体"/>
          <w:color w:val="000000"/>
          <w:sz w:val="30"/>
          <w:szCs w:val="30"/>
        </w:rPr>
        <w:t>件7：</w:t>
      </w:r>
    </w:p>
    <w:bookmarkEnd w:id="979"/>
    <w:bookmarkEnd w:id="980"/>
    <w:bookmarkEnd w:id="981"/>
    <w:bookmarkEnd w:id="982"/>
    <w:bookmarkEnd w:id="983"/>
    <w:bookmarkEnd w:id="984"/>
    <w:p>
      <w:pPr>
        <w:pStyle w:val="167"/>
        <w:spacing w:before="156" w:beforeLines="50" w:after="156" w:afterLines="50" w:line="440" w:lineRule="exact"/>
        <w:jc w:val="center"/>
        <w:rPr>
          <w:rFonts w:ascii="宋体" w:hAnsi="宋体"/>
          <w:color w:val="000000"/>
          <w:sz w:val="30"/>
          <w:szCs w:val="30"/>
        </w:rPr>
      </w:pPr>
      <w:r>
        <w:rPr>
          <w:rFonts w:ascii="宋体" w:hAnsi="宋体"/>
          <w:color w:val="000000"/>
          <w:sz w:val="30"/>
          <w:szCs w:val="30"/>
        </w:rPr>
        <w:t>分包人主要施工管理人员表</w:t>
      </w:r>
    </w:p>
    <w:tbl>
      <w:tblPr>
        <w:tblStyle w:val="44"/>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名    称</w:t>
            </w:r>
          </w:p>
        </w:tc>
        <w:tc>
          <w:tcPr>
            <w:tcW w:w="1418" w:type="dxa"/>
            <w:tcBorders>
              <w:top w:val="single" w:color="auto" w:sz="12" w:space="0"/>
              <w:bottom w:val="doub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姓名</w:t>
            </w:r>
          </w:p>
        </w:tc>
        <w:tc>
          <w:tcPr>
            <w:tcW w:w="1134" w:type="dxa"/>
            <w:tcBorders>
              <w:top w:val="single" w:color="auto" w:sz="12" w:space="0"/>
              <w:bottom w:val="doub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r>
              <w:rPr>
                <w:rFonts w:ascii="宋体" w:hAnsi="宋体"/>
                <w:color w:val="000000"/>
                <w:sz w:val="30"/>
                <w:szCs w:val="30"/>
              </w:rPr>
              <w:t>职务</w:t>
            </w:r>
          </w:p>
        </w:tc>
        <w:tc>
          <w:tcPr>
            <w:tcW w:w="1134" w:type="dxa"/>
            <w:tcBorders>
              <w:top w:val="single" w:color="auto" w:sz="12" w:space="0"/>
              <w:bottom w:val="doub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r>
              <w:rPr>
                <w:rFonts w:ascii="宋体" w:hAnsi="宋体"/>
                <w:color w:val="000000"/>
                <w:sz w:val="30"/>
                <w:szCs w:val="30"/>
              </w:rPr>
              <w:t>职称</w:t>
            </w:r>
          </w:p>
        </w:tc>
        <w:tc>
          <w:tcPr>
            <w:tcW w:w="4252" w:type="dxa"/>
            <w:tcBorders>
              <w:top w:val="single" w:color="auto" w:sz="12" w:space="0"/>
              <w:bottom w:val="doub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r>
              <w:rPr>
                <w:rFonts w:ascii="宋体" w:hAnsi="宋体"/>
                <w:color w:val="000000"/>
                <w:sz w:val="30"/>
                <w:szCs w:val="30"/>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项目主管</w:t>
            </w:r>
          </w:p>
        </w:tc>
        <w:tc>
          <w:tcPr>
            <w:tcW w:w="1418" w:type="dxa"/>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134" w:type="dxa"/>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134" w:type="dxa"/>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2" w:type="dxa"/>
            <w:tcBorders>
              <w:top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2"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其他人员</w:t>
            </w:r>
          </w:p>
        </w:tc>
        <w:tc>
          <w:tcPr>
            <w:tcW w:w="141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2"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2"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项目经理</w:t>
            </w:r>
          </w:p>
        </w:tc>
        <w:tc>
          <w:tcPr>
            <w:tcW w:w="141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2"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项目副经理</w:t>
            </w:r>
          </w:p>
        </w:tc>
        <w:tc>
          <w:tcPr>
            <w:tcW w:w="141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2"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技术负责人</w:t>
            </w:r>
          </w:p>
        </w:tc>
        <w:tc>
          <w:tcPr>
            <w:tcW w:w="141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2"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造价管理</w:t>
            </w:r>
          </w:p>
        </w:tc>
        <w:tc>
          <w:tcPr>
            <w:tcW w:w="141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2"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质量管理</w:t>
            </w:r>
          </w:p>
        </w:tc>
        <w:tc>
          <w:tcPr>
            <w:tcW w:w="141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2"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材料管理</w:t>
            </w:r>
          </w:p>
        </w:tc>
        <w:tc>
          <w:tcPr>
            <w:tcW w:w="141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2"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计划管理</w:t>
            </w:r>
          </w:p>
        </w:tc>
        <w:tc>
          <w:tcPr>
            <w:tcW w:w="141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2"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安全管理</w:t>
            </w:r>
          </w:p>
        </w:tc>
        <w:tc>
          <w:tcPr>
            <w:tcW w:w="141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2"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其他人员</w:t>
            </w:r>
          </w:p>
        </w:tc>
        <w:tc>
          <w:tcPr>
            <w:tcW w:w="141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2"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tcBorders>
              <w:bottom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134" w:type="dxa"/>
            <w:tcBorders>
              <w:bottom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134" w:type="dxa"/>
            <w:tcBorders>
              <w:bottom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2" w:type="dxa"/>
            <w:tcBorders>
              <w:bottom w:val="nil"/>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2"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2"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134"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2" w:type="dxa"/>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tcBorders>
              <w:bottom w:val="single" w:color="auto" w:sz="12"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134" w:type="dxa"/>
            <w:tcBorders>
              <w:bottom w:val="single" w:color="auto" w:sz="12"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1134" w:type="dxa"/>
            <w:tcBorders>
              <w:bottom w:val="single" w:color="auto" w:sz="12"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c>
          <w:tcPr>
            <w:tcW w:w="4252" w:type="dxa"/>
            <w:tcBorders>
              <w:bottom w:val="single" w:color="auto" w:sz="12" w:space="0"/>
            </w:tcBorders>
            <w:noWrap w:val="0"/>
            <w:vAlign w:val="center"/>
          </w:tcPr>
          <w:p>
            <w:pPr>
              <w:pStyle w:val="167"/>
              <w:keepNext/>
              <w:adjustRightInd w:val="0"/>
              <w:spacing w:line="440" w:lineRule="exact"/>
              <w:ind w:left="63" w:leftChars="30" w:right="63" w:rightChars="30"/>
              <w:jc w:val="center"/>
              <w:textAlignment w:val="baseline"/>
              <w:rPr>
                <w:rFonts w:ascii="宋体" w:hAnsi="宋体"/>
                <w:color w:val="000000"/>
                <w:sz w:val="30"/>
                <w:szCs w:val="30"/>
              </w:rPr>
            </w:pPr>
          </w:p>
        </w:tc>
      </w:tr>
    </w:tbl>
    <w:p>
      <w:pPr>
        <w:pStyle w:val="167"/>
        <w:spacing w:line="440" w:lineRule="exact"/>
        <w:rPr>
          <w:rFonts w:ascii="宋体" w:hAnsi="宋体"/>
          <w:color w:val="000000"/>
          <w:sz w:val="30"/>
          <w:szCs w:val="30"/>
        </w:rPr>
      </w:pPr>
      <w:r>
        <w:rPr>
          <w:rFonts w:ascii="宋体" w:hAnsi="宋体"/>
          <w:color w:val="000000"/>
          <w:sz w:val="30"/>
          <w:szCs w:val="30"/>
        </w:rPr>
        <w:br w:type="page"/>
      </w:r>
      <w:bookmarkStart w:id="985" w:name="_Toc267261701"/>
      <w:r>
        <w:rPr>
          <w:rFonts w:ascii="宋体" w:hAnsi="宋体"/>
          <w:color w:val="000000"/>
          <w:sz w:val="30"/>
          <w:szCs w:val="30"/>
        </w:rPr>
        <w:t>附</w:t>
      </w:r>
      <w:bookmarkStart w:id="986" w:name="_Toc296891271"/>
      <w:bookmarkStart w:id="987" w:name="_Toc296944570"/>
      <w:bookmarkStart w:id="988" w:name="_Toc296347230"/>
      <w:bookmarkStart w:id="989" w:name="_Toc296503231"/>
      <w:bookmarkStart w:id="990" w:name="_Toc296891059"/>
      <w:bookmarkStart w:id="991" w:name="_Toc296346732"/>
      <w:r>
        <w:rPr>
          <w:rFonts w:ascii="宋体" w:hAnsi="宋体"/>
          <w:color w:val="000000"/>
          <w:sz w:val="30"/>
          <w:szCs w:val="30"/>
        </w:rPr>
        <w:t>件8：</w:t>
      </w:r>
    </w:p>
    <w:bookmarkEnd w:id="985"/>
    <w:bookmarkEnd w:id="986"/>
    <w:bookmarkEnd w:id="987"/>
    <w:bookmarkEnd w:id="988"/>
    <w:bookmarkEnd w:id="989"/>
    <w:bookmarkEnd w:id="990"/>
    <w:bookmarkEnd w:id="991"/>
    <w:p>
      <w:pPr>
        <w:pStyle w:val="167"/>
        <w:spacing w:before="156" w:beforeLines="50" w:after="156" w:afterLines="50" w:line="440" w:lineRule="exact"/>
        <w:jc w:val="center"/>
        <w:rPr>
          <w:rFonts w:ascii="宋体" w:hAnsi="宋体"/>
          <w:color w:val="000000"/>
          <w:sz w:val="24"/>
        </w:rPr>
      </w:pPr>
      <w:r>
        <w:rPr>
          <w:rFonts w:ascii="宋体" w:hAnsi="宋体"/>
          <w:color w:val="000000"/>
          <w:sz w:val="24"/>
        </w:rPr>
        <w:t>履约担保</w:t>
      </w:r>
    </w:p>
    <w:p>
      <w:pPr>
        <w:pStyle w:val="167"/>
        <w:spacing w:line="440" w:lineRule="exact"/>
        <w:rPr>
          <w:rFonts w:ascii="宋体" w:hAnsi="宋体"/>
          <w:color w:val="000000"/>
          <w:szCs w:val="21"/>
        </w:rPr>
      </w:pPr>
      <w:r>
        <w:rPr>
          <w:rFonts w:ascii="宋体" w:hAnsi="宋体"/>
          <w:color w:val="000000"/>
          <w:szCs w:val="21"/>
          <w:u w:val="single"/>
        </w:rPr>
        <w:t xml:space="preserve">             </w:t>
      </w:r>
      <w:r>
        <w:rPr>
          <w:rFonts w:ascii="宋体" w:hAnsi="宋体"/>
          <w:color w:val="000000"/>
          <w:szCs w:val="21"/>
          <w:u w:val="single"/>
        </w:rPr>
        <w:tab/>
      </w:r>
      <w:r>
        <w:rPr>
          <w:rFonts w:ascii="宋体" w:hAnsi="宋体"/>
          <w:color w:val="000000"/>
          <w:szCs w:val="21"/>
        </w:rPr>
        <w:t>（发包人名称）：</w:t>
      </w:r>
    </w:p>
    <w:p>
      <w:pPr>
        <w:pStyle w:val="167"/>
        <w:spacing w:line="440" w:lineRule="exact"/>
        <w:rPr>
          <w:rFonts w:ascii="宋体" w:hAnsi="宋体"/>
          <w:color w:val="000000"/>
          <w:szCs w:val="21"/>
        </w:rPr>
      </w:pPr>
    </w:p>
    <w:p>
      <w:pPr>
        <w:pStyle w:val="167"/>
        <w:spacing w:line="360" w:lineRule="auto"/>
        <w:ind w:firstLine="420" w:firstLineChars="200"/>
        <w:rPr>
          <w:rFonts w:ascii="宋体" w:hAnsi="宋体"/>
          <w:color w:val="000000"/>
          <w:szCs w:val="21"/>
        </w:rPr>
      </w:pPr>
      <w:r>
        <w:rPr>
          <w:rFonts w:ascii="宋体" w:hAnsi="宋体"/>
          <w:color w:val="000000"/>
          <w:szCs w:val="21"/>
        </w:rPr>
        <w:t>鉴于</w:t>
      </w:r>
      <w:r>
        <w:rPr>
          <w:rFonts w:ascii="宋体" w:hAnsi="宋体"/>
          <w:color w:val="000000"/>
          <w:szCs w:val="21"/>
          <w:u w:val="single"/>
        </w:rPr>
        <w:t xml:space="preserve">                </w:t>
      </w:r>
      <w:r>
        <w:rPr>
          <w:rFonts w:ascii="宋体" w:hAnsi="宋体"/>
          <w:color w:val="000000"/>
          <w:szCs w:val="21"/>
        </w:rPr>
        <w:t>（发包人名称，以下简称“发包人”）与</w:t>
      </w:r>
    </w:p>
    <w:p>
      <w:pPr>
        <w:pStyle w:val="167"/>
        <w:spacing w:line="360" w:lineRule="auto"/>
        <w:rPr>
          <w:rFonts w:ascii="宋体" w:hAnsi="宋体"/>
          <w:color w:val="000000"/>
          <w:szCs w:val="21"/>
        </w:rPr>
      </w:pPr>
      <w:r>
        <w:rPr>
          <w:rFonts w:ascii="宋体" w:hAnsi="宋体"/>
          <w:color w:val="000000"/>
          <w:szCs w:val="21"/>
        </w:rPr>
        <w:t xml:space="preserve"> </w:t>
      </w:r>
      <w:r>
        <w:rPr>
          <w:rFonts w:ascii="宋体" w:hAnsi="宋体"/>
          <w:color w:val="000000"/>
          <w:szCs w:val="21"/>
          <w:u w:val="single"/>
        </w:rPr>
        <w:t xml:space="preserve">                           </w:t>
      </w:r>
      <w:r>
        <w:rPr>
          <w:rFonts w:ascii="宋体" w:hAnsi="宋体"/>
          <w:color w:val="000000"/>
          <w:szCs w:val="21"/>
        </w:rPr>
        <w:t>（承包人名称）（以下称“承包人”）于</w:t>
      </w:r>
      <w:r>
        <w:rPr>
          <w:rFonts w:ascii="宋体" w:hAnsi="宋体"/>
          <w:color w:val="000000"/>
          <w:szCs w:val="21"/>
          <w:u w:val="single"/>
        </w:rPr>
        <w:t xml:space="preserve">    </w:t>
      </w:r>
      <w:r>
        <w:rPr>
          <w:rFonts w:ascii="宋体" w:hAnsi="宋体"/>
          <w:color w:val="000000"/>
          <w:szCs w:val="21"/>
        </w:rPr>
        <w:t>年</w:t>
      </w:r>
      <w:r>
        <w:rPr>
          <w:rFonts w:ascii="宋体" w:hAnsi="宋体"/>
          <w:color w:val="000000"/>
          <w:szCs w:val="21"/>
          <w:u w:val="single"/>
        </w:rPr>
        <w:t xml:space="preserve">   </w:t>
      </w:r>
      <w:r>
        <w:rPr>
          <w:rFonts w:ascii="宋体" w:hAnsi="宋体"/>
          <w:color w:val="000000"/>
          <w:szCs w:val="21"/>
        </w:rPr>
        <w:t>月</w:t>
      </w:r>
      <w:r>
        <w:rPr>
          <w:rFonts w:ascii="宋体" w:hAnsi="宋体"/>
          <w:color w:val="000000"/>
          <w:szCs w:val="21"/>
          <w:u w:val="single"/>
        </w:rPr>
        <w:t xml:space="preserve">   </w:t>
      </w:r>
      <w:r>
        <w:rPr>
          <w:rFonts w:ascii="宋体" w:hAnsi="宋体"/>
          <w:color w:val="000000"/>
          <w:szCs w:val="21"/>
        </w:rPr>
        <w:t>日就</w:t>
      </w:r>
      <w:r>
        <w:rPr>
          <w:rFonts w:ascii="宋体" w:hAnsi="宋体"/>
          <w:color w:val="000000"/>
          <w:szCs w:val="21"/>
          <w:u w:val="single"/>
        </w:rPr>
        <w:t xml:space="preserve">                         </w:t>
      </w:r>
      <w:r>
        <w:rPr>
          <w:rFonts w:ascii="宋体" w:hAnsi="宋体"/>
          <w:color w:val="000000"/>
          <w:szCs w:val="21"/>
        </w:rPr>
        <w:t xml:space="preserve">（工程名称）施工及有关事项协商一致共同签订《建设工程施工合同》。我方愿意无条件地、不可撤销地就承包人履行与你方签订的合同，向你方提供连带责任担保。 </w:t>
      </w:r>
    </w:p>
    <w:p>
      <w:pPr>
        <w:pStyle w:val="167"/>
        <w:spacing w:line="360" w:lineRule="auto"/>
        <w:ind w:firstLine="420" w:firstLineChars="200"/>
        <w:rPr>
          <w:rFonts w:ascii="宋体" w:hAnsi="宋体"/>
          <w:color w:val="000000"/>
          <w:szCs w:val="21"/>
        </w:rPr>
      </w:pPr>
      <w:r>
        <w:rPr>
          <w:rFonts w:ascii="宋体" w:hAnsi="宋体"/>
          <w:color w:val="000000"/>
          <w:szCs w:val="21"/>
        </w:rPr>
        <w:t>1. 担保金额人民币（大写）</w:t>
      </w:r>
      <w:r>
        <w:rPr>
          <w:rFonts w:ascii="宋体" w:hAnsi="宋体"/>
          <w:color w:val="000000"/>
          <w:szCs w:val="21"/>
          <w:u w:val="single"/>
        </w:rPr>
        <w:t xml:space="preserve">                 </w:t>
      </w:r>
      <w:r>
        <w:rPr>
          <w:rFonts w:ascii="宋体" w:hAnsi="宋体"/>
          <w:color w:val="000000"/>
          <w:szCs w:val="21"/>
        </w:rPr>
        <w:t>元（¥</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rPr>
      </w:pPr>
      <w:r>
        <w:rPr>
          <w:rFonts w:ascii="宋体" w:hAnsi="宋体"/>
          <w:color w:val="000000"/>
          <w:szCs w:val="21"/>
        </w:rPr>
        <w:t>2. 担保有效期自你方与承包人签订的合同生效之日起至你方签发或应签发工程接收证书之日止。</w:t>
      </w:r>
    </w:p>
    <w:p>
      <w:pPr>
        <w:pStyle w:val="167"/>
        <w:spacing w:line="360" w:lineRule="auto"/>
        <w:ind w:firstLine="420" w:firstLineChars="200"/>
        <w:rPr>
          <w:rFonts w:ascii="宋体" w:hAnsi="宋体"/>
          <w:color w:val="000000"/>
          <w:szCs w:val="21"/>
        </w:rPr>
      </w:pPr>
      <w:r>
        <w:rPr>
          <w:rFonts w:ascii="宋体" w:hAnsi="宋体"/>
          <w:color w:val="000000"/>
          <w:szCs w:val="21"/>
        </w:rPr>
        <w:t>3. 在本担保有效期内，因承包人违反合同约定的义务给你方造成经济损失时，我方在收到你方以书面形式提出的在担保金额内的赔偿要求后，在7天内无条件支付。</w:t>
      </w:r>
    </w:p>
    <w:p>
      <w:pPr>
        <w:pStyle w:val="167"/>
        <w:spacing w:line="360" w:lineRule="auto"/>
        <w:ind w:firstLine="420" w:firstLineChars="200"/>
        <w:rPr>
          <w:rFonts w:ascii="宋体" w:hAnsi="宋体"/>
          <w:color w:val="000000"/>
          <w:szCs w:val="21"/>
        </w:rPr>
      </w:pPr>
      <w:r>
        <w:rPr>
          <w:rFonts w:ascii="宋体" w:hAnsi="宋体"/>
          <w:color w:val="000000"/>
          <w:szCs w:val="21"/>
        </w:rPr>
        <w:t>4. 你方和承包人按合同约定变更合同时，我方承担本担保规定的义务不变。</w:t>
      </w:r>
    </w:p>
    <w:p>
      <w:pPr>
        <w:pStyle w:val="167"/>
        <w:spacing w:line="360" w:lineRule="auto"/>
        <w:ind w:firstLine="420" w:firstLineChars="200"/>
        <w:rPr>
          <w:rFonts w:ascii="宋体" w:hAnsi="宋体"/>
          <w:color w:val="000000"/>
          <w:szCs w:val="21"/>
        </w:rPr>
      </w:pPr>
      <w:r>
        <w:rPr>
          <w:rFonts w:ascii="宋体" w:hAnsi="宋体"/>
          <w:color w:val="000000"/>
          <w:szCs w:val="21"/>
        </w:rPr>
        <w:t>5. 因本保函发生的纠纷，可由双方协商解决，协商不成的，任何一方均可提请</w:t>
      </w:r>
      <w:r>
        <w:rPr>
          <w:rFonts w:ascii="宋体" w:hAnsi="宋体"/>
          <w:color w:val="000000"/>
          <w:szCs w:val="21"/>
          <w:u w:val="single"/>
        </w:rPr>
        <w:t xml:space="preserve">        </w:t>
      </w:r>
      <w:r>
        <w:rPr>
          <w:rFonts w:ascii="宋体" w:hAnsi="宋体"/>
          <w:color w:val="000000"/>
          <w:szCs w:val="21"/>
        </w:rPr>
        <w:t>仲裁委员会仲裁。</w:t>
      </w:r>
    </w:p>
    <w:p>
      <w:pPr>
        <w:pStyle w:val="167"/>
        <w:spacing w:line="360" w:lineRule="auto"/>
        <w:ind w:firstLine="420" w:firstLineChars="200"/>
        <w:rPr>
          <w:rFonts w:ascii="宋体" w:hAnsi="宋体"/>
          <w:color w:val="000000"/>
          <w:szCs w:val="21"/>
        </w:rPr>
      </w:pPr>
      <w:r>
        <w:rPr>
          <w:rFonts w:ascii="宋体" w:hAnsi="宋体"/>
          <w:color w:val="000000"/>
          <w:szCs w:val="21"/>
        </w:rPr>
        <w:t>6. 本保函自我方法定代表人（或其授权代理人）签字并加盖公章之日起生效。</w:t>
      </w:r>
    </w:p>
    <w:p>
      <w:pPr>
        <w:pStyle w:val="167"/>
        <w:spacing w:line="360" w:lineRule="auto"/>
        <w:rPr>
          <w:rFonts w:ascii="宋体" w:hAnsi="宋体"/>
          <w:color w:val="000000"/>
          <w:szCs w:val="21"/>
        </w:rPr>
      </w:pPr>
    </w:p>
    <w:p>
      <w:pPr>
        <w:pStyle w:val="167"/>
        <w:spacing w:line="360" w:lineRule="auto"/>
        <w:rPr>
          <w:rFonts w:ascii="宋体" w:hAnsi="宋体"/>
          <w:color w:val="000000"/>
          <w:szCs w:val="21"/>
        </w:rPr>
      </w:pPr>
      <w:r>
        <w:rPr>
          <w:rFonts w:ascii="宋体" w:hAnsi="宋体"/>
          <w:color w:val="000000"/>
          <w:szCs w:val="21"/>
        </w:rPr>
        <w:t>担 保 人：</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（盖单位章）</w:t>
      </w:r>
    </w:p>
    <w:p>
      <w:pPr>
        <w:pStyle w:val="167"/>
        <w:spacing w:line="360" w:lineRule="auto"/>
        <w:rPr>
          <w:rFonts w:ascii="宋体" w:hAnsi="宋体"/>
          <w:color w:val="000000"/>
          <w:szCs w:val="21"/>
        </w:rPr>
      </w:pPr>
      <w:r>
        <w:rPr>
          <w:rFonts w:ascii="宋体" w:hAnsi="宋体"/>
          <w:color w:val="000000"/>
          <w:szCs w:val="21"/>
        </w:rPr>
        <w:t>法定代表人或其委托代理人：</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（签字）</w:t>
      </w:r>
    </w:p>
    <w:p>
      <w:pPr>
        <w:pStyle w:val="167"/>
        <w:spacing w:line="360" w:lineRule="auto"/>
        <w:rPr>
          <w:rFonts w:ascii="宋体" w:hAnsi="宋体"/>
          <w:color w:val="000000"/>
          <w:szCs w:val="21"/>
        </w:rPr>
      </w:pPr>
      <w:r>
        <w:rPr>
          <w:rFonts w:ascii="宋体" w:hAnsi="宋体"/>
          <w:color w:val="000000"/>
          <w:szCs w:val="21"/>
        </w:rPr>
        <w:t>地    址：</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rPr>
          <w:rFonts w:ascii="宋体" w:hAnsi="宋体"/>
          <w:color w:val="000000"/>
          <w:szCs w:val="21"/>
        </w:rPr>
      </w:pPr>
      <w:r>
        <w:rPr>
          <w:rFonts w:ascii="宋体" w:hAnsi="宋体"/>
          <w:color w:val="000000"/>
          <w:szCs w:val="21"/>
        </w:rPr>
        <w:t>邮政编码：</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rPr>
          <w:rFonts w:ascii="宋体" w:hAnsi="宋体"/>
          <w:color w:val="000000"/>
          <w:szCs w:val="21"/>
          <w:u w:val="single"/>
        </w:rPr>
      </w:pPr>
      <w:r>
        <w:rPr>
          <w:rFonts w:ascii="宋体" w:hAnsi="宋体"/>
          <w:color w:val="000000"/>
          <w:szCs w:val="21"/>
        </w:rPr>
        <w:t>电    话：</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rPr>
          <w:rFonts w:ascii="宋体" w:hAnsi="宋体"/>
          <w:color w:val="000000"/>
          <w:szCs w:val="21"/>
        </w:rPr>
      </w:pPr>
      <w:r>
        <w:rPr>
          <w:rFonts w:ascii="宋体" w:hAnsi="宋体"/>
          <w:color w:val="000000"/>
          <w:szCs w:val="21"/>
        </w:rPr>
        <w:t>传    真：</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jc w:val="left"/>
        <w:rPr>
          <w:rFonts w:ascii="宋体" w:hAnsi="宋体"/>
          <w:color w:val="000000"/>
          <w:szCs w:val="21"/>
          <w:u w:val="single"/>
        </w:rPr>
      </w:pPr>
    </w:p>
    <w:p>
      <w:pPr>
        <w:pStyle w:val="167"/>
        <w:spacing w:line="360" w:lineRule="auto"/>
        <w:ind w:left="1329" w:hanging="1329" w:hangingChars="633"/>
        <w:rPr>
          <w:rFonts w:ascii="宋体" w:hAnsi="宋体"/>
          <w:color w:val="000000"/>
          <w:szCs w:val="21"/>
        </w:rPr>
      </w:pPr>
      <w:r>
        <w:rPr>
          <w:rFonts w:ascii="宋体" w:hAnsi="宋体"/>
          <w:color w:val="000000"/>
          <w:szCs w:val="21"/>
        </w:rPr>
        <w:t xml:space="preserve">             </w:t>
      </w:r>
      <w:r>
        <w:rPr>
          <w:rFonts w:hint="eastAsia" w:ascii="宋体" w:hAnsi="宋体"/>
          <w:color w:val="000000"/>
          <w:szCs w:val="21"/>
        </w:rPr>
        <w:t xml:space="preserve">  </w:t>
      </w:r>
      <w:r>
        <w:rPr>
          <w:rFonts w:ascii="宋体" w:hAnsi="宋体"/>
          <w:color w:val="000000"/>
          <w:szCs w:val="21"/>
          <w:u w:val="single"/>
        </w:rPr>
        <w:t xml:space="preserve">           </w:t>
      </w:r>
      <w:r>
        <w:rPr>
          <w:rFonts w:ascii="宋体" w:hAnsi="宋体"/>
          <w:color w:val="000000"/>
          <w:szCs w:val="21"/>
        </w:rPr>
        <w:t>年</w:t>
      </w:r>
      <w:r>
        <w:rPr>
          <w:rFonts w:ascii="宋体" w:hAnsi="宋体"/>
          <w:color w:val="000000"/>
          <w:szCs w:val="21"/>
          <w:u w:val="single"/>
        </w:rPr>
        <w:t xml:space="preserve">        </w:t>
      </w:r>
      <w:r>
        <w:rPr>
          <w:rFonts w:ascii="宋体" w:hAnsi="宋体"/>
          <w:color w:val="000000"/>
          <w:szCs w:val="21"/>
        </w:rPr>
        <w:t>月</w:t>
      </w:r>
      <w:r>
        <w:rPr>
          <w:rFonts w:ascii="宋体" w:hAnsi="宋体"/>
          <w:color w:val="000000"/>
          <w:szCs w:val="21"/>
          <w:u w:val="single"/>
        </w:rPr>
        <w:t xml:space="preserve">        </w:t>
      </w:r>
      <w:r>
        <w:rPr>
          <w:rFonts w:ascii="宋体" w:hAnsi="宋体"/>
          <w:color w:val="000000"/>
          <w:szCs w:val="21"/>
        </w:rPr>
        <w:t>日</w:t>
      </w:r>
    </w:p>
    <w:p>
      <w:pPr>
        <w:pStyle w:val="167"/>
        <w:spacing w:line="360" w:lineRule="auto"/>
        <w:ind w:left="1519" w:hanging="1519" w:hangingChars="633"/>
        <w:rPr>
          <w:rFonts w:ascii="宋体" w:hAnsi="宋体"/>
          <w:color w:val="000000"/>
          <w:sz w:val="24"/>
        </w:rPr>
      </w:pPr>
    </w:p>
    <w:p>
      <w:pPr>
        <w:pStyle w:val="167"/>
        <w:spacing w:line="360" w:lineRule="auto"/>
        <w:rPr>
          <w:rFonts w:ascii="宋体" w:hAnsi="宋体"/>
          <w:color w:val="000000"/>
          <w:sz w:val="30"/>
          <w:szCs w:val="30"/>
        </w:rPr>
      </w:pPr>
      <w:r>
        <w:rPr>
          <w:rFonts w:ascii="宋体" w:hAnsi="宋体"/>
          <w:color w:val="000000"/>
          <w:sz w:val="30"/>
          <w:szCs w:val="30"/>
        </w:rPr>
        <w:br w:type="page"/>
      </w:r>
      <w:r>
        <w:rPr>
          <w:rFonts w:ascii="宋体" w:hAnsi="宋体"/>
          <w:color w:val="000000"/>
          <w:sz w:val="30"/>
          <w:szCs w:val="30"/>
        </w:rPr>
        <w:t>附</w:t>
      </w:r>
      <w:bookmarkStart w:id="992" w:name="_Toc296891060"/>
      <w:bookmarkStart w:id="993" w:name="_Toc267261702"/>
      <w:bookmarkStart w:id="994" w:name="_Toc296347231"/>
      <w:bookmarkStart w:id="995" w:name="_Toc296503232"/>
      <w:bookmarkStart w:id="996" w:name="_Toc296346733"/>
      <w:bookmarkStart w:id="997" w:name="_Toc296891272"/>
      <w:bookmarkStart w:id="998" w:name="_Toc296944571"/>
      <w:r>
        <w:rPr>
          <w:rFonts w:ascii="宋体" w:hAnsi="宋体"/>
          <w:color w:val="000000"/>
          <w:sz w:val="30"/>
          <w:szCs w:val="30"/>
        </w:rPr>
        <w:t>件9 ：</w:t>
      </w:r>
    </w:p>
    <w:bookmarkEnd w:id="992"/>
    <w:bookmarkEnd w:id="993"/>
    <w:bookmarkEnd w:id="994"/>
    <w:bookmarkEnd w:id="995"/>
    <w:bookmarkEnd w:id="996"/>
    <w:bookmarkEnd w:id="997"/>
    <w:bookmarkEnd w:id="998"/>
    <w:p>
      <w:pPr>
        <w:pStyle w:val="167"/>
        <w:spacing w:before="156" w:beforeLines="50" w:after="156" w:afterLines="50" w:line="440" w:lineRule="exact"/>
        <w:jc w:val="center"/>
        <w:rPr>
          <w:rFonts w:ascii="宋体" w:hAnsi="宋体"/>
          <w:color w:val="000000"/>
          <w:sz w:val="24"/>
        </w:rPr>
      </w:pPr>
      <w:r>
        <w:rPr>
          <w:rFonts w:ascii="宋体" w:hAnsi="宋体"/>
          <w:color w:val="000000"/>
          <w:sz w:val="24"/>
        </w:rPr>
        <w:t>预付款担保</w:t>
      </w:r>
    </w:p>
    <w:p>
      <w:pPr>
        <w:pStyle w:val="167"/>
        <w:spacing w:line="360" w:lineRule="auto"/>
        <w:rPr>
          <w:rFonts w:ascii="宋体" w:hAnsi="宋体"/>
          <w:color w:val="000000"/>
          <w:szCs w:val="21"/>
        </w:rPr>
      </w:pPr>
      <w:r>
        <w:rPr>
          <w:rFonts w:ascii="宋体" w:hAnsi="宋体"/>
          <w:color w:val="000000"/>
          <w:szCs w:val="21"/>
          <w:u w:val="single"/>
        </w:rPr>
        <w:t xml:space="preserve">            </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 xml:space="preserve"> </w:t>
      </w:r>
      <w:r>
        <w:rPr>
          <w:rFonts w:ascii="宋体" w:hAnsi="宋体"/>
          <w:color w:val="000000"/>
          <w:szCs w:val="21"/>
        </w:rPr>
        <w:t xml:space="preserve"> （发包人名称）：</w:t>
      </w:r>
    </w:p>
    <w:p>
      <w:pPr>
        <w:pStyle w:val="167"/>
        <w:spacing w:line="360" w:lineRule="auto"/>
        <w:rPr>
          <w:rFonts w:ascii="宋体" w:hAnsi="宋体"/>
          <w:color w:val="000000"/>
          <w:szCs w:val="21"/>
        </w:rPr>
      </w:pPr>
    </w:p>
    <w:p>
      <w:pPr>
        <w:pStyle w:val="167"/>
        <w:spacing w:line="360" w:lineRule="auto"/>
        <w:ind w:firstLine="420" w:firstLineChars="200"/>
        <w:rPr>
          <w:rFonts w:ascii="宋体" w:hAnsi="宋体"/>
          <w:color w:val="000000"/>
          <w:szCs w:val="21"/>
        </w:rPr>
      </w:pPr>
      <w:r>
        <w:rPr>
          <w:rFonts w:ascii="宋体" w:hAnsi="宋体"/>
          <w:color w:val="000000"/>
          <w:szCs w:val="21"/>
        </w:rPr>
        <w:t>根据</w:t>
      </w:r>
      <w:r>
        <w:rPr>
          <w:rFonts w:ascii="宋体" w:hAnsi="宋体"/>
          <w:color w:val="000000"/>
          <w:szCs w:val="21"/>
          <w:u w:val="single"/>
        </w:rPr>
        <w:t xml:space="preserve">                 </w:t>
      </w:r>
      <w:r>
        <w:rPr>
          <w:rFonts w:ascii="宋体" w:hAnsi="宋体"/>
          <w:color w:val="000000"/>
          <w:szCs w:val="21"/>
        </w:rPr>
        <w:t>（承包人名称）（以下称</w:t>
      </w:r>
      <w:r>
        <w:rPr>
          <w:rFonts w:hint="eastAsia" w:ascii="宋体" w:hAnsi="宋体"/>
          <w:color w:val="000000"/>
          <w:szCs w:val="21"/>
        </w:rPr>
        <w:t>“</w:t>
      </w:r>
      <w:r>
        <w:rPr>
          <w:rFonts w:ascii="宋体" w:hAnsi="宋体"/>
          <w:color w:val="000000"/>
          <w:szCs w:val="21"/>
        </w:rPr>
        <w:t>承包人</w:t>
      </w:r>
      <w:r>
        <w:rPr>
          <w:rFonts w:hint="eastAsia" w:ascii="宋体" w:hAnsi="宋体"/>
          <w:color w:val="000000"/>
          <w:szCs w:val="21"/>
        </w:rPr>
        <w:t>”</w:t>
      </w:r>
      <w:r>
        <w:rPr>
          <w:rFonts w:ascii="宋体" w:hAnsi="宋体"/>
          <w:color w:val="000000"/>
          <w:szCs w:val="21"/>
        </w:rPr>
        <w:t>）与</w:t>
      </w:r>
    </w:p>
    <w:p>
      <w:pPr>
        <w:pStyle w:val="167"/>
        <w:spacing w:line="360" w:lineRule="auto"/>
        <w:rPr>
          <w:rFonts w:ascii="宋体" w:hAnsi="宋体"/>
          <w:color w:val="000000"/>
          <w:szCs w:val="21"/>
        </w:rPr>
      </w:pPr>
      <w:r>
        <w:rPr>
          <w:rFonts w:ascii="宋体" w:hAnsi="宋体"/>
          <w:color w:val="000000"/>
          <w:szCs w:val="21"/>
          <w:u w:val="single"/>
        </w:rPr>
        <w:t xml:space="preserve">                        </w:t>
      </w:r>
      <w:r>
        <w:rPr>
          <w:rFonts w:ascii="宋体" w:hAnsi="宋体"/>
          <w:color w:val="000000"/>
          <w:szCs w:val="21"/>
        </w:rPr>
        <w:t>（发包人名称）（以下简称</w:t>
      </w:r>
      <w:r>
        <w:rPr>
          <w:rFonts w:hint="eastAsia" w:ascii="宋体" w:hAnsi="宋体"/>
          <w:color w:val="000000"/>
          <w:szCs w:val="21"/>
        </w:rPr>
        <w:t>“</w:t>
      </w:r>
      <w:r>
        <w:rPr>
          <w:rFonts w:ascii="宋体" w:hAnsi="宋体"/>
          <w:color w:val="000000"/>
          <w:szCs w:val="21"/>
        </w:rPr>
        <w:t>发包人</w:t>
      </w:r>
      <w:r>
        <w:rPr>
          <w:rFonts w:hint="eastAsia" w:ascii="宋体" w:hAnsi="宋体"/>
          <w:color w:val="000000"/>
          <w:szCs w:val="21"/>
        </w:rPr>
        <w:t>”</w:t>
      </w:r>
      <w:r>
        <w:rPr>
          <w:rFonts w:ascii="宋体" w:hAnsi="宋体"/>
          <w:color w:val="000000"/>
          <w:szCs w:val="21"/>
        </w:rPr>
        <w:t>）</w:t>
      </w:r>
    </w:p>
    <w:p>
      <w:pPr>
        <w:pStyle w:val="167"/>
        <w:spacing w:line="360" w:lineRule="auto"/>
        <w:rPr>
          <w:rFonts w:ascii="宋体" w:hAnsi="宋体"/>
          <w:color w:val="000000"/>
          <w:szCs w:val="21"/>
        </w:rPr>
      </w:pPr>
      <w:r>
        <w:rPr>
          <w:rFonts w:ascii="宋体" w:hAnsi="宋体"/>
          <w:color w:val="000000"/>
          <w:szCs w:val="21"/>
        </w:rPr>
        <w:t>于</w:t>
      </w:r>
      <w:r>
        <w:rPr>
          <w:rFonts w:ascii="宋体" w:hAnsi="宋体"/>
          <w:color w:val="000000"/>
          <w:szCs w:val="21"/>
          <w:u w:val="single"/>
        </w:rPr>
        <w:t xml:space="preserve">     </w:t>
      </w:r>
      <w:r>
        <w:rPr>
          <w:rFonts w:ascii="宋体" w:hAnsi="宋体"/>
          <w:color w:val="000000"/>
          <w:szCs w:val="21"/>
        </w:rPr>
        <w:t>年</w:t>
      </w:r>
      <w:r>
        <w:rPr>
          <w:rFonts w:ascii="宋体" w:hAnsi="宋体"/>
          <w:color w:val="000000"/>
          <w:szCs w:val="21"/>
          <w:u w:val="single"/>
        </w:rPr>
        <w:t xml:space="preserve">    </w:t>
      </w:r>
      <w:r>
        <w:rPr>
          <w:rFonts w:ascii="宋体" w:hAnsi="宋体"/>
          <w:color w:val="000000"/>
          <w:szCs w:val="21"/>
        </w:rPr>
        <w:t>月</w:t>
      </w:r>
      <w:r>
        <w:rPr>
          <w:rFonts w:ascii="宋体" w:hAnsi="宋体"/>
          <w:color w:val="000000"/>
          <w:szCs w:val="21"/>
          <w:u w:val="single"/>
        </w:rPr>
        <w:t xml:space="preserve">    </w:t>
      </w:r>
      <w:r>
        <w:rPr>
          <w:rFonts w:ascii="宋体" w:hAnsi="宋体"/>
          <w:color w:val="000000"/>
          <w:szCs w:val="21"/>
        </w:rPr>
        <w:t>日签订的</w:t>
      </w:r>
      <w:r>
        <w:rPr>
          <w:rFonts w:ascii="宋体" w:hAnsi="宋体"/>
          <w:color w:val="000000"/>
          <w:szCs w:val="21"/>
          <w:u w:val="single"/>
        </w:rPr>
        <w:t xml:space="preserve">                   </w:t>
      </w:r>
      <w:r>
        <w:rPr>
          <w:rFonts w:ascii="宋体" w:hAnsi="宋体"/>
          <w:color w:val="000000"/>
          <w:szCs w:val="21"/>
        </w:rPr>
        <w:t>（工程名称）《建设工程施工合同》，承包人按约定的金额向</w:t>
      </w:r>
      <w:r>
        <w:rPr>
          <w:rFonts w:hint="eastAsia" w:ascii="宋体" w:hAnsi="宋体"/>
          <w:color w:val="000000"/>
          <w:szCs w:val="21"/>
        </w:rPr>
        <w:t>你方</w:t>
      </w:r>
      <w:r>
        <w:rPr>
          <w:rFonts w:ascii="宋体" w:hAnsi="宋体"/>
          <w:color w:val="000000"/>
          <w:szCs w:val="21"/>
        </w:rPr>
        <w:t>提交一份预付款担保，即有权得到</w:t>
      </w:r>
      <w:r>
        <w:rPr>
          <w:rFonts w:hint="eastAsia" w:ascii="宋体" w:hAnsi="宋体"/>
          <w:color w:val="000000"/>
          <w:szCs w:val="21"/>
        </w:rPr>
        <w:t>你方</w:t>
      </w:r>
      <w:r>
        <w:rPr>
          <w:rFonts w:ascii="宋体" w:hAnsi="宋体"/>
          <w:color w:val="000000"/>
          <w:szCs w:val="21"/>
        </w:rPr>
        <w:t>支付相等金额的预付款。我方愿意就你方提供给承包人的预付款</w:t>
      </w:r>
      <w:r>
        <w:rPr>
          <w:rFonts w:hint="eastAsia" w:ascii="宋体" w:hAnsi="宋体"/>
          <w:color w:val="000000"/>
          <w:szCs w:val="21"/>
        </w:rPr>
        <w:t>为承包人</w:t>
      </w:r>
      <w:r>
        <w:rPr>
          <w:rFonts w:ascii="宋体" w:hAnsi="宋体"/>
          <w:color w:val="000000"/>
          <w:szCs w:val="21"/>
        </w:rPr>
        <w:t>提供连带责任担保。</w:t>
      </w:r>
    </w:p>
    <w:p>
      <w:pPr>
        <w:pStyle w:val="167"/>
        <w:spacing w:line="360" w:lineRule="auto"/>
        <w:ind w:firstLine="420" w:firstLineChars="200"/>
        <w:rPr>
          <w:rFonts w:ascii="宋体" w:hAnsi="宋体"/>
          <w:color w:val="000000"/>
          <w:szCs w:val="21"/>
        </w:rPr>
      </w:pPr>
      <w:r>
        <w:rPr>
          <w:rFonts w:hint="eastAsia" w:ascii="宋体" w:hAnsi="宋体"/>
          <w:color w:val="000000"/>
          <w:szCs w:val="21"/>
        </w:rPr>
        <w:t xml:space="preserve">1. </w:t>
      </w:r>
      <w:r>
        <w:rPr>
          <w:rFonts w:ascii="宋体" w:hAnsi="宋体"/>
          <w:color w:val="000000"/>
          <w:szCs w:val="21"/>
        </w:rPr>
        <w:t>担保金额人民币（大写）</w:t>
      </w:r>
      <w:r>
        <w:rPr>
          <w:rFonts w:ascii="宋体" w:hAnsi="宋体"/>
          <w:color w:val="000000"/>
          <w:szCs w:val="21"/>
          <w:u w:val="single"/>
        </w:rPr>
        <w:t xml:space="preserve">                </w:t>
      </w:r>
      <w:r>
        <w:rPr>
          <w:rFonts w:hint="eastAsia" w:ascii="宋体" w:hAnsi="宋体"/>
          <w:color w:val="000000"/>
          <w:szCs w:val="21"/>
        </w:rPr>
        <w:t>元</w:t>
      </w:r>
      <w:r>
        <w:rPr>
          <w:rFonts w:ascii="宋体" w:hAnsi="宋体"/>
          <w:color w:val="000000"/>
          <w:szCs w:val="21"/>
        </w:rPr>
        <w:t>（¥</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rPr>
          <w:rFonts w:ascii="宋体" w:hAnsi="宋体"/>
          <w:color w:val="000000"/>
          <w:szCs w:val="21"/>
        </w:rPr>
      </w:pPr>
      <w:r>
        <w:rPr>
          <w:rFonts w:hint="eastAsia" w:ascii="宋体" w:hAnsi="宋体"/>
          <w:color w:val="000000"/>
          <w:szCs w:val="21"/>
        </w:rPr>
        <w:t xml:space="preserve">2. </w:t>
      </w:r>
      <w:r>
        <w:rPr>
          <w:rFonts w:ascii="宋体" w:hAnsi="宋体"/>
          <w:color w:val="000000"/>
          <w:szCs w:val="21"/>
        </w:rPr>
        <w:t>担保有效期自预付款支付给承包人起生效，至</w:t>
      </w:r>
      <w:r>
        <w:rPr>
          <w:rFonts w:hint="eastAsia" w:ascii="宋体" w:hAnsi="宋体"/>
          <w:color w:val="000000"/>
          <w:szCs w:val="21"/>
        </w:rPr>
        <w:t>你方</w:t>
      </w:r>
      <w:r>
        <w:rPr>
          <w:rFonts w:ascii="宋体" w:hAnsi="宋体"/>
          <w:color w:val="000000"/>
          <w:szCs w:val="21"/>
        </w:rPr>
        <w:t>签发的</w:t>
      </w:r>
      <w:r>
        <w:rPr>
          <w:rFonts w:hint="eastAsia" w:ascii="宋体" w:hAnsi="宋体"/>
          <w:color w:val="000000"/>
          <w:szCs w:val="21"/>
        </w:rPr>
        <w:t>进</w:t>
      </w:r>
      <w:r>
        <w:rPr>
          <w:rFonts w:ascii="宋体" w:hAnsi="宋体"/>
          <w:color w:val="000000"/>
          <w:szCs w:val="21"/>
        </w:rPr>
        <w:t>度款支付证书说明已完全扣清止。</w:t>
      </w:r>
    </w:p>
    <w:p>
      <w:pPr>
        <w:pStyle w:val="167"/>
        <w:spacing w:line="360" w:lineRule="auto"/>
        <w:ind w:firstLine="420" w:firstLineChars="200"/>
        <w:rPr>
          <w:rFonts w:ascii="宋体" w:hAnsi="宋体"/>
          <w:color w:val="000000"/>
          <w:szCs w:val="21"/>
        </w:rPr>
      </w:pPr>
      <w:r>
        <w:rPr>
          <w:rFonts w:hint="eastAsia" w:ascii="宋体" w:hAnsi="宋体"/>
          <w:color w:val="000000"/>
          <w:szCs w:val="21"/>
        </w:rPr>
        <w:t xml:space="preserve">3. </w:t>
      </w:r>
      <w:r>
        <w:rPr>
          <w:rFonts w:ascii="宋体" w:hAnsi="宋体"/>
          <w:color w:val="000000"/>
          <w:szCs w:val="21"/>
        </w:rPr>
        <w:t>在本保函有效期内，因承包人违反合同约定的义务而要求</w:t>
      </w:r>
      <w:r>
        <w:rPr>
          <w:rFonts w:hint="eastAsia" w:ascii="宋体" w:hAnsi="宋体"/>
          <w:color w:val="000000"/>
          <w:szCs w:val="21"/>
        </w:rPr>
        <w:t>收</w:t>
      </w:r>
      <w:r>
        <w:rPr>
          <w:rFonts w:ascii="宋体" w:hAnsi="宋体"/>
          <w:color w:val="000000"/>
          <w:szCs w:val="21"/>
        </w:rPr>
        <w:t>回预付款时，我方在收到你方的书面通知后，在７天内无条件支付。但本保函的担保金额，在任何时候不应超过预付款金额减去</w:t>
      </w:r>
      <w:r>
        <w:rPr>
          <w:rFonts w:hint="eastAsia" w:ascii="宋体" w:hAnsi="宋体"/>
          <w:color w:val="000000"/>
          <w:szCs w:val="21"/>
        </w:rPr>
        <w:t>你方</w:t>
      </w:r>
      <w:r>
        <w:rPr>
          <w:rFonts w:ascii="宋体" w:hAnsi="宋体"/>
          <w:color w:val="000000"/>
          <w:szCs w:val="21"/>
        </w:rPr>
        <w:t>按合同约定在向承包人签发的进度款支付证书中扣除的金额。</w:t>
      </w:r>
    </w:p>
    <w:p>
      <w:pPr>
        <w:pStyle w:val="167"/>
        <w:spacing w:line="360" w:lineRule="auto"/>
        <w:ind w:firstLine="420" w:firstLineChars="200"/>
        <w:rPr>
          <w:rFonts w:ascii="宋体" w:hAnsi="宋体"/>
          <w:color w:val="000000"/>
          <w:szCs w:val="21"/>
        </w:rPr>
      </w:pPr>
      <w:r>
        <w:rPr>
          <w:rFonts w:hint="eastAsia" w:ascii="宋体" w:hAnsi="宋体"/>
          <w:color w:val="000000"/>
          <w:szCs w:val="21"/>
        </w:rPr>
        <w:t>4. 你方</w:t>
      </w:r>
      <w:r>
        <w:rPr>
          <w:rFonts w:ascii="宋体" w:hAnsi="宋体"/>
          <w:color w:val="000000"/>
          <w:szCs w:val="21"/>
        </w:rPr>
        <w:t>和承包人按合同约定变更合同时，我方承担本保函规定的义务不变。</w:t>
      </w:r>
    </w:p>
    <w:p>
      <w:pPr>
        <w:pStyle w:val="167"/>
        <w:spacing w:line="360" w:lineRule="auto"/>
        <w:ind w:firstLine="420" w:firstLineChars="200"/>
        <w:jc w:val="left"/>
        <w:rPr>
          <w:rFonts w:ascii="宋体" w:hAnsi="宋体"/>
          <w:color w:val="000000"/>
          <w:szCs w:val="21"/>
        </w:rPr>
      </w:pPr>
      <w:r>
        <w:rPr>
          <w:rFonts w:hint="eastAsia" w:ascii="宋体" w:hAnsi="宋体"/>
          <w:color w:val="000000"/>
          <w:szCs w:val="21"/>
        </w:rPr>
        <w:t xml:space="preserve">5. </w:t>
      </w:r>
      <w:r>
        <w:rPr>
          <w:rFonts w:ascii="宋体" w:hAnsi="宋体"/>
          <w:color w:val="000000"/>
          <w:szCs w:val="21"/>
        </w:rPr>
        <w:t>因本保函发生的纠纷，可由双方协商解决，协商不成的，任何一方均可提请</w:t>
      </w:r>
      <w:r>
        <w:rPr>
          <w:rFonts w:ascii="宋体" w:hAnsi="宋体"/>
          <w:color w:val="000000"/>
          <w:szCs w:val="21"/>
          <w:u w:val="single"/>
        </w:rPr>
        <w:t xml:space="preserve">        </w:t>
      </w:r>
      <w:r>
        <w:rPr>
          <w:rFonts w:ascii="宋体" w:hAnsi="宋体"/>
          <w:color w:val="000000"/>
          <w:szCs w:val="21"/>
        </w:rPr>
        <w:t>仲裁委员会仲裁。</w:t>
      </w:r>
    </w:p>
    <w:p>
      <w:pPr>
        <w:pStyle w:val="167"/>
        <w:spacing w:line="360" w:lineRule="auto"/>
        <w:ind w:firstLine="420" w:firstLineChars="200"/>
        <w:jc w:val="left"/>
        <w:rPr>
          <w:rFonts w:ascii="宋体" w:hAnsi="宋体"/>
          <w:color w:val="000000"/>
          <w:szCs w:val="21"/>
        </w:rPr>
      </w:pPr>
      <w:r>
        <w:rPr>
          <w:rFonts w:hint="eastAsia" w:ascii="宋体" w:hAnsi="宋体"/>
          <w:color w:val="000000"/>
          <w:szCs w:val="21"/>
        </w:rPr>
        <w:t xml:space="preserve">6. </w:t>
      </w:r>
      <w:r>
        <w:rPr>
          <w:rFonts w:ascii="宋体" w:hAnsi="宋体"/>
          <w:color w:val="000000"/>
          <w:szCs w:val="21"/>
        </w:rPr>
        <w:t>本保函自我方法定代表人（或其授权代理人）签字并加盖公章之日起生效。</w:t>
      </w:r>
    </w:p>
    <w:p>
      <w:pPr>
        <w:pStyle w:val="167"/>
        <w:spacing w:line="360" w:lineRule="auto"/>
        <w:rPr>
          <w:rFonts w:ascii="宋体" w:hAnsi="宋体"/>
          <w:color w:val="000000"/>
          <w:szCs w:val="21"/>
        </w:rPr>
      </w:pPr>
      <w:r>
        <w:rPr>
          <w:rFonts w:ascii="宋体" w:hAnsi="宋体"/>
          <w:color w:val="000000"/>
          <w:szCs w:val="21"/>
        </w:rPr>
        <w:t>担保人：</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（盖单位章）</w:t>
      </w:r>
    </w:p>
    <w:p>
      <w:pPr>
        <w:pStyle w:val="167"/>
        <w:spacing w:line="360" w:lineRule="auto"/>
        <w:rPr>
          <w:rFonts w:ascii="宋体" w:hAnsi="宋体"/>
          <w:color w:val="000000"/>
          <w:szCs w:val="21"/>
        </w:rPr>
      </w:pPr>
      <w:r>
        <w:rPr>
          <w:rFonts w:ascii="宋体" w:hAnsi="宋体"/>
          <w:color w:val="000000"/>
          <w:szCs w:val="21"/>
        </w:rPr>
        <w:t>法定代表人或其委托代理人：</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ascii="宋体" w:hAnsi="宋体"/>
          <w:color w:val="000000"/>
          <w:szCs w:val="21"/>
        </w:rPr>
        <w:t>（签字）</w:t>
      </w:r>
    </w:p>
    <w:p>
      <w:pPr>
        <w:pStyle w:val="167"/>
        <w:spacing w:line="360" w:lineRule="auto"/>
        <w:rPr>
          <w:rFonts w:ascii="宋体" w:hAnsi="宋体"/>
          <w:color w:val="000000"/>
          <w:szCs w:val="21"/>
        </w:rPr>
      </w:pPr>
      <w:r>
        <w:rPr>
          <w:rFonts w:ascii="宋体" w:hAnsi="宋体"/>
          <w:color w:val="000000"/>
          <w:szCs w:val="21"/>
        </w:rPr>
        <w:t>地    址：</w:t>
      </w:r>
      <w:r>
        <w:rPr>
          <w:rFonts w:ascii="宋体" w:hAnsi="宋体"/>
          <w:color w:val="000000"/>
          <w:szCs w:val="21"/>
          <w:u w:val="single"/>
        </w:rPr>
        <w:tab/>
      </w:r>
      <w:r>
        <w:rPr>
          <w:rFonts w:ascii="宋体" w:hAnsi="宋体"/>
          <w:color w:val="000000"/>
          <w:szCs w:val="21"/>
          <w:u w:val="single"/>
        </w:rPr>
        <w:tab/>
      </w:r>
      <w:r>
        <w:rPr>
          <w:rFonts w:hint="eastAsia" w:ascii="宋体" w:hAnsi="宋体"/>
          <w:color w:val="000000"/>
          <w:szCs w:val="21"/>
          <w:u w:val="single"/>
        </w:rPr>
        <w:t xml:space="preserve">  </w:t>
      </w:r>
      <w:r>
        <w:rPr>
          <w:rFonts w:ascii="宋体" w:hAnsi="宋体"/>
          <w:color w:val="000000"/>
          <w:szCs w:val="21"/>
          <w:u w:val="single"/>
        </w:rPr>
        <w:tab/>
      </w:r>
      <w:r>
        <w:rPr>
          <w:rFonts w:ascii="宋体" w:hAnsi="宋体"/>
          <w:color w:val="000000"/>
          <w:szCs w:val="21"/>
          <w:u w:val="single"/>
        </w:rPr>
        <w:tab/>
      </w:r>
      <w:r>
        <w:rPr>
          <w:rFonts w:hint="eastAsia" w:ascii="宋体" w:hAnsi="宋体"/>
          <w:color w:val="000000"/>
          <w:szCs w:val="21"/>
          <w:u w:val="single"/>
        </w:rPr>
        <w:t xml:space="preserve">                   </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p>
    <w:p>
      <w:pPr>
        <w:pStyle w:val="167"/>
        <w:spacing w:line="360" w:lineRule="auto"/>
        <w:rPr>
          <w:rFonts w:ascii="宋体" w:hAnsi="宋体"/>
          <w:color w:val="000000"/>
          <w:szCs w:val="21"/>
          <w:u w:val="single"/>
        </w:rPr>
      </w:pPr>
      <w:r>
        <w:rPr>
          <w:rFonts w:ascii="宋体" w:hAnsi="宋体"/>
          <w:color w:val="000000"/>
          <w:szCs w:val="21"/>
        </w:rPr>
        <w:t>邮政编码：</w:t>
      </w:r>
      <w:r>
        <w:rPr>
          <w:rFonts w:ascii="宋体" w:hAnsi="宋体"/>
          <w:color w:val="000000"/>
          <w:szCs w:val="21"/>
          <w:u w:val="single"/>
        </w:rPr>
        <w:tab/>
      </w:r>
      <w:r>
        <w:rPr>
          <w:rFonts w:ascii="宋体" w:hAnsi="宋体"/>
          <w:color w:val="000000"/>
          <w:szCs w:val="21"/>
          <w:u w:val="single"/>
        </w:rPr>
        <w:tab/>
      </w:r>
      <w:r>
        <w:rPr>
          <w:rFonts w:hint="eastAsia" w:ascii="宋体" w:hAnsi="宋体"/>
          <w:color w:val="000000"/>
          <w:szCs w:val="21"/>
          <w:u w:val="single"/>
        </w:rPr>
        <w:t xml:space="preserve">  </w:t>
      </w:r>
      <w:r>
        <w:rPr>
          <w:rFonts w:ascii="宋体" w:hAnsi="宋体"/>
          <w:color w:val="000000"/>
          <w:szCs w:val="21"/>
          <w:u w:val="single"/>
        </w:rPr>
        <w:tab/>
      </w:r>
      <w:r>
        <w:rPr>
          <w:rFonts w:ascii="宋体" w:hAnsi="宋体"/>
          <w:color w:val="000000"/>
          <w:szCs w:val="21"/>
          <w:u w:val="single"/>
        </w:rPr>
        <w:tab/>
      </w:r>
      <w:r>
        <w:rPr>
          <w:rFonts w:hint="eastAsia" w:ascii="宋体" w:hAnsi="宋体"/>
          <w:color w:val="000000"/>
          <w:szCs w:val="21"/>
          <w:u w:val="single"/>
        </w:rPr>
        <w:t xml:space="preserve">                   </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p>
    <w:p>
      <w:pPr>
        <w:pStyle w:val="167"/>
        <w:spacing w:line="360" w:lineRule="auto"/>
        <w:rPr>
          <w:rFonts w:ascii="宋体" w:hAnsi="宋体"/>
          <w:color w:val="000000"/>
          <w:szCs w:val="21"/>
          <w:u w:val="single"/>
        </w:rPr>
      </w:pPr>
      <w:r>
        <w:rPr>
          <w:rFonts w:ascii="宋体" w:hAnsi="宋体"/>
          <w:color w:val="000000"/>
          <w:szCs w:val="21"/>
        </w:rPr>
        <w:t>电    话：</w:t>
      </w:r>
      <w:r>
        <w:rPr>
          <w:rFonts w:ascii="宋体" w:hAnsi="宋体"/>
          <w:color w:val="000000"/>
          <w:szCs w:val="21"/>
          <w:u w:val="single"/>
        </w:rPr>
        <w:tab/>
      </w:r>
      <w:r>
        <w:rPr>
          <w:rFonts w:ascii="宋体" w:hAnsi="宋体"/>
          <w:color w:val="000000"/>
          <w:szCs w:val="21"/>
          <w:u w:val="single"/>
        </w:rPr>
        <w:tab/>
      </w:r>
      <w:r>
        <w:rPr>
          <w:rFonts w:hint="eastAsia" w:ascii="宋体" w:hAnsi="宋体"/>
          <w:color w:val="000000"/>
          <w:szCs w:val="21"/>
          <w:u w:val="single"/>
        </w:rPr>
        <w:t xml:space="preserve">  </w:t>
      </w:r>
      <w:r>
        <w:rPr>
          <w:rFonts w:ascii="宋体" w:hAnsi="宋体"/>
          <w:color w:val="000000"/>
          <w:szCs w:val="21"/>
          <w:u w:val="single"/>
        </w:rPr>
        <w:tab/>
      </w:r>
      <w:r>
        <w:rPr>
          <w:rFonts w:ascii="宋体" w:hAnsi="宋体"/>
          <w:color w:val="000000"/>
          <w:szCs w:val="21"/>
          <w:u w:val="single"/>
        </w:rPr>
        <w:tab/>
      </w:r>
      <w:r>
        <w:rPr>
          <w:rFonts w:hint="eastAsia" w:ascii="宋体" w:hAnsi="宋体"/>
          <w:color w:val="000000"/>
          <w:szCs w:val="21"/>
          <w:u w:val="single"/>
        </w:rPr>
        <w:t xml:space="preserve">                   </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p>
    <w:p>
      <w:pPr>
        <w:pStyle w:val="167"/>
        <w:spacing w:line="360" w:lineRule="auto"/>
        <w:rPr>
          <w:rFonts w:ascii="宋体" w:hAnsi="宋体"/>
          <w:color w:val="000000"/>
          <w:szCs w:val="21"/>
          <w:u w:val="single"/>
        </w:rPr>
      </w:pPr>
      <w:r>
        <w:rPr>
          <w:rFonts w:ascii="宋体" w:hAnsi="宋体"/>
          <w:color w:val="000000"/>
          <w:szCs w:val="21"/>
        </w:rPr>
        <w:t>传    真：</w:t>
      </w:r>
      <w:r>
        <w:rPr>
          <w:rFonts w:ascii="宋体" w:hAnsi="宋体"/>
          <w:color w:val="000000"/>
          <w:szCs w:val="21"/>
          <w:u w:val="single"/>
        </w:rPr>
        <w:tab/>
      </w:r>
      <w:r>
        <w:rPr>
          <w:rFonts w:ascii="宋体" w:hAnsi="宋体"/>
          <w:color w:val="000000"/>
          <w:szCs w:val="21"/>
          <w:u w:val="single"/>
        </w:rPr>
        <w:tab/>
      </w:r>
      <w:r>
        <w:rPr>
          <w:rFonts w:hint="eastAsia" w:ascii="宋体" w:hAnsi="宋体"/>
          <w:color w:val="000000"/>
          <w:szCs w:val="21"/>
          <w:u w:val="single"/>
        </w:rPr>
        <w:t xml:space="preserve">  </w:t>
      </w:r>
      <w:r>
        <w:rPr>
          <w:rFonts w:ascii="宋体" w:hAnsi="宋体"/>
          <w:color w:val="000000"/>
          <w:szCs w:val="21"/>
          <w:u w:val="single"/>
        </w:rPr>
        <w:tab/>
      </w:r>
      <w:r>
        <w:rPr>
          <w:rFonts w:ascii="宋体" w:hAnsi="宋体"/>
          <w:color w:val="000000"/>
          <w:szCs w:val="21"/>
          <w:u w:val="single"/>
        </w:rPr>
        <w:tab/>
      </w:r>
      <w:r>
        <w:rPr>
          <w:rFonts w:hint="eastAsia" w:ascii="宋体" w:hAnsi="宋体"/>
          <w:color w:val="000000"/>
          <w:szCs w:val="21"/>
          <w:u w:val="single"/>
        </w:rPr>
        <w:t xml:space="preserve">                   </w:t>
      </w:r>
      <w:r>
        <w:rPr>
          <w:rFonts w:ascii="宋体" w:hAnsi="宋体"/>
          <w:color w:val="000000"/>
          <w:szCs w:val="21"/>
          <w:u w:val="single"/>
        </w:rPr>
        <w:tab/>
      </w:r>
      <w:r>
        <w:rPr>
          <w:rFonts w:ascii="宋体" w:hAnsi="宋体"/>
          <w:color w:val="000000"/>
          <w:szCs w:val="21"/>
          <w:u w:val="single"/>
        </w:rPr>
        <w:tab/>
      </w:r>
      <w:r>
        <w:rPr>
          <w:rFonts w:ascii="宋体" w:hAnsi="宋体"/>
          <w:color w:val="000000"/>
          <w:szCs w:val="21"/>
          <w:u w:val="single"/>
        </w:rPr>
        <w:tab/>
      </w:r>
    </w:p>
    <w:p>
      <w:pPr>
        <w:pStyle w:val="167"/>
        <w:spacing w:line="360" w:lineRule="auto"/>
        <w:rPr>
          <w:rFonts w:ascii="宋体" w:hAnsi="宋体"/>
          <w:color w:val="000000"/>
          <w:szCs w:val="21"/>
        </w:rPr>
      </w:pPr>
      <w:r>
        <w:rPr>
          <w:rFonts w:ascii="宋体" w:hAnsi="宋体"/>
          <w:color w:val="000000"/>
          <w:szCs w:val="21"/>
        </w:rPr>
        <w:t xml:space="preserve">              </w:t>
      </w:r>
      <w:r>
        <w:rPr>
          <w:rFonts w:ascii="宋体" w:hAnsi="宋体"/>
          <w:color w:val="000000"/>
          <w:szCs w:val="21"/>
          <w:u w:val="single"/>
        </w:rPr>
        <w:t xml:space="preserve">               </w:t>
      </w:r>
      <w:r>
        <w:rPr>
          <w:rFonts w:ascii="宋体" w:hAnsi="宋体"/>
          <w:color w:val="000000"/>
          <w:szCs w:val="21"/>
        </w:rPr>
        <w:t>年</w:t>
      </w:r>
      <w:r>
        <w:rPr>
          <w:rFonts w:ascii="宋体" w:hAnsi="宋体"/>
          <w:color w:val="000000"/>
          <w:szCs w:val="21"/>
          <w:u w:val="single"/>
        </w:rPr>
        <w:t xml:space="preserve">      </w:t>
      </w:r>
      <w:r>
        <w:rPr>
          <w:rFonts w:ascii="宋体" w:hAnsi="宋体"/>
          <w:color w:val="000000"/>
          <w:szCs w:val="21"/>
        </w:rPr>
        <w:t>月</w:t>
      </w:r>
      <w:r>
        <w:rPr>
          <w:rFonts w:ascii="宋体" w:hAnsi="宋体"/>
          <w:color w:val="000000"/>
          <w:szCs w:val="21"/>
          <w:u w:val="single"/>
        </w:rPr>
        <w:t xml:space="preserve">      </w:t>
      </w:r>
      <w:r>
        <w:rPr>
          <w:rFonts w:ascii="宋体" w:hAnsi="宋体"/>
          <w:color w:val="000000"/>
          <w:szCs w:val="21"/>
        </w:rPr>
        <w:t>日</w:t>
      </w:r>
    </w:p>
    <w:p>
      <w:pPr>
        <w:pStyle w:val="167"/>
        <w:spacing w:line="440" w:lineRule="exact"/>
        <w:rPr>
          <w:rFonts w:ascii="宋体" w:hAnsi="宋体"/>
          <w:color w:val="000000"/>
          <w:sz w:val="30"/>
          <w:szCs w:val="30"/>
        </w:rPr>
      </w:pPr>
      <w:r>
        <w:rPr>
          <w:rFonts w:ascii="宋体" w:hAnsi="宋体"/>
          <w:b/>
          <w:color w:val="000000"/>
          <w:sz w:val="30"/>
          <w:szCs w:val="30"/>
        </w:rPr>
        <w:br w:type="page"/>
      </w:r>
      <w:r>
        <w:rPr>
          <w:rFonts w:ascii="宋体" w:hAnsi="宋体"/>
          <w:color w:val="000000"/>
          <w:sz w:val="30"/>
          <w:szCs w:val="30"/>
        </w:rPr>
        <w:t>附</w:t>
      </w:r>
      <w:bookmarkStart w:id="999" w:name="_Toc296503233"/>
      <w:bookmarkStart w:id="1000" w:name="_Toc296891273"/>
      <w:bookmarkStart w:id="1001" w:name="_Toc296347232"/>
      <w:bookmarkStart w:id="1002" w:name="_Toc296346734"/>
      <w:bookmarkStart w:id="1003" w:name="_Toc296891061"/>
      <w:bookmarkStart w:id="1004" w:name="_Toc296944572"/>
      <w:r>
        <w:rPr>
          <w:rFonts w:ascii="宋体" w:hAnsi="宋体"/>
          <w:color w:val="000000"/>
          <w:sz w:val="30"/>
          <w:szCs w:val="30"/>
        </w:rPr>
        <w:t xml:space="preserve">件10:  </w:t>
      </w:r>
    </w:p>
    <w:bookmarkEnd w:id="999"/>
    <w:bookmarkEnd w:id="1000"/>
    <w:bookmarkEnd w:id="1001"/>
    <w:bookmarkEnd w:id="1002"/>
    <w:bookmarkEnd w:id="1003"/>
    <w:bookmarkEnd w:id="1004"/>
    <w:p>
      <w:pPr>
        <w:pStyle w:val="167"/>
        <w:spacing w:before="156" w:beforeLines="50" w:after="156" w:afterLines="50" w:line="440" w:lineRule="exact"/>
        <w:jc w:val="center"/>
        <w:rPr>
          <w:rFonts w:ascii="宋体" w:hAnsi="宋体"/>
          <w:color w:val="000000"/>
          <w:sz w:val="30"/>
          <w:szCs w:val="30"/>
        </w:rPr>
      </w:pPr>
      <w:r>
        <w:rPr>
          <w:rFonts w:ascii="宋体" w:hAnsi="宋体"/>
          <w:color w:val="000000"/>
          <w:sz w:val="30"/>
          <w:szCs w:val="30"/>
        </w:rPr>
        <w:t>支付担保</w:t>
      </w:r>
    </w:p>
    <w:p>
      <w:pPr>
        <w:pStyle w:val="167"/>
        <w:spacing w:line="440" w:lineRule="exact"/>
        <w:jc w:val="left"/>
        <w:rPr>
          <w:rFonts w:ascii="宋体" w:hAnsi="宋体"/>
          <w:color w:val="000000"/>
          <w:szCs w:val="21"/>
        </w:rPr>
      </w:pPr>
      <w:r>
        <w:rPr>
          <w:rFonts w:ascii="宋体" w:hAnsi="宋体"/>
          <w:color w:val="000000"/>
          <w:szCs w:val="21"/>
          <w:u w:val="single"/>
        </w:rPr>
        <w:t xml:space="preserve">             </w:t>
      </w:r>
      <w:r>
        <w:rPr>
          <w:rFonts w:ascii="宋体" w:hAnsi="宋体"/>
          <w:color w:val="000000"/>
          <w:szCs w:val="21"/>
        </w:rPr>
        <w:t>（承包人）：</w:t>
      </w:r>
    </w:p>
    <w:p>
      <w:pPr>
        <w:pStyle w:val="167"/>
        <w:spacing w:line="440" w:lineRule="exact"/>
        <w:jc w:val="left"/>
        <w:rPr>
          <w:rFonts w:ascii="宋体" w:hAnsi="宋体"/>
          <w:color w:val="000000"/>
          <w:szCs w:val="21"/>
        </w:rPr>
      </w:pPr>
    </w:p>
    <w:p>
      <w:pPr>
        <w:pStyle w:val="167"/>
        <w:spacing w:line="360" w:lineRule="auto"/>
        <w:ind w:firstLine="420" w:firstLineChars="200"/>
        <w:jc w:val="left"/>
        <w:rPr>
          <w:rFonts w:ascii="宋体" w:hAnsi="宋体"/>
          <w:color w:val="000000"/>
          <w:szCs w:val="21"/>
        </w:rPr>
      </w:pPr>
      <w:r>
        <w:rPr>
          <w:rFonts w:ascii="宋体" w:hAnsi="宋体"/>
          <w:color w:val="000000"/>
          <w:szCs w:val="21"/>
        </w:rPr>
        <w:t>鉴于你方作为承包人已经与</w:t>
      </w:r>
      <w:r>
        <w:rPr>
          <w:rFonts w:ascii="宋体" w:hAnsi="宋体"/>
          <w:color w:val="000000"/>
          <w:szCs w:val="21"/>
          <w:u w:val="single"/>
        </w:rPr>
        <w:t xml:space="preserve">             </w:t>
      </w:r>
      <w:r>
        <w:rPr>
          <w:rFonts w:ascii="宋体" w:hAnsi="宋体"/>
          <w:color w:val="000000"/>
          <w:szCs w:val="21"/>
        </w:rPr>
        <w:t>（发包人名称）（以下称</w:t>
      </w:r>
      <w:r>
        <w:rPr>
          <w:rFonts w:hint="eastAsia" w:ascii="宋体" w:hAnsi="宋体"/>
          <w:color w:val="000000"/>
          <w:szCs w:val="21"/>
        </w:rPr>
        <w:t>“</w:t>
      </w:r>
      <w:r>
        <w:rPr>
          <w:rFonts w:ascii="宋体" w:hAnsi="宋体"/>
          <w:color w:val="000000"/>
          <w:szCs w:val="21"/>
        </w:rPr>
        <w:t>发包人</w:t>
      </w:r>
      <w:r>
        <w:rPr>
          <w:rFonts w:hint="eastAsia" w:ascii="宋体" w:hAnsi="宋体"/>
          <w:color w:val="000000"/>
          <w:szCs w:val="21"/>
        </w:rPr>
        <w:t>”</w:t>
      </w:r>
      <w:r>
        <w:rPr>
          <w:rFonts w:ascii="宋体" w:hAnsi="宋体"/>
          <w:color w:val="000000"/>
          <w:szCs w:val="21"/>
        </w:rPr>
        <w:t>）于</w:t>
      </w:r>
      <w:r>
        <w:rPr>
          <w:rFonts w:ascii="宋体" w:hAnsi="宋体"/>
          <w:color w:val="000000"/>
          <w:szCs w:val="21"/>
          <w:u w:val="single"/>
        </w:rPr>
        <w:t xml:space="preserve">   </w:t>
      </w:r>
      <w:r>
        <w:rPr>
          <w:rFonts w:ascii="宋体" w:hAnsi="宋体"/>
          <w:color w:val="000000"/>
          <w:szCs w:val="21"/>
        </w:rPr>
        <w:t>年</w:t>
      </w:r>
      <w:r>
        <w:rPr>
          <w:rFonts w:ascii="宋体" w:hAnsi="宋体"/>
          <w:color w:val="000000"/>
          <w:szCs w:val="21"/>
          <w:u w:val="single"/>
        </w:rPr>
        <w:t xml:space="preserve">   </w:t>
      </w:r>
      <w:r>
        <w:rPr>
          <w:rFonts w:ascii="宋体" w:hAnsi="宋体"/>
          <w:color w:val="000000"/>
          <w:szCs w:val="21"/>
        </w:rPr>
        <w:t>月</w:t>
      </w:r>
      <w:r>
        <w:rPr>
          <w:rFonts w:ascii="宋体" w:hAnsi="宋体"/>
          <w:color w:val="000000"/>
          <w:szCs w:val="21"/>
          <w:u w:val="single"/>
        </w:rPr>
        <w:t xml:space="preserve">    </w:t>
      </w:r>
      <w:r>
        <w:rPr>
          <w:rFonts w:ascii="宋体" w:hAnsi="宋体"/>
          <w:color w:val="000000"/>
          <w:szCs w:val="21"/>
        </w:rPr>
        <w:t>日签订了</w:t>
      </w:r>
      <w:r>
        <w:rPr>
          <w:rFonts w:ascii="宋体" w:hAnsi="宋体"/>
          <w:color w:val="000000"/>
          <w:szCs w:val="21"/>
          <w:u w:val="single"/>
        </w:rPr>
        <w:t xml:space="preserve">             </w:t>
      </w:r>
      <w:r>
        <w:rPr>
          <w:rFonts w:ascii="宋体" w:hAnsi="宋体"/>
          <w:color w:val="000000"/>
          <w:szCs w:val="21"/>
        </w:rPr>
        <w:t>（工程名称）《建设工程施工合同》（以下称</w:t>
      </w:r>
      <w:r>
        <w:rPr>
          <w:rFonts w:hint="eastAsia" w:ascii="宋体" w:hAnsi="宋体"/>
          <w:color w:val="000000"/>
          <w:szCs w:val="21"/>
        </w:rPr>
        <w:t>“</w:t>
      </w:r>
      <w:r>
        <w:rPr>
          <w:rFonts w:ascii="宋体" w:hAnsi="宋体"/>
          <w:color w:val="000000"/>
          <w:szCs w:val="21"/>
        </w:rPr>
        <w:t>主合同</w:t>
      </w:r>
      <w:r>
        <w:rPr>
          <w:rFonts w:hint="eastAsia" w:ascii="宋体" w:hAnsi="宋体"/>
          <w:color w:val="000000"/>
          <w:szCs w:val="21"/>
        </w:rPr>
        <w:t>”</w:t>
      </w:r>
      <w:r>
        <w:rPr>
          <w:rFonts w:ascii="宋体" w:hAnsi="宋体"/>
          <w:color w:val="000000"/>
          <w:szCs w:val="21"/>
        </w:rPr>
        <w:t>），应发包人的申请，我方愿就发包人履行主合同约定的工程款支付义务以保证的方式向你方提供如下担保：</w:t>
      </w:r>
    </w:p>
    <w:p>
      <w:pPr>
        <w:pStyle w:val="167"/>
        <w:spacing w:line="360" w:lineRule="auto"/>
        <w:ind w:firstLine="420" w:firstLineChars="200"/>
        <w:jc w:val="left"/>
        <w:rPr>
          <w:rFonts w:ascii="宋体" w:hAnsi="宋体"/>
          <w:color w:val="000000"/>
          <w:szCs w:val="21"/>
        </w:rPr>
      </w:pPr>
      <w:r>
        <w:rPr>
          <w:rFonts w:ascii="宋体" w:hAnsi="宋体"/>
          <w:color w:val="000000"/>
          <w:szCs w:val="21"/>
        </w:rPr>
        <w:t>一、保证的范围及保证金额</w:t>
      </w:r>
    </w:p>
    <w:p>
      <w:pPr>
        <w:pStyle w:val="167"/>
        <w:spacing w:line="360" w:lineRule="auto"/>
        <w:ind w:firstLine="420" w:firstLineChars="200"/>
        <w:jc w:val="left"/>
        <w:rPr>
          <w:rFonts w:ascii="宋体" w:hAnsi="宋体"/>
          <w:color w:val="000000"/>
          <w:szCs w:val="21"/>
        </w:rPr>
      </w:pPr>
      <w:r>
        <w:rPr>
          <w:rFonts w:hint="eastAsia" w:ascii="宋体" w:hAnsi="宋体"/>
          <w:color w:val="000000"/>
          <w:szCs w:val="21"/>
        </w:rPr>
        <w:t xml:space="preserve">1. </w:t>
      </w:r>
      <w:r>
        <w:rPr>
          <w:rFonts w:ascii="宋体" w:hAnsi="宋体"/>
          <w:color w:val="000000"/>
          <w:szCs w:val="21"/>
        </w:rPr>
        <w:t>我方的保证范围是主合同约定的工程款。</w:t>
      </w:r>
    </w:p>
    <w:p>
      <w:pPr>
        <w:pStyle w:val="167"/>
        <w:spacing w:line="360" w:lineRule="auto"/>
        <w:ind w:firstLine="420" w:firstLineChars="200"/>
        <w:jc w:val="left"/>
        <w:rPr>
          <w:rFonts w:ascii="宋体" w:hAnsi="宋体"/>
          <w:color w:val="000000"/>
          <w:szCs w:val="21"/>
        </w:rPr>
      </w:pPr>
      <w:r>
        <w:rPr>
          <w:rFonts w:hint="eastAsia" w:ascii="宋体" w:hAnsi="宋体"/>
          <w:color w:val="000000"/>
          <w:szCs w:val="21"/>
        </w:rPr>
        <w:t xml:space="preserve">2. </w:t>
      </w:r>
      <w:r>
        <w:rPr>
          <w:rFonts w:ascii="宋体" w:hAnsi="宋体"/>
          <w:color w:val="000000"/>
          <w:szCs w:val="21"/>
        </w:rPr>
        <w:t>本保函所称主合同约定的工程款是指主合同约定的除工程质量保证金以外的合同价款。</w:t>
      </w:r>
    </w:p>
    <w:p>
      <w:pPr>
        <w:pStyle w:val="167"/>
        <w:spacing w:line="360" w:lineRule="auto"/>
        <w:ind w:firstLine="420" w:firstLineChars="200"/>
        <w:jc w:val="left"/>
        <w:rPr>
          <w:rFonts w:ascii="宋体" w:hAnsi="宋体"/>
          <w:color w:val="000000"/>
          <w:szCs w:val="21"/>
        </w:rPr>
      </w:pPr>
      <w:r>
        <w:rPr>
          <w:rFonts w:hint="eastAsia" w:ascii="宋体" w:hAnsi="宋体"/>
          <w:color w:val="000000"/>
          <w:szCs w:val="21"/>
        </w:rPr>
        <w:t xml:space="preserve">3. </w:t>
      </w:r>
      <w:r>
        <w:rPr>
          <w:rFonts w:ascii="宋体" w:hAnsi="宋体"/>
          <w:color w:val="000000"/>
          <w:szCs w:val="21"/>
        </w:rPr>
        <w:t>我方保证的金额是主合同约定的工程款的</w:t>
      </w:r>
      <w:r>
        <w:rPr>
          <w:rFonts w:ascii="宋体" w:hAnsi="宋体"/>
          <w:color w:val="000000"/>
          <w:szCs w:val="21"/>
          <w:u w:val="single"/>
        </w:rPr>
        <w:t xml:space="preserve">      </w:t>
      </w:r>
      <w:r>
        <w:rPr>
          <w:rFonts w:ascii="宋体" w:hAnsi="宋体"/>
          <w:color w:val="000000"/>
          <w:szCs w:val="21"/>
        </w:rPr>
        <w:t>%，数额最高不超过人民币元（大写：</w:t>
      </w:r>
      <w:r>
        <w:rPr>
          <w:rFonts w:ascii="宋体" w:hAnsi="宋体"/>
          <w:color w:val="000000"/>
          <w:szCs w:val="21"/>
          <w:u w:val="single"/>
        </w:rPr>
        <w:t xml:space="preserve">        </w:t>
      </w:r>
      <w:r>
        <w:rPr>
          <w:rFonts w:ascii="宋体" w:hAnsi="宋体"/>
          <w:color w:val="000000"/>
          <w:szCs w:val="21"/>
        </w:rPr>
        <w:t>）。</w:t>
      </w:r>
    </w:p>
    <w:p>
      <w:pPr>
        <w:pStyle w:val="167"/>
        <w:spacing w:line="360" w:lineRule="auto"/>
        <w:ind w:firstLine="420" w:firstLineChars="200"/>
        <w:jc w:val="left"/>
        <w:rPr>
          <w:rFonts w:ascii="宋体" w:hAnsi="宋体"/>
          <w:color w:val="000000"/>
          <w:szCs w:val="21"/>
        </w:rPr>
      </w:pPr>
      <w:r>
        <w:rPr>
          <w:rFonts w:ascii="宋体" w:hAnsi="宋体"/>
          <w:color w:val="000000"/>
          <w:szCs w:val="21"/>
        </w:rPr>
        <w:t>二、保证的方式及保证期间</w:t>
      </w:r>
    </w:p>
    <w:p>
      <w:pPr>
        <w:pStyle w:val="167"/>
        <w:spacing w:line="360" w:lineRule="auto"/>
        <w:ind w:firstLine="420" w:firstLineChars="200"/>
        <w:jc w:val="left"/>
        <w:rPr>
          <w:rFonts w:ascii="宋体" w:hAnsi="宋体"/>
          <w:color w:val="000000"/>
          <w:szCs w:val="21"/>
        </w:rPr>
      </w:pPr>
      <w:r>
        <w:rPr>
          <w:rFonts w:hint="eastAsia" w:ascii="宋体" w:hAnsi="宋体"/>
          <w:color w:val="000000"/>
          <w:szCs w:val="21"/>
        </w:rPr>
        <w:t xml:space="preserve">1. </w:t>
      </w:r>
      <w:r>
        <w:rPr>
          <w:rFonts w:ascii="宋体" w:hAnsi="宋体"/>
          <w:color w:val="000000"/>
          <w:szCs w:val="21"/>
        </w:rPr>
        <w:t>我方保证的方式为：连带责任保证。</w:t>
      </w:r>
    </w:p>
    <w:p>
      <w:pPr>
        <w:pStyle w:val="167"/>
        <w:spacing w:line="360" w:lineRule="auto"/>
        <w:ind w:firstLine="420" w:firstLineChars="200"/>
        <w:jc w:val="left"/>
        <w:rPr>
          <w:rFonts w:ascii="宋体" w:hAnsi="宋体"/>
          <w:color w:val="000000"/>
          <w:szCs w:val="21"/>
        </w:rPr>
      </w:pPr>
      <w:r>
        <w:rPr>
          <w:rFonts w:hint="eastAsia" w:ascii="宋体" w:hAnsi="宋体"/>
          <w:color w:val="000000"/>
          <w:szCs w:val="21"/>
        </w:rPr>
        <w:t xml:space="preserve">2. </w:t>
      </w:r>
      <w:r>
        <w:rPr>
          <w:rFonts w:ascii="宋体" w:hAnsi="宋体"/>
          <w:color w:val="000000"/>
          <w:szCs w:val="21"/>
        </w:rPr>
        <w:t>我方保证的期间为：自本合同生效之日起至主合同约定的工程款支付完毕之日后</w:t>
      </w:r>
      <w:r>
        <w:rPr>
          <w:rFonts w:ascii="宋体" w:hAnsi="宋体"/>
          <w:color w:val="000000"/>
          <w:szCs w:val="21"/>
          <w:u w:val="single"/>
        </w:rPr>
        <w:t xml:space="preserve">    </w:t>
      </w:r>
      <w:r>
        <w:rPr>
          <w:rFonts w:ascii="宋体" w:hAnsi="宋体"/>
          <w:color w:val="000000"/>
          <w:szCs w:val="21"/>
        </w:rPr>
        <w:t>日内。</w:t>
      </w:r>
    </w:p>
    <w:p>
      <w:pPr>
        <w:pStyle w:val="167"/>
        <w:spacing w:line="360" w:lineRule="auto"/>
        <w:ind w:firstLine="420" w:firstLineChars="200"/>
        <w:jc w:val="left"/>
        <w:rPr>
          <w:rFonts w:ascii="宋体" w:hAnsi="宋体"/>
          <w:color w:val="000000"/>
          <w:szCs w:val="21"/>
        </w:rPr>
      </w:pPr>
      <w:r>
        <w:rPr>
          <w:rFonts w:hint="eastAsia" w:ascii="宋体" w:hAnsi="宋体"/>
          <w:color w:val="000000"/>
          <w:szCs w:val="21"/>
        </w:rPr>
        <w:t xml:space="preserve">3. </w:t>
      </w:r>
      <w:r>
        <w:rPr>
          <w:rFonts w:ascii="宋体" w:hAnsi="宋体"/>
          <w:color w:val="000000"/>
          <w:szCs w:val="21"/>
        </w:rPr>
        <w:t>你方与发包人协议变更工程款支付日期的，经我方书面同意后，保证期间按照变更后的支付日期做相应调整。</w:t>
      </w:r>
    </w:p>
    <w:p>
      <w:pPr>
        <w:pStyle w:val="167"/>
        <w:spacing w:line="360" w:lineRule="auto"/>
        <w:ind w:firstLine="420" w:firstLineChars="200"/>
        <w:jc w:val="left"/>
        <w:rPr>
          <w:rFonts w:ascii="宋体" w:hAnsi="宋体"/>
          <w:color w:val="000000"/>
          <w:szCs w:val="21"/>
        </w:rPr>
      </w:pPr>
      <w:r>
        <w:rPr>
          <w:rFonts w:ascii="宋体" w:hAnsi="宋体"/>
          <w:color w:val="000000"/>
          <w:szCs w:val="21"/>
        </w:rPr>
        <w:t>三、承担保证责任的形式</w:t>
      </w:r>
    </w:p>
    <w:p>
      <w:pPr>
        <w:pStyle w:val="167"/>
        <w:spacing w:line="360" w:lineRule="auto"/>
        <w:ind w:firstLine="420" w:firstLineChars="200"/>
        <w:jc w:val="left"/>
        <w:rPr>
          <w:rFonts w:ascii="宋体" w:hAnsi="宋体"/>
          <w:color w:val="000000"/>
          <w:szCs w:val="21"/>
        </w:rPr>
      </w:pPr>
      <w:r>
        <w:rPr>
          <w:rFonts w:ascii="宋体" w:hAnsi="宋体"/>
          <w:color w:val="000000"/>
          <w:szCs w:val="21"/>
        </w:rPr>
        <w:t>我方承担保证责任的形式是代为支付。发包人未按主合同约定向你方支付工程款的，由我方在保证金额内代为支付。</w:t>
      </w:r>
    </w:p>
    <w:p>
      <w:pPr>
        <w:pStyle w:val="167"/>
        <w:spacing w:line="360" w:lineRule="auto"/>
        <w:ind w:firstLine="420" w:firstLineChars="200"/>
        <w:jc w:val="left"/>
        <w:rPr>
          <w:rFonts w:ascii="宋体" w:hAnsi="宋体"/>
          <w:color w:val="000000"/>
          <w:szCs w:val="21"/>
        </w:rPr>
      </w:pPr>
      <w:r>
        <w:rPr>
          <w:rFonts w:ascii="宋体" w:hAnsi="宋体"/>
          <w:color w:val="000000"/>
          <w:szCs w:val="21"/>
        </w:rPr>
        <w:t>四、代偿的安排</w:t>
      </w:r>
    </w:p>
    <w:p>
      <w:pPr>
        <w:pStyle w:val="167"/>
        <w:spacing w:line="360" w:lineRule="auto"/>
        <w:ind w:firstLine="420" w:firstLineChars="200"/>
        <w:jc w:val="left"/>
        <w:rPr>
          <w:rFonts w:ascii="宋体" w:hAnsi="宋体"/>
          <w:color w:val="000000"/>
          <w:szCs w:val="21"/>
        </w:rPr>
      </w:pPr>
      <w:r>
        <w:rPr>
          <w:rFonts w:hint="eastAsia" w:ascii="宋体" w:hAnsi="宋体"/>
          <w:color w:val="000000"/>
          <w:szCs w:val="21"/>
        </w:rPr>
        <w:t xml:space="preserve">1. </w:t>
      </w:r>
      <w:r>
        <w:rPr>
          <w:rFonts w:ascii="宋体" w:hAnsi="宋体"/>
          <w:color w:val="000000"/>
          <w:szCs w:val="21"/>
        </w:rPr>
        <w:t>你方要求我方承担保证责任的，应向我方发出书面索赔通知及发包人未支付主合同约定工程款的证明材料。索赔通知应写明要求索赔的金额，支付款项应到达的账号。</w:t>
      </w:r>
    </w:p>
    <w:p>
      <w:pPr>
        <w:pStyle w:val="167"/>
        <w:spacing w:line="360" w:lineRule="auto"/>
        <w:ind w:firstLine="420" w:firstLineChars="200"/>
        <w:jc w:val="left"/>
        <w:rPr>
          <w:rFonts w:ascii="宋体" w:hAnsi="宋体"/>
          <w:color w:val="000000"/>
          <w:szCs w:val="21"/>
        </w:rPr>
      </w:pPr>
      <w:r>
        <w:rPr>
          <w:rFonts w:hint="eastAsia" w:ascii="宋体" w:hAnsi="宋体"/>
          <w:color w:val="000000"/>
          <w:szCs w:val="21"/>
        </w:rPr>
        <w:t xml:space="preserve">2. </w:t>
      </w:r>
      <w:r>
        <w:rPr>
          <w:rFonts w:ascii="宋体" w:hAnsi="宋体"/>
          <w:color w:val="000000"/>
          <w:szCs w:val="21"/>
        </w:rPr>
        <w:t>在出现你方与发包人因工程质量发生争议，发包人拒绝向你方支付工程款的情形时，你方要求我方履行保证责任代为支付的，需提供符合相应条件要求的工程质量检测机构出具的质量说明材料。</w:t>
      </w:r>
    </w:p>
    <w:p>
      <w:pPr>
        <w:pStyle w:val="167"/>
        <w:spacing w:line="360" w:lineRule="auto"/>
        <w:ind w:firstLine="420" w:firstLineChars="200"/>
        <w:jc w:val="left"/>
        <w:rPr>
          <w:rFonts w:ascii="宋体" w:hAnsi="宋体"/>
          <w:color w:val="000000"/>
          <w:szCs w:val="21"/>
        </w:rPr>
      </w:pPr>
      <w:r>
        <w:rPr>
          <w:rFonts w:hint="eastAsia" w:ascii="宋体" w:hAnsi="宋体"/>
          <w:color w:val="000000"/>
          <w:szCs w:val="21"/>
        </w:rPr>
        <w:t xml:space="preserve">3. </w:t>
      </w:r>
      <w:r>
        <w:rPr>
          <w:rFonts w:ascii="宋体" w:hAnsi="宋体"/>
          <w:color w:val="000000"/>
          <w:szCs w:val="21"/>
        </w:rPr>
        <w:t>我方收到你方的书面索赔通知及相应的证明材料后７天内无条件支付。</w:t>
      </w:r>
    </w:p>
    <w:p>
      <w:pPr>
        <w:pStyle w:val="167"/>
        <w:spacing w:line="360" w:lineRule="auto"/>
        <w:ind w:firstLine="420" w:firstLineChars="200"/>
        <w:jc w:val="left"/>
        <w:rPr>
          <w:rFonts w:ascii="宋体" w:hAnsi="宋体"/>
          <w:color w:val="000000"/>
          <w:szCs w:val="21"/>
        </w:rPr>
      </w:pPr>
      <w:r>
        <w:rPr>
          <w:rFonts w:ascii="宋体" w:hAnsi="宋体"/>
          <w:color w:val="000000"/>
          <w:szCs w:val="21"/>
        </w:rPr>
        <w:t>五、保证责任的解除</w:t>
      </w:r>
    </w:p>
    <w:p>
      <w:pPr>
        <w:pStyle w:val="167"/>
        <w:spacing w:line="360" w:lineRule="auto"/>
        <w:ind w:firstLine="420" w:firstLineChars="200"/>
        <w:jc w:val="left"/>
        <w:rPr>
          <w:rFonts w:ascii="宋体" w:hAnsi="宋体"/>
          <w:color w:val="000000"/>
          <w:szCs w:val="21"/>
        </w:rPr>
      </w:pPr>
      <w:r>
        <w:rPr>
          <w:rFonts w:hint="eastAsia" w:ascii="宋体" w:hAnsi="宋体"/>
          <w:color w:val="000000"/>
          <w:szCs w:val="21"/>
        </w:rPr>
        <w:t xml:space="preserve">1. </w:t>
      </w:r>
      <w:r>
        <w:rPr>
          <w:rFonts w:ascii="宋体" w:hAnsi="宋体"/>
          <w:color w:val="000000"/>
          <w:szCs w:val="21"/>
        </w:rPr>
        <w:t>在本保函承诺的保证期间内，你方未书面向我方主张保证责任的，自保证期间届满次日起，我方保证责任解除。</w:t>
      </w:r>
    </w:p>
    <w:p>
      <w:pPr>
        <w:pStyle w:val="167"/>
        <w:spacing w:line="360" w:lineRule="auto"/>
        <w:ind w:firstLine="420" w:firstLineChars="200"/>
        <w:jc w:val="left"/>
        <w:rPr>
          <w:rFonts w:ascii="宋体" w:hAnsi="宋体"/>
          <w:color w:val="000000"/>
          <w:szCs w:val="21"/>
        </w:rPr>
      </w:pPr>
      <w:r>
        <w:rPr>
          <w:rFonts w:hint="eastAsia" w:ascii="宋体" w:hAnsi="宋体"/>
          <w:color w:val="000000"/>
          <w:szCs w:val="21"/>
        </w:rPr>
        <w:t xml:space="preserve">2. </w:t>
      </w:r>
      <w:r>
        <w:rPr>
          <w:rFonts w:ascii="宋体" w:hAnsi="宋体"/>
          <w:color w:val="000000"/>
          <w:szCs w:val="21"/>
        </w:rPr>
        <w:t>发包人按主合同约定履行了工程款的全部支付义务的，自本保函承诺的保证期间届满次日起，我方保证责任解除。</w:t>
      </w:r>
    </w:p>
    <w:p>
      <w:pPr>
        <w:pStyle w:val="167"/>
        <w:spacing w:line="360" w:lineRule="auto"/>
        <w:ind w:firstLine="420" w:firstLineChars="200"/>
        <w:jc w:val="left"/>
        <w:rPr>
          <w:rFonts w:ascii="宋体" w:hAnsi="宋体"/>
          <w:color w:val="000000"/>
          <w:szCs w:val="21"/>
        </w:rPr>
      </w:pPr>
      <w:r>
        <w:rPr>
          <w:rFonts w:hint="eastAsia" w:ascii="宋体" w:hAnsi="宋体"/>
          <w:color w:val="000000"/>
          <w:szCs w:val="21"/>
        </w:rPr>
        <w:t xml:space="preserve">3. </w:t>
      </w:r>
      <w:r>
        <w:rPr>
          <w:rFonts w:ascii="宋体" w:hAnsi="宋体"/>
          <w:color w:val="000000"/>
          <w:szCs w:val="21"/>
        </w:rPr>
        <w:t>我方按照本保函向你方履行保证责任所支付金额达到本保函保证金额时，自我方向你方支付（支付款项从我方账户划出）之日起，保证责任即解除。</w:t>
      </w:r>
    </w:p>
    <w:p>
      <w:pPr>
        <w:pStyle w:val="167"/>
        <w:spacing w:line="360" w:lineRule="auto"/>
        <w:ind w:firstLine="420" w:firstLineChars="200"/>
        <w:jc w:val="left"/>
        <w:rPr>
          <w:rFonts w:ascii="宋体" w:hAnsi="宋体"/>
          <w:color w:val="000000"/>
          <w:szCs w:val="21"/>
        </w:rPr>
      </w:pPr>
      <w:r>
        <w:rPr>
          <w:rFonts w:hint="eastAsia" w:ascii="宋体" w:hAnsi="宋体"/>
          <w:color w:val="000000"/>
          <w:szCs w:val="21"/>
        </w:rPr>
        <w:t xml:space="preserve">4. </w:t>
      </w:r>
      <w:r>
        <w:rPr>
          <w:rFonts w:ascii="宋体" w:hAnsi="宋体"/>
          <w:color w:val="000000"/>
          <w:szCs w:val="21"/>
        </w:rPr>
        <w:t>按照法律法规的规定或出现应解除我方保证责任的其他情形的，我方在本保函项下的保证责任亦解除。</w:t>
      </w:r>
    </w:p>
    <w:p>
      <w:pPr>
        <w:pStyle w:val="167"/>
        <w:spacing w:line="360" w:lineRule="auto"/>
        <w:jc w:val="left"/>
        <w:rPr>
          <w:rFonts w:ascii="宋体" w:hAnsi="宋体"/>
          <w:color w:val="000000"/>
          <w:szCs w:val="21"/>
        </w:rPr>
      </w:pPr>
    </w:p>
    <w:p>
      <w:pPr>
        <w:pStyle w:val="167"/>
        <w:spacing w:line="360" w:lineRule="auto"/>
        <w:ind w:firstLine="420" w:firstLineChars="200"/>
        <w:jc w:val="left"/>
        <w:rPr>
          <w:rFonts w:ascii="宋体" w:hAnsi="宋体"/>
          <w:color w:val="000000"/>
          <w:szCs w:val="21"/>
        </w:rPr>
      </w:pPr>
      <w:r>
        <w:rPr>
          <w:rFonts w:hint="eastAsia" w:ascii="宋体" w:hAnsi="宋体"/>
          <w:color w:val="000000"/>
          <w:szCs w:val="21"/>
        </w:rPr>
        <w:t xml:space="preserve">5. </w:t>
      </w:r>
      <w:r>
        <w:rPr>
          <w:rFonts w:ascii="宋体" w:hAnsi="宋体"/>
          <w:color w:val="000000"/>
          <w:szCs w:val="21"/>
        </w:rPr>
        <w:t>我方解除保证责任后，你方应自我方保证责任解除之日起</w:t>
      </w:r>
      <w:r>
        <w:rPr>
          <w:rFonts w:hint="eastAsia" w:ascii="宋体" w:hAnsi="宋体"/>
          <w:color w:val="000000"/>
          <w:szCs w:val="21"/>
          <w:u w:val="single"/>
        </w:rPr>
        <w:t xml:space="preserve">  </w:t>
      </w:r>
      <w:r>
        <w:rPr>
          <w:rFonts w:ascii="宋体" w:hAnsi="宋体"/>
          <w:color w:val="000000"/>
          <w:szCs w:val="21"/>
        </w:rPr>
        <w:t>个工作日内，将本保函原件返还我方。</w:t>
      </w:r>
    </w:p>
    <w:p>
      <w:pPr>
        <w:pStyle w:val="167"/>
        <w:spacing w:line="360" w:lineRule="auto"/>
        <w:ind w:firstLine="420" w:firstLineChars="200"/>
        <w:jc w:val="left"/>
        <w:rPr>
          <w:rFonts w:ascii="宋体" w:hAnsi="宋体"/>
          <w:color w:val="000000"/>
          <w:szCs w:val="21"/>
        </w:rPr>
      </w:pPr>
      <w:r>
        <w:rPr>
          <w:rFonts w:ascii="宋体" w:hAnsi="宋体"/>
          <w:color w:val="000000"/>
          <w:szCs w:val="21"/>
        </w:rPr>
        <w:t>六、免责条款</w:t>
      </w:r>
    </w:p>
    <w:p>
      <w:pPr>
        <w:pStyle w:val="167"/>
        <w:spacing w:line="360" w:lineRule="auto"/>
        <w:ind w:firstLine="420" w:firstLineChars="200"/>
        <w:jc w:val="left"/>
        <w:rPr>
          <w:rFonts w:ascii="宋体" w:hAnsi="宋体"/>
          <w:color w:val="000000"/>
          <w:szCs w:val="21"/>
        </w:rPr>
      </w:pPr>
      <w:r>
        <w:rPr>
          <w:rFonts w:hint="eastAsia" w:ascii="宋体" w:hAnsi="宋体"/>
          <w:color w:val="000000"/>
          <w:szCs w:val="21"/>
        </w:rPr>
        <w:t xml:space="preserve">1. </w:t>
      </w:r>
      <w:r>
        <w:rPr>
          <w:rFonts w:ascii="宋体" w:hAnsi="宋体"/>
          <w:color w:val="000000"/>
          <w:szCs w:val="21"/>
        </w:rPr>
        <w:t>因你方违约致使发包人不能履行义务的，我方不承担保证责任。</w:t>
      </w:r>
    </w:p>
    <w:p>
      <w:pPr>
        <w:pStyle w:val="167"/>
        <w:spacing w:line="360" w:lineRule="auto"/>
        <w:ind w:firstLine="420" w:firstLineChars="200"/>
        <w:jc w:val="left"/>
        <w:rPr>
          <w:rFonts w:ascii="宋体" w:hAnsi="宋体"/>
          <w:color w:val="000000"/>
          <w:szCs w:val="21"/>
        </w:rPr>
      </w:pPr>
      <w:r>
        <w:rPr>
          <w:rFonts w:hint="eastAsia" w:ascii="宋体" w:hAnsi="宋体"/>
          <w:color w:val="000000"/>
          <w:szCs w:val="21"/>
        </w:rPr>
        <w:t xml:space="preserve">2. </w:t>
      </w:r>
      <w:r>
        <w:rPr>
          <w:rFonts w:ascii="宋体" w:hAnsi="宋体"/>
          <w:color w:val="000000"/>
          <w:szCs w:val="21"/>
        </w:rPr>
        <w:t>依照法律法规的规定或你方与发包人的另行约定，免除发包人部分或全部义务的，我方亦免除其相应的保证责任。</w:t>
      </w:r>
    </w:p>
    <w:p>
      <w:pPr>
        <w:pStyle w:val="167"/>
        <w:spacing w:line="360" w:lineRule="auto"/>
        <w:ind w:firstLine="420" w:firstLineChars="200"/>
        <w:jc w:val="left"/>
        <w:rPr>
          <w:rFonts w:ascii="宋体" w:hAnsi="宋体"/>
          <w:color w:val="000000"/>
          <w:szCs w:val="21"/>
        </w:rPr>
      </w:pPr>
      <w:r>
        <w:rPr>
          <w:rFonts w:hint="eastAsia" w:ascii="宋体" w:hAnsi="宋体"/>
          <w:color w:val="000000"/>
          <w:szCs w:val="21"/>
        </w:rPr>
        <w:t xml:space="preserve">3. </w:t>
      </w:r>
      <w:r>
        <w:rPr>
          <w:rFonts w:ascii="宋体" w:hAnsi="宋体"/>
          <w:color w:val="000000"/>
          <w:szCs w:val="21"/>
        </w:rPr>
        <w:t>你方与发包人协议变更主合同的，如加重发包人责任致使我方保证责任加重的，需征得我方书面同意，否则我方不再承担因此而加重部分的保证责任，但主合同第10条</w:t>
      </w:r>
      <w:r>
        <w:rPr>
          <w:rFonts w:hint="eastAsia" w:ascii="宋体" w:hAnsi="宋体"/>
          <w:color w:val="000000"/>
          <w:szCs w:val="21"/>
        </w:rPr>
        <w:t>〔</w:t>
      </w:r>
      <w:r>
        <w:rPr>
          <w:rFonts w:ascii="宋体" w:hAnsi="宋体"/>
          <w:color w:val="000000"/>
          <w:szCs w:val="21"/>
        </w:rPr>
        <w:t>变更</w:t>
      </w:r>
      <w:r>
        <w:rPr>
          <w:rFonts w:hint="eastAsia" w:ascii="宋体" w:hAnsi="宋体"/>
          <w:color w:val="000000"/>
          <w:szCs w:val="21"/>
        </w:rPr>
        <w:t>〕</w:t>
      </w:r>
      <w:r>
        <w:rPr>
          <w:rFonts w:ascii="宋体" w:hAnsi="宋体"/>
          <w:color w:val="000000"/>
          <w:szCs w:val="21"/>
        </w:rPr>
        <w:t>约定的变更不受本款限制。</w:t>
      </w:r>
    </w:p>
    <w:p>
      <w:pPr>
        <w:pStyle w:val="167"/>
        <w:spacing w:line="360" w:lineRule="auto"/>
        <w:ind w:firstLine="420" w:firstLineChars="200"/>
        <w:jc w:val="left"/>
        <w:rPr>
          <w:rFonts w:ascii="宋体" w:hAnsi="宋体"/>
          <w:color w:val="000000"/>
          <w:szCs w:val="21"/>
        </w:rPr>
      </w:pPr>
      <w:r>
        <w:rPr>
          <w:rFonts w:hint="eastAsia" w:ascii="宋体" w:hAnsi="宋体"/>
          <w:color w:val="000000"/>
          <w:szCs w:val="21"/>
        </w:rPr>
        <w:t xml:space="preserve">4. </w:t>
      </w:r>
      <w:r>
        <w:rPr>
          <w:rFonts w:ascii="宋体" w:hAnsi="宋体"/>
          <w:color w:val="000000"/>
          <w:szCs w:val="21"/>
        </w:rPr>
        <w:t>因不可抗力造成发包人不能履行义务的，我方不承担保证责任。</w:t>
      </w:r>
    </w:p>
    <w:p>
      <w:pPr>
        <w:pStyle w:val="167"/>
        <w:spacing w:line="360" w:lineRule="auto"/>
        <w:ind w:firstLine="420" w:firstLineChars="200"/>
        <w:jc w:val="left"/>
        <w:rPr>
          <w:rFonts w:ascii="宋体" w:hAnsi="宋体"/>
          <w:color w:val="000000"/>
          <w:szCs w:val="21"/>
        </w:rPr>
      </w:pPr>
      <w:r>
        <w:rPr>
          <w:rFonts w:ascii="宋体" w:hAnsi="宋体"/>
          <w:color w:val="000000"/>
          <w:szCs w:val="21"/>
        </w:rPr>
        <w:t>七、争议解决</w:t>
      </w:r>
    </w:p>
    <w:p>
      <w:pPr>
        <w:pStyle w:val="167"/>
        <w:spacing w:after="120" w:line="360" w:lineRule="auto"/>
        <w:ind w:firstLine="420" w:firstLineChars="200"/>
        <w:rPr>
          <w:rFonts w:ascii="宋体" w:hAnsi="宋体"/>
          <w:color w:val="000000"/>
          <w:szCs w:val="21"/>
        </w:rPr>
      </w:pPr>
      <w:r>
        <w:rPr>
          <w:rFonts w:ascii="宋体" w:hAnsi="宋体"/>
          <w:color w:val="000000"/>
          <w:szCs w:val="21"/>
        </w:rPr>
        <w:t>因本保函</w:t>
      </w:r>
      <w:r>
        <w:rPr>
          <w:rFonts w:hint="eastAsia" w:ascii="宋体" w:hAnsi="宋体"/>
          <w:color w:val="000000"/>
          <w:szCs w:val="21"/>
        </w:rPr>
        <w:t>或本保函相关事项</w:t>
      </w:r>
      <w:r>
        <w:rPr>
          <w:rFonts w:ascii="宋体" w:hAnsi="宋体"/>
          <w:color w:val="000000"/>
          <w:szCs w:val="21"/>
        </w:rPr>
        <w:t>发生的纠纷，可由双方协商解决，协商不成的，按下列第</w:t>
      </w:r>
      <w:r>
        <w:rPr>
          <w:rFonts w:ascii="宋体" w:hAnsi="宋体"/>
          <w:color w:val="000000"/>
          <w:szCs w:val="21"/>
          <w:u w:val="single"/>
        </w:rPr>
        <w:t xml:space="preserve">     </w:t>
      </w:r>
      <w:r>
        <w:rPr>
          <w:rFonts w:ascii="宋体" w:hAnsi="宋体"/>
          <w:color w:val="000000"/>
          <w:szCs w:val="21"/>
        </w:rPr>
        <w:t>种方式</w:t>
      </w:r>
      <w:r>
        <w:rPr>
          <w:rFonts w:hint="eastAsia" w:ascii="宋体" w:hAnsi="宋体"/>
          <w:color w:val="000000"/>
          <w:szCs w:val="21"/>
        </w:rPr>
        <w:t>解</w:t>
      </w:r>
      <w:r>
        <w:rPr>
          <w:rFonts w:ascii="宋体" w:hAnsi="宋体"/>
          <w:color w:val="000000"/>
          <w:szCs w:val="21"/>
        </w:rPr>
        <w:t>决：</w:t>
      </w:r>
    </w:p>
    <w:p>
      <w:pPr>
        <w:pStyle w:val="167"/>
        <w:spacing w:line="360" w:lineRule="auto"/>
        <w:ind w:firstLine="420" w:firstLineChars="200"/>
        <w:jc w:val="left"/>
        <w:rPr>
          <w:rFonts w:ascii="宋体" w:hAnsi="宋体"/>
          <w:color w:val="000000"/>
          <w:szCs w:val="21"/>
        </w:rPr>
      </w:pPr>
      <w:r>
        <w:rPr>
          <w:rFonts w:ascii="宋体" w:hAnsi="宋体"/>
          <w:color w:val="000000"/>
          <w:szCs w:val="21"/>
        </w:rPr>
        <w:t>（1）向</w:t>
      </w:r>
      <w:r>
        <w:rPr>
          <w:rFonts w:ascii="宋体" w:hAnsi="宋体"/>
          <w:color w:val="000000"/>
          <w:szCs w:val="21"/>
          <w:u w:val="single"/>
        </w:rPr>
        <w:t xml:space="preserve">                     </w:t>
      </w:r>
      <w:r>
        <w:rPr>
          <w:rFonts w:ascii="宋体" w:hAnsi="宋体"/>
          <w:color w:val="000000"/>
          <w:szCs w:val="21"/>
        </w:rPr>
        <w:t>仲裁委员会申请仲裁；</w:t>
      </w:r>
    </w:p>
    <w:p>
      <w:pPr>
        <w:pStyle w:val="167"/>
        <w:spacing w:line="360" w:lineRule="auto"/>
        <w:ind w:firstLine="420" w:firstLineChars="200"/>
        <w:jc w:val="left"/>
        <w:rPr>
          <w:rFonts w:ascii="宋体" w:hAnsi="宋体"/>
          <w:color w:val="000000"/>
          <w:szCs w:val="21"/>
        </w:rPr>
      </w:pPr>
      <w:r>
        <w:rPr>
          <w:rFonts w:ascii="宋体" w:hAnsi="宋体"/>
          <w:color w:val="000000"/>
          <w:szCs w:val="21"/>
        </w:rPr>
        <w:t>（2）向</w:t>
      </w:r>
      <w:r>
        <w:rPr>
          <w:rFonts w:ascii="宋体" w:hAnsi="宋体"/>
          <w:color w:val="000000"/>
          <w:szCs w:val="21"/>
          <w:u w:val="single"/>
        </w:rPr>
        <w:t xml:space="preserve">                     </w:t>
      </w:r>
      <w:r>
        <w:rPr>
          <w:rFonts w:ascii="宋体" w:hAnsi="宋体"/>
          <w:color w:val="000000"/>
          <w:szCs w:val="21"/>
        </w:rPr>
        <w:t>人民法院起诉。</w:t>
      </w:r>
    </w:p>
    <w:p>
      <w:pPr>
        <w:pStyle w:val="167"/>
        <w:spacing w:line="360" w:lineRule="auto"/>
        <w:ind w:firstLine="420" w:firstLineChars="200"/>
        <w:jc w:val="left"/>
        <w:rPr>
          <w:rFonts w:ascii="宋体" w:hAnsi="宋体"/>
          <w:color w:val="000000"/>
          <w:szCs w:val="21"/>
        </w:rPr>
      </w:pPr>
      <w:r>
        <w:rPr>
          <w:rFonts w:ascii="宋体" w:hAnsi="宋体"/>
          <w:color w:val="000000"/>
          <w:szCs w:val="21"/>
        </w:rPr>
        <w:t>八、保函的生效</w:t>
      </w:r>
    </w:p>
    <w:p>
      <w:pPr>
        <w:pStyle w:val="167"/>
        <w:spacing w:line="360" w:lineRule="auto"/>
        <w:ind w:firstLine="420" w:firstLineChars="200"/>
        <w:jc w:val="left"/>
        <w:rPr>
          <w:rFonts w:ascii="宋体" w:hAnsi="宋体"/>
          <w:color w:val="000000"/>
          <w:szCs w:val="21"/>
        </w:rPr>
      </w:pPr>
      <w:r>
        <w:rPr>
          <w:rFonts w:ascii="宋体" w:hAnsi="宋体"/>
          <w:color w:val="000000"/>
          <w:szCs w:val="21"/>
        </w:rPr>
        <w:t>本保函自我方法定代表人（或其授权代理人）签字并加盖公章之日起生效。</w:t>
      </w:r>
    </w:p>
    <w:p>
      <w:pPr>
        <w:pStyle w:val="167"/>
        <w:spacing w:line="360" w:lineRule="auto"/>
        <w:ind w:firstLine="420" w:firstLineChars="200"/>
        <w:jc w:val="left"/>
        <w:rPr>
          <w:rFonts w:ascii="宋体" w:hAnsi="宋体"/>
          <w:color w:val="000000"/>
          <w:szCs w:val="21"/>
        </w:rPr>
      </w:pPr>
    </w:p>
    <w:p>
      <w:pPr>
        <w:pStyle w:val="167"/>
        <w:spacing w:line="360" w:lineRule="auto"/>
        <w:ind w:right="600"/>
        <w:jc w:val="left"/>
        <w:rPr>
          <w:rFonts w:ascii="宋体" w:hAnsi="宋体"/>
          <w:color w:val="000000"/>
          <w:szCs w:val="21"/>
        </w:rPr>
      </w:pPr>
      <w:r>
        <w:rPr>
          <w:rFonts w:ascii="宋体" w:hAnsi="宋体"/>
          <w:color w:val="000000"/>
          <w:szCs w:val="21"/>
        </w:rPr>
        <w:t>担保人：</w:t>
      </w:r>
      <w:r>
        <w:rPr>
          <w:rFonts w:ascii="宋体" w:hAnsi="宋体"/>
          <w:color w:val="000000"/>
          <w:szCs w:val="21"/>
          <w:u w:val="single"/>
        </w:rPr>
        <w:t xml:space="preserve">                                   </w:t>
      </w:r>
      <w:r>
        <w:rPr>
          <w:rFonts w:ascii="宋体" w:hAnsi="宋体"/>
          <w:color w:val="000000"/>
          <w:szCs w:val="21"/>
        </w:rPr>
        <w:t>（盖章）</w:t>
      </w:r>
    </w:p>
    <w:p>
      <w:pPr>
        <w:pStyle w:val="167"/>
        <w:spacing w:line="360" w:lineRule="auto"/>
        <w:ind w:right="1200"/>
        <w:rPr>
          <w:rFonts w:ascii="宋体" w:hAnsi="宋体"/>
          <w:color w:val="000000"/>
          <w:szCs w:val="21"/>
        </w:rPr>
      </w:pPr>
      <w:r>
        <w:rPr>
          <w:rFonts w:ascii="宋体" w:hAnsi="宋体"/>
          <w:color w:val="000000"/>
          <w:szCs w:val="21"/>
        </w:rPr>
        <w:t>法定代表人或委托代理人：</w:t>
      </w:r>
      <w:r>
        <w:rPr>
          <w:rFonts w:ascii="宋体" w:hAnsi="宋体"/>
          <w:color w:val="000000"/>
          <w:szCs w:val="21"/>
          <w:u w:val="single"/>
        </w:rPr>
        <w:t xml:space="preserve">                   </w:t>
      </w:r>
      <w:r>
        <w:rPr>
          <w:rFonts w:ascii="宋体" w:hAnsi="宋体"/>
          <w:color w:val="000000"/>
          <w:szCs w:val="21"/>
        </w:rPr>
        <w:t>（签字）</w:t>
      </w:r>
    </w:p>
    <w:p>
      <w:pPr>
        <w:pStyle w:val="167"/>
        <w:spacing w:line="360" w:lineRule="auto"/>
        <w:jc w:val="left"/>
        <w:rPr>
          <w:rFonts w:ascii="宋体" w:hAnsi="宋体"/>
          <w:color w:val="000000"/>
          <w:szCs w:val="21"/>
        </w:rPr>
      </w:pPr>
      <w:r>
        <w:rPr>
          <w:rFonts w:ascii="宋体" w:hAnsi="宋体"/>
          <w:color w:val="000000"/>
          <w:szCs w:val="21"/>
        </w:rPr>
        <w:t>地    址：</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jc w:val="left"/>
        <w:rPr>
          <w:rFonts w:ascii="宋体" w:hAnsi="宋体"/>
          <w:color w:val="000000"/>
          <w:szCs w:val="21"/>
        </w:rPr>
      </w:pPr>
      <w:r>
        <w:rPr>
          <w:rFonts w:ascii="宋体" w:hAnsi="宋体"/>
          <w:color w:val="000000"/>
          <w:szCs w:val="21"/>
        </w:rPr>
        <w:t>邮政编码：</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jc w:val="left"/>
        <w:rPr>
          <w:rFonts w:ascii="宋体" w:hAnsi="宋体"/>
          <w:color w:val="000000"/>
          <w:szCs w:val="21"/>
        </w:rPr>
      </w:pPr>
      <w:r>
        <w:rPr>
          <w:rFonts w:ascii="宋体" w:hAnsi="宋体"/>
          <w:color w:val="000000"/>
          <w:szCs w:val="21"/>
        </w:rPr>
        <w:t>传    真：</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p>
    <w:p>
      <w:pPr>
        <w:pStyle w:val="167"/>
        <w:spacing w:line="360" w:lineRule="auto"/>
        <w:ind w:right="150" w:firstLine="420" w:firstLineChars="200"/>
        <w:jc w:val="left"/>
        <w:rPr>
          <w:rFonts w:ascii="宋体" w:hAnsi="宋体"/>
          <w:color w:val="000000"/>
          <w:szCs w:val="21"/>
          <w:u w:val="single"/>
        </w:rPr>
      </w:pPr>
    </w:p>
    <w:p>
      <w:pPr>
        <w:pStyle w:val="167"/>
        <w:spacing w:line="360" w:lineRule="auto"/>
        <w:ind w:right="150" w:firstLine="420" w:firstLineChars="200"/>
        <w:jc w:val="left"/>
        <w:rPr>
          <w:rFonts w:ascii="宋体" w:hAnsi="宋体"/>
          <w:color w:val="000000"/>
          <w:szCs w:val="21"/>
        </w:rPr>
      </w:pPr>
      <w:r>
        <w:rPr>
          <w:rFonts w:ascii="宋体" w:hAnsi="宋体"/>
          <w:color w:val="000000"/>
          <w:szCs w:val="21"/>
        </w:rPr>
        <w:t xml:space="preserve">             </w:t>
      </w:r>
      <w:r>
        <w:rPr>
          <w:rFonts w:ascii="宋体" w:hAnsi="宋体"/>
          <w:color w:val="000000"/>
          <w:szCs w:val="21"/>
          <w:u w:val="single"/>
        </w:rPr>
        <w:t xml:space="preserve">               </w:t>
      </w:r>
      <w:r>
        <w:rPr>
          <w:rFonts w:ascii="宋体" w:hAnsi="宋体"/>
          <w:color w:val="000000"/>
          <w:szCs w:val="21"/>
        </w:rPr>
        <w:t>年</w:t>
      </w:r>
      <w:r>
        <w:rPr>
          <w:rFonts w:ascii="宋体" w:hAnsi="宋体"/>
          <w:color w:val="000000"/>
          <w:szCs w:val="21"/>
          <w:u w:val="single"/>
        </w:rPr>
        <w:t xml:space="preserve">      </w:t>
      </w:r>
      <w:r>
        <w:rPr>
          <w:rFonts w:ascii="宋体" w:hAnsi="宋体"/>
          <w:color w:val="000000"/>
          <w:szCs w:val="21"/>
        </w:rPr>
        <w:t>月</w:t>
      </w:r>
      <w:r>
        <w:rPr>
          <w:rFonts w:ascii="宋体" w:hAnsi="宋体"/>
          <w:color w:val="000000"/>
          <w:szCs w:val="21"/>
          <w:u w:val="single"/>
        </w:rPr>
        <w:t xml:space="preserve">      </w:t>
      </w:r>
      <w:r>
        <w:rPr>
          <w:rFonts w:ascii="宋体" w:hAnsi="宋体"/>
          <w:color w:val="000000"/>
          <w:szCs w:val="21"/>
        </w:rPr>
        <w:t>日</w:t>
      </w:r>
    </w:p>
    <w:p>
      <w:pPr>
        <w:pStyle w:val="167"/>
        <w:spacing w:line="440" w:lineRule="exact"/>
        <w:rPr>
          <w:rFonts w:ascii="宋体" w:hAnsi="宋体"/>
          <w:color w:val="000000"/>
          <w:sz w:val="30"/>
          <w:szCs w:val="30"/>
        </w:rPr>
      </w:pPr>
      <w:r>
        <w:rPr>
          <w:rFonts w:ascii="宋体" w:hAnsi="宋体"/>
          <w:color w:val="000000"/>
          <w:sz w:val="30"/>
          <w:szCs w:val="30"/>
        </w:rPr>
        <w:br w:type="page"/>
      </w:r>
      <w:r>
        <w:rPr>
          <w:rFonts w:ascii="宋体" w:hAnsi="宋体"/>
          <w:color w:val="000000"/>
          <w:sz w:val="30"/>
          <w:szCs w:val="30"/>
        </w:rPr>
        <w:t>附件11：</w:t>
      </w:r>
    </w:p>
    <w:p>
      <w:pPr>
        <w:pStyle w:val="167"/>
        <w:spacing w:line="440" w:lineRule="exact"/>
        <w:jc w:val="center"/>
        <w:rPr>
          <w:rFonts w:ascii="宋体" w:hAnsi="宋体"/>
          <w:color w:val="000000"/>
          <w:sz w:val="30"/>
          <w:szCs w:val="30"/>
        </w:rPr>
      </w:pPr>
      <w:r>
        <w:rPr>
          <w:rFonts w:ascii="宋体" w:hAnsi="宋体"/>
          <w:color w:val="000000"/>
          <w:sz w:val="30"/>
          <w:szCs w:val="30"/>
        </w:rPr>
        <w:t>11-1：材料暂估价表</w:t>
      </w:r>
    </w:p>
    <w:tbl>
      <w:tblPr>
        <w:tblStyle w:val="44"/>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序号</w:t>
            </w:r>
          </w:p>
        </w:tc>
        <w:tc>
          <w:tcPr>
            <w:tcW w:w="1984" w:type="dxa"/>
            <w:tcBorders>
              <w:top w:val="single" w:color="auto" w:sz="12" w:space="0"/>
              <w:bottom w:val="double" w:color="auto" w:sz="6" w:space="0"/>
            </w:tcBorders>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名称</w:t>
            </w:r>
          </w:p>
        </w:tc>
        <w:tc>
          <w:tcPr>
            <w:tcW w:w="851" w:type="dxa"/>
            <w:tcBorders>
              <w:top w:val="single" w:color="auto" w:sz="12" w:space="0"/>
              <w:bottom w:val="double" w:color="auto" w:sz="6" w:space="0"/>
            </w:tcBorders>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单位</w:t>
            </w:r>
          </w:p>
        </w:tc>
        <w:tc>
          <w:tcPr>
            <w:tcW w:w="774" w:type="dxa"/>
            <w:tcBorders>
              <w:top w:val="single" w:color="auto" w:sz="12" w:space="0"/>
              <w:bottom w:val="double" w:color="auto" w:sz="6" w:space="0"/>
            </w:tcBorders>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数量</w:t>
            </w:r>
          </w:p>
        </w:tc>
        <w:tc>
          <w:tcPr>
            <w:tcW w:w="1352" w:type="dxa"/>
            <w:tcBorders>
              <w:top w:val="single" w:color="auto" w:sz="12" w:space="0"/>
              <w:bottom w:val="double" w:color="auto" w:sz="6" w:space="0"/>
            </w:tcBorders>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单价</w:t>
            </w:r>
            <w:r>
              <w:rPr>
                <w:rFonts w:hint="eastAsia" w:ascii="宋体" w:hAnsi="宋体"/>
                <w:color w:val="000000"/>
                <w:sz w:val="28"/>
                <w:szCs w:val="30"/>
              </w:rPr>
              <w:t>（元）</w:t>
            </w:r>
          </w:p>
        </w:tc>
        <w:tc>
          <w:tcPr>
            <w:tcW w:w="1418" w:type="dxa"/>
            <w:tcBorders>
              <w:top w:val="single" w:color="auto" w:sz="12" w:space="0"/>
              <w:bottom w:val="double" w:color="auto" w:sz="6" w:space="0"/>
            </w:tcBorders>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合价</w:t>
            </w:r>
            <w:r>
              <w:rPr>
                <w:rFonts w:hint="eastAsia" w:ascii="宋体" w:hAnsi="宋体"/>
                <w:color w:val="000000"/>
                <w:sz w:val="28"/>
                <w:szCs w:val="30"/>
              </w:rPr>
              <w:t>（元）</w:t>
            </w:r>
          </w:p>
        </w:tc>
        <w:tc>
          <w:tcPr>
            <w:tcW w:w="1701" w:type="dxa"/>
            <w:tcBorders>
              <w:top w:val="single" w:color="auto" w:sz="12" w:space="0"/>
              <w:bottom w:val="double" w:color="auto" w:sz="6" w:space="0"/>
            </w:tcBorders>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tcBorders>
              <w:top w:val="double" w:color="auto" w:sz="6" w:space="0"/>
              <w:bottom w:val="single" w:color="auto" w:sz="6" w:space="0"/>
            </w:tcBorders>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tcBorders>
              <w:top w:val="double" w:color="auto" w:sz="6" w:space="0"/>
              <w:bottom w:val="single" w:color="auto" w:sz="6" w:space="0"/>
            </w:tcBorders>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tcBorders>
              <w:top w:val="double" w:color="auto" w:sz="6" w:space="0"/>
              <w:bottom w:val="single" w:color="auto" w:sz="6" w:space="0"/>
            </w:tcBorders>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tcBorders>
              <w:top w:val="double" w:color="auto" w:sz="6" w:space="0"/>
              <w:bottom w:val="single" w:color="auto" w:sz="6" w:space="0"/>
            </w:tcBorders>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tcBorders>
              <w:top w:val="double" w:color="auto" w:sz="6" w:space="0"/>
              <w:bottom w:val="single" w:color="auto" w:sz="6" w:space="0"/>
            </w:tcBorders>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tcBorders>
              <w:top w:val="double" w:color="auto" w:sz="6" w:space="0"/>
              <w:bottom w:val="single" w:color="auto" w:sz="6" w:space="0"/>
            </w:tcBorders>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tcBorders>
              <w:top w:val="nil"/>
            </w:tcBorders>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tcBorders>
              <w:top w:val="nil"/>
            </w:tcBorders>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tcBorders>
              <w:top w:val="nil"/>
            </w:tcBorders>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tcBorders>
              <w:top w:val="nil"/>
            </w:tcBorders>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tcBorders>
              <w:top w:val="nil"/>
            </w:tcBorders>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tcBorders>
              <w:top w:val="nil"/>
            </w:tcBorders>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bl>
    <w:p>
      <w:pPr>
        <w:pStyle w:val="167"/>
        <w:spacing w:before="156" w:beforeLines="50" w:after="156" w:afterLines="50" w:line="440" w:lineRule="exact"/>
        <w:rPr>
          <w:rFonts w:ascii="宋体" w:hAnsi="宋体"/>
          <w:color w:val="000000"/>
          <w:sz w:val="30"/>
          <w:szCs w:val="30"/>
        </w:rPr>
      </w:pPr>
    </w:p>
    <w:p>
      <w:pPr>
        <w:pStyle w:val="167"/>
        <w:spacing w:before="156" w:beforeLines="50" w:after="156" w:afterLines="50" w:line="440" w:lineRule="exact"/>
        <w:jc w:val="center"/>
        <w:rPr>
          <w:rFonts w:ascii="宋体" w:hAnsi="宋体"/>
          <w:color w:val="000000"/>
          <w:sz w:val="30"/>
          <w:szCs w:val="30"/>
        </w:rPr>
      </w:pPr>
      <w:r>
        <w:rPr>
          <w:rFonts w:ascii="宋体" w:hAnsi="宋体"/>
          <w:color w:val="000000"/>
          <w:sz w:val="30"/>
          <w:szCs w:val="30"/>
        </w:rPr>
        <w:t>11-2：工程设备暂估价表</w:t>
      </w:r>
    </w:p>
    <w:tbl>
      <w:tblPr>
        <w:tblStyle w:val="44"/>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序号</w:t>
            </w:r>
          </w:p>
        </w:tc>
        <w:tc>
          <w:tcPr>
            <w:tcW w:w="1984" w:type="dxa"/>
            <w:tcBorders>
              <w:top w:val="single" w:color="auto" w:sz="12" w:space="0"/>
              <w:bottom w:val="double" w:color="auto" w:sz="6" w:space="0"/>
            </w:tcBorders>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名称</w:t>
            </w:r>
          </w:p>
        </w:tc>
        <w:tc>
          <w:tcPr>
            <w:tcW w:w="851" w:type="dxa"/>
            <w:tcBorders>
              <w:top w:val="single" w:color="auto" w:sz="12" w:space="0"/>
              <w:bottom w:val="double" w:color="auto" w:sz="6" w:space="0"/>
            </w:tcBorders>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单位</w:t>
            </w:r>
          </w:p>
        </w:tc>
        <w:tc>
          <w:tcPr>
            <w:tcW w:w="774" w:type="dxa"/>
            <w:tcBorders>
              <w:top w:val="single" w:color="auto" w:sz="12" w:space="0"/>
              <w:bottom w:val="double" w:color="auto" w:sz="6" w:space="0"/>
            </w:tcBorders>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数量</w:t>
            </w:r>
          </w:p>
        </w:tc>
        <w:tc>
          <w:tcPr>
            <w:tcW w:w="1352" w:type="dxa"/>
            <w:tcBorders>
              <w:top w:val="single" w:color="auto" w:sz="12" w:space="0"/>
              <w:bottom w:val="double" w:color="auto" w:sz="6" w:space="0"/>
            </w:tcBorders>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单价</w:t>
            </w:r>
            <w:r>
              <w:rPr>
                <w:rFonts w:hint="eastAsia" w:ascii="宋体" w:hAnsi="宋体"/>
                <w:color w:val="000000"/>
                <w:sz w:val="28"/>
                <w:szCs w:val="30"/>
              </w:rPr>
              <w:t>（元）</w:t>
            </w:r>
          </w:p>
        </w:tc>
        <w:tc>
          <w:tcPr>
            <w:tcW w:w="1418" w:type="dxa"/>
            <w:tcBorders>
              <w:top w:val="single" w:color="auto" w:sz="12" w:space="0"/>
              <w:bottom w:val="double" w:color="auto" w:sz="6" w:space="0"/>
            </w:tcBorders>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合价</w:t>
            </w:r>
            <w:r>
              <w:rPr>
                <w:rFonts w:hint="eastAsia" w:ascii="宋体" w:hAnsi="宋体"/>
                <w:color w:val="000000"/>
                <w:sz w:val="28"/>
                <w:szCs w:val="30"/>
              </w:rPr>
              <w:t>（元）</w:t>
            </w:r>
          </w:p>
        </w:tc>
        <w:tc>
          <w:tcPr>
            <w:tcW w:w="1701" w:type="dxa"/>
            <w:tcBorders>
              <w:top w:val="single" w:color="auto" w:sz="12" w:space="0"/>
              <w:bottom w:val="double" w:color="auto" w:sz="6" w:space="0"/>
            </w:tcBorders>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r>
              <w:rPr>
                <w:rFonts w:ascii="宋体" w:hAnsi="宋体"/>
                <w:color w:val="000000"/>
                <w:sz w:val="28"/>
                <w:szCs w:val="30"/>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tcBorders>
              <w:top w:val="double" w:color="auto" w:sz="6" w:space="0"/>
              <w:bottom w:val="single" w:color="auto" w:sz="6" w:space="0"/>
            </w:tcBorders>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tcBorders>
              <w:top w:val="double" w:color="auto" w:sz="6" w:space="0"/>
              <w:bottom w:val="single" w:color="auto" w:sz="6" w:space="0"/>
            </w:tcBorders>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tcBorders>
              <w:top w:val="double" w:color="auto" w:sz="6" w:space="0"/>
              <w:bottom w:val="single" w:color="auto" w:sz="6" w:space="0"/>
            </w:tcBorders>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tcBorders>
              <w:top w:val="double" w:color="auto" w:sz="6" w:space="0"/>
              <w:bottom w:val="single" w:color="auto" w:sz="6" w:space="0"/>
            </w:tcBorders>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tcBorders>
              <w:top w:val="double" w:color="auto" w:sz="6" w:space="0"/>
              <w:bottom w:val="single" w:color="auto" w:sz="6" w:space="0"/>
            </w:tcBorders>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tcBorders>
              <w:top w:val="double" w:color="auto" w:sz="6" w:space="0"/>
              <w:bottom w:val="single" w:color="auto" w:sz="6" w:space="0"/>
            </w:tcBorders>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tcBorders>
              <w:top w:val="nil"/>
            </w:tcBorders>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tcBorders>
              <w:top w:val="nil"/>
            </w:tcBorders>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tcBorders>
              <w:top w:val="nil"/>
            </w:tcBorders>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tcBorders>
              <w:top w:val="nil"/>
            </w:tcBorders>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tcBorders>
              <w:top w:val="nil"/>
            </w:tcBorders>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tcBorders>
              <w:top w:val="nil"/>
            </w:tcBorders>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98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85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774"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352"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418"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c>
          <w:tcPr>
            <w:tcW w:w="1701" w:type="dxa"/>
            <w:noWrap w:val="0"/>
            <w:vAlign w:val="top"/>
          </w:tcPr>
          <w:p>
            <w:pPr>
              <w:pStyle w:val="167"/>
              <w:keepNext/>
              <w:adjustRightInd w:val="0"/>
              <w:spacing w:line="440" w:lineRule="exact"/>
              <w:ind w:left="63" w:leftChars="30" w:right="63" w:rightChars="30"/>
              <w:jc w:val="center"/>
              <w:textAlignment w:val="baseline"/>
              <w:rPr>
                <w:rFonts w:ascii="宋体" w:hAnsi="宋体"/>
                <w:color w:val="000000"/>
                <w:sz w:val="28"/>
                <w:szCs w:val="30"/>
              </w:rPr>
            </w:pPr>
          </w:p>
        </w:tc>
      </w:tr>
    </w:tbl>
    <w:p>
      <w:pPr>
        <w:pStyle w:val="167"/>
        <w:spacing w:before="156" w:beforeLines="50" w:after="156" w:afterLines="50" w:line="440" w:lineRule="exact"/>
        <w:jc w:val="center"/>
        <w:rPr>
          <w:rFonts w:ascii="宋体" w:hAnsi="宋体"/>
          <w:color w:val="000000"/>
          <w:sz w:val="30"/>
          <w:szCs w:val="30"/>
        </w:rPr>
      </w:pPr>
    </w:p>
    <w:p>
      <w:pPr>
        <w:pStyle w:val="167"/>
        <w:spacing w:before="156" w:beforeLines="50" w:after="156" w:afterLines="50" w:line="440" w:lineRule="exact"/>
        <w:jc w:val="center"/>
        <w:rPr>
          <w:rFonts w:ascii="宋体" w:hAnsi="宋体"/>
          <w:color w:val="000000"/>
          <w:sz w:val="30"/>
          <w:szCs w:val="30"/>
        </w:rPr>
      </w:pPr>
      <w:r>
        <w:rPr>
          <w:rFonts w:ascii="宋体" w:hAnsi="宋体"/>
          <w:color w:val="000000"/>
          <w:sz w:val="30"/>
          <w:szCs w:val="30"/>
        </w:rPr>
        <w:br w:type="page"/>
      </w:r>
      <w:r>
        <w:rPr>
          <w:rFonts w:ascii="宋体" w:hAnsi="宋体"/>
          <w:color w:val="000000"/>
          <w:sz w:val="30"/>
          <w:szCs w:val="30"/>
        </w:rPr>
        <w:t>11-3：专业工程暂估价表</w:t>
      </w:r>
    </w:p>
    <w:tbl>
      <w:tblPr>
        <w:tblStyle w:val="44"/>
        <w:tblW w:w="88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noWrap w:val="0"/>
            <w:vAlign w:val="top"/>
          </w:tcPr>
          <w:p>
            <w:pPr>
              <w:pStyle w:val="168"/>
              <w:keepNext/>
              <w:spacing w:after="0" w:line="440" w:lineRule="exact"/>
              <w:ind w:left="63" w:right="63"/>
              <w:rPr>
                <w:rFonts w:ascii="宋体" w:hAnsi="宋体"/>
                <w:color w:val="000000"/>
                <w:kern w:val="2"/>
                <w:sz w:val="28"/>
                <w:szCs w:val="30"/>
                <w:lang w:val="en-US" w:eastAsia="zh-CN"/>
              </w:rPr>
            </w:pPr>
            <w:r>
              <w:rPr>
                <w:rFonts w:ascii="宋体" w:hAnsi="宋体"/>
                <w:color w:val="000000"/>
                <w:kern w:val="2"/>
                <w:sz w:val="28"/>
                <w:szCs w:val="30"/>
                <w:lang w:val="en-US" w:eastAsia="zh-CN"/>
              </w:rPr>
              <w:t>序号</w:t>
            </w:r>
          </w:p>
        </w:tc>
        <w:tc>
          <w:tcPr>
            <w:tcW w:w="1984" w:type="dxa"/>
            <w:tcBorders>
              <w:top w:val="single" w:color="auto" w:sz="12" w:space="0"/>
              <w:bottom w:val="double" w:color="auto" w:sz="6" w:space="0"/>
            </w:tcBorders>
            <w:noWrap w:val="0"/>
            <w:vAlign w:val="top"/>
          </w:tcPr>
          <w:p>
            <w:pPr>
              <w:pStyle w:val="168"/>
              <w:keepNext/>
              <w:spacing w:after="0" w:line="440" w:lineRule="exact"/>
              <w:ind w:left="63" w:right="63"/>
              <w:rPr>
                <w:rFonts w:ascii="宋体" w:hAnsi="宋体"/>
                <w:color w:val="000000"/>
                <w:kern w:val="2"/>
                <w:sz w:val="28"/>
                <w:szCs w:val="30"/>
                <w:lang w:val="en-US" w:eastAsia="zh-CN"/>
              </w:rPr>
            </w:pPr>
            <w:r>
              <w:rPr>
                <w:rFonts w:ascii="宋体" w:hAnsi="宋体"/>
                <w:color w:val="000000"/>
                <w:kern w:val="2"/>
                <w:sz w:val="28"/>
                <w:szCs w:val="30"/>
                <w:lang w:val="en-US" w:eastAsia="zh-CN"/>
              </w:rPr>
              <w:t>专业工程名称</w:t>
            </w:r>
          </w:p>
        </w:tc>
        <w:tc>
          <w:tcPr>
            <w:tcW w:w="4678" w:type="dxa"/>
            <w:tcBorders>
              <w:top w:val="single" w:color="auto" w:sz="12" w:space="0"/>
              <w:bottom w:val="double" w:color="auto" w:sz="6" w:space="0"/>
            </w:tcBorders>
            <w:noWrap w:val="0"/>
            <w:vAlign w:val="top"/>
          </w:tcPr>
          <w:p>
            <w:pPr>
              <w:pStyle w:val="168"/>
              <w:keepNext/>
              <w:spacing w:after="0" w:line="440" w:lineRule="exact"/>
              <w:ind w:left="63" w:right="63"/>
              <w:rPr>
                <w:rFonts w:ascii="宋体" w:hAnsi="宋体"/>
                <w:color w:val="000000"/>
                <w:kern w:val="2"/>
                <w:sz w:val="28"/>
                <w:szCs w:val="30"/>
                <w:lang w:val="en-US" w:eastAsia="zh-CN"/>
              </w:rPr>
            </w:pPr>
            <w:r>
              <w:rPr>
                <w:rFonts w:ascii="宋体" w:hAnsi="宋体"/>
                <w:color w:val="000000"/>
                <w:kern w:val="2"/>
                <w:sz w:val="28"/>
                <w:szCs w:val="30"/>
                <w:lang w:val="en-US" w:eastAsia="zh-CN"/>
              </w:rPr>
              <w:t>工程内容</w:t>
            </w:r>
          </w:p>
        </w:tc>
        <w:tc>
          <w:tcPr>
            <w:tcW w:w="1276" w:type="dxa"/>
            <w:tcBorders>
              <w:top w:val="single" w:color="auto" w:sz="12" w:space="0"/>
              <w:bottom w:val="double" w:color="auto" w:sz="6" w:space="0"/>
            </w:tcBorders>
            <w:noWrap w:val="0"/>
            <w:vAlign w:val="top"/>
          </w:tcPr>
          <w:p>
            <w:pPr>
              <w:pStyle w:val="168"/>
              <w:keepNext/>
              <w:spacing w:after="0" w:line="440" w:lineRule="exact"/>
              <w:ind w:left="63" w:right="63"/>
              <w:rPr>
                <w:rFonts w:ascii="宋体" w:hAnsi="宋体"/>
                <w:color w:val="000000"/>
                <w:kern w:val="2"/>
                <w:sz w:val="28"/>
                <w:szCs w:val="30"/>
                <w:lang w:val="en-US" w:eastAsia="zh-CN"/>
              </w:rPr>
            </w:pPr>
            <w:r>
              <w:rPr>
                <w:rFonts w:ascii="宋体" w:hAnsi="宋体"/>
                <w:color w:val="000000"/>
                <w:kern w:val="2"/>
                <w:sz w:val="28"/>
                <w:szCs w:val="30"/>
                <w:lang w:val="en-US" w:eastAsia="zh-CN"/>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984" w:type="dxa"/>
            <w:tcBorders>
              <w:top w:val="double" w:color="auto" w:sz="6" w:space="0"/>
              <w:bottom w:val="single" w:color="auto" w:sz="6" w:space="0"/>
            </w:tcBorders>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4678" w:type="dxa"/>
            <w:tcBorders>
              <w:top w:val="double" w:color="auto" w:sz="6" w:space="0"/>
              <w:bottom w:val="single" w:color="auto" w:sz="6" w:space="0"/>
            </w:tcBorders>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276" w:type="dxa"/>
            <w:tcBorders>
              <w:top w:val="double" w:color="auto" w:sz="6" w:space="0"/>
              <w:bottom w:val="single" w:color="auto" w:sz="6" w:space="0"/>
            </w:tcBorders>
            <w:noWrap w:val="0"/>
            <w:vAlign w:val="top"/>
          </w:tcPr>
          <w:p>
            <w:pPr>
              <w:pStyle w:val="168"/>
              <w:keepNext/>
              <w:spacing w:after="0" w:line="440" w:lineRule="exact"/>
              <w:ind w:left="63" w:right="63"/>
              <w:rPr>
                <w:rFonts w:ascii="宋体" w:hAnsi="宋体"/>
                <w:color w:val="000000"/>
                <w:kern w:val="2"/>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984" w:type="dxa"/>
            <w:tcBorders>
              <w:top w:val="nil"/>
            </w:tcBorders>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4678" w:type="dxa"/>
            <w:tcBorders>
              <w:top w:val="nil"/>
            </w:tcBorders>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276" w:type="dxa"/>
            <w:tcBorders>
              <w:top w:val="nil"/>
            </w:tcBorders>
            <w:noWrap w:val="0"/>
            <w:vAlign w:val="top"/>
          </w:tcPr>
          <w:p>
            <w:pPr>
              <w:pStyle w:val="168"/>
              <w:keepNext/>
              <w:spacing w:after="0" w:line="440" w:lineRule="exact"/>
              <w:ind w:left="63" w:right="63"/>
              <w:rPr>
                <w:rFonts w:ascii="宋体" w:hAnsi="宋体"/>
                <w:color w:val="000000"/>
                <w:kern w:val="2"/>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984" w:type="dxa"/>
            <w:tcBorders>
              <w:top w:val="nil"/>
            </w:tcBorders>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4678" w:type="dxa"/>
            <w:tcBorders>
              <w:top w:val="nil"/>
            </w:tcBorders>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276" w:type="dxa"/>
            <w:tcBorders>
              <w:top w:val="nil"/>
            </w:tcBorders>
            <w:noWrap w:val="0"/>
            <w:vAlign w:val="top"/>
          </w:tcPr>
          <w:p>
            <w:pPr>
              <w:pStyle w:val="168"/>
              <w:keepNext/>
              <w:spacing w:after="0" w:line="440" w:lineRule="exact"/>
              <w:ind w:left="63" w:right="63"/>
              <w:rPr>
                <w:rFonts w:ascii="宋体" w:hAnsi="宋体"/>
                <w:color w:val="000000"/>
                <w:kern w:val="2"/>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984"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4678"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276"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984"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4678"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276"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984"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4678"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276"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984"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4678"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276"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984"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4678"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276"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984"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4678"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276"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984"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4678"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276"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984"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4678"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276"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984"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4678"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276"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984"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4678"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276"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984"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4678"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276"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984"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4678"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276"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984"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4678"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276"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984"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4678"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276"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984"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4678"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276"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984"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4678"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276"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984"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4678"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276"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984"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4678"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276"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984"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4678"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c>
          <w:tcPr>
            <w:tcW w:w="1276" w:type="dxa"/>
            <w:noWrap w:val="0"/>
            <w:vAlign w:val="top"/>
          </w:tcPr>
          <w:p>
            <w:pPr>
              <w:pStyle w:val="168"/>
              <w:keepNext/>
              <w:spacing w:after="0" w:line="440" w:lineRule="exact"/>
              <w:ind w:left="63" w:right="63"/>
              <w:rPr>
                <w:rFonts w:ascii="宋体" w:hAnsi="宋体"/>
                <w:color w:val="000000"/>
                <w:kern w:val="2"/>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noWrap w:val="0"/>
            <w:vAlign w:val="top"/>
          </w:tcPr>
          <w:p>
            <w:pPr>
              <w:pStyle w:val="168"/>
              <w:keepNext/>
              <w:spacing w:after="0" w:line="440" w:lineRule="exact"/>
              <w:ind w:left="63" w:right="63"/>
              <w:rPr>
                <w:rFonts w:ascii="宋体" w:hAnsi="宋体"/>
                <w:color w:val="000000"/>
                <w:kern w:val="2"/>
                <w:sz w:val="21"/>
                <w:szCs w:val="21"/>
                <w:lang w:val="en-US" w:eastAsia="zh-CN"/>
              </w:rPr>
            </w:pPr>
            <w:r>
              <w:rPr>
                <w:rFonts w:ascii="宋体" w:hAnsi="宋体"/>
                <w:color w:val="000000"/>
                <w:kern w:val="2"/>
                <w:sz w:val="28"/>
                <w:szCs w:val="30"/>
                <w:lang w:val="en-US" w:eastAsia="zh-CN"/>
              </w:rPr>
              <w:t>小计：</w:t>
            </w:r>
          </w:p>
        </w:tc>
      </w:tr>
    </w:tbl>
    <w:p>
      <w:pPr>
        <w:pStyle w:val="167"/>
        <w:rPr>
          <w:rFonts w:hint="eastAsia" w:ascii="宋体" w:hAnsi="宋体"/>
          <w:color w:val="000000"/>
          <w:szCs w:val="22"/>
        </w:rPr>
      </w:pPr>
    </w:p>
    <w:p>
      <w:pPr>
        <w:pStyle w:val="2"/>
        <w:jc w:val="center"/>
      </w:pPr>
    </w:p>
    <w:p/>
    <w:p>
      <w:pPr>
        <w:pStyle w:val="2"/>
        <w:jc w:val="center"/>
      </w:pPr>
      <w:bookmarkStart w:id="1005" w:name="_Toc20368"/>
      <w:r>
        <w:t>第</w:t>
      </w:r>
      <w:r>
        <w:rPr>
          <w:rFonts w:hint="eastAsia"/>
        </w:rPr>
        <w:t>五</w:t>
      </w:r>
      <w:r>
        <w:t>章  工程量清单</w:t>
      </w:r>
      <w:bookmarkEnd w:id="383"/>
      <w:bookmarkEnd w:id="384"/>
      <w:bookmarkEnd w:id="385"/>
      <w:bookmarkEnd w:id="386"/>
      <w:bookmarkEnd w:id="387"/>
      <w:bookmarkEnd w:id="388"/>
      <w:bookmarkEnd w:id="389"/>
      <w:bookmarkEnd w:id="1005"/>
    </w:p>
    <w:p>
      <w:bookmarkStart w:id="1006" w:name="_Toc152045773"/>
      <w:bookmarkStart w:id="1007" w:name="_Toc179632790"/>
      <w:bookmarkStart w:id="1008" w:name="_Toc152042555"/>
      <w:bookmarkStart w:id="1009" w:name="_Toc144974835"/>
      <w:bookmarkStart w:id="1010" w:name="_Toc276025335"/>
      <w:bookmarkStart w:id="1011" w:name="_Toc263777216"/>
      <w:bookmarkStart w:id="1012" w:name="_Toc267475117"/>
      <w:r>
        <w:t xml:space="preserve">1. </w:t>
      </w:r>
      <w:bookmarkEnd w:id="1006"/>
      <w:bookmarkEnd w:id="1007"/>
      <w:bookmarkEnd w:id="1008"/>
      <w:bookmarkEnd w:id="1009"/>
      <w:r>
        <w:rPr>
          <w:rFonts w:hint="eastAsia"/>
        </w:rPr>
        <w:t>工程量清单的说明及投标报价要求</w:t>
      </w:r>
      <w:bookmarkEnd w:id="1010"/>
      <w:bookmarkEnd w:id="1011"/>
      <w:bookmarkEnd w:id="1012"/>
    </w:p>
    <w:p>
      <w:pPr>
        <w:spacing w:line="360" w:lineRule="auto"/>
        <w:ind w:firstLine="420"/>
      </w:pPr>
      <w:r>
        <w:rPr>
          <w:rFonts w:hint="eastAsia"/>
        </w:rPr>
        <w:t>按现行规范和计价规定。</w:t>
      </w:r>
    </w:p>
    <w:p>
      <w:bookmarkStart w:id="1013" w:name="_Toc179632792"/>
      <w:bookmarkStart w:id="1014" w:name="_Toc263777217"/>
      <w:bookmarkStart w:id="1015" w:name="_Toc267475118"/>
      <w:bookmarkStart w:id="1016" w:name="_Toc276025336"/>
      <w:bookmarkStart w:id="1017" w:name="_Toc152045775"/>
      <w:bookmarkStart w:id="1018" w:name="_Toc152042557"/>
      <w:bookmarkStart w:id="1019" w:name="_Toc144974837"/>
      <w:r>
        <w:rPr>
          <w:rFonts w:hint="eastAsia"/>
        </w:rPr>
        <w:t>2</w:t>
      </w:r>
      <w:r>
        <w:t>. 其他说明</w:t>
      </w:r>
      <w:bookmarkEnd w:id="1013"/>
      <w:bookmarkEnd w:id="1014"/>
      <w:bookmarkEnd w:id="1015"/>
      <w:bookmarkEnd w:id="1016"/>
    </w:p>
    <w:p>
      <w:pPr>
        <w:spacing w:line="360" w:lineRule="auto"/>
        <w:ind w:firstLine="420"/>
        <w:rPr>
          <w:rFonts w:hint="eastAsia" w:ascii="宋体" w:hAnsi="宋体"/>
        </w:rPr>
      </w:pPr>
      <w:r>
        <w:rPr>
          <w:rFonts w:hint="eastAsia" w:ascii="宋体" w:hAnsi="宋体"/>
        </w:rPr>
        <w:t>招标人可自行添加。</w:t>
      </w:r>
      <w:bookmarkEnd w:id="1017"/>
      <w:bookmarkEnd w:id="1018"/>
      <w:bookmarkEnd w:id="1019"/>
    </w:p>
    <w:p>
      <w:pPr>
        <w:spacing w:line="360" w:lineRule="auto"/>
      </w:pPr>
      <w:r>
        <w:rPr>
          <w:rFonts w:hint="eastAsia" w:ascii="宋体" w:hAnsi="宋体"/>
          <w:lang w:val="en-US" w:eastAsia="zh-CN"/>
        </w:rPr>
        <w:t>3.工程量清单见系统附件</w:t>
      </w:r>
      <w:r>
        <w:br w:type="page"/>
      </w:r>
    </w:p>
    <w:p>
      <w:pPr>
        <w:pStyle w:val="2"/>
        <w:jc w:val="center"/>
      </w:pPr>
      <w:bookmarkStart w:id="1020" w:name="_Toc276025338"/>
      <w:bookmarkStart w:id="1021" w:name="_Toc263777219"/>
      <w:bookmarkStart w:id="1022" w:name="_Toc267475120"/>
      <w:bookmarkStart w:id="1023" w:name="_Toc21511"/>
      <w:r>
        <w:rPr>
          <w:rFonts w:hint="eastAsia"/>
        </w:rPr>
        <w:t>第六章图纸</w:t>
      </w:r>
      <w:bookmarkEnd w:id="1020"/>
      <w:bookmarkEnd w:id="1021"/>
      <w:bookmarkEnd w:id="1022"/>
      <w:bookmarkEnd w:id="1023"/>
    </w:p>
    <w:p>
      <w:bookmarkStart w:id="1024" w:name="_Toc267475121"/>
      <w:bookmarkStart w:id="1025" w:name="_Toc276025339"/>
      <w:bookmarkStart w:id="1026" w:name="_Toc42392988"/>
      <w:bookmarkStart w:id="1027" w:name="_Toc263777220"/>
      <w:r>
        <w:rPr>
          <w:rFonts w:hint="eastAsia"/>
        </w:rPr>
        <w:t>1. 图纸清单</w:t>
      </w:r>
      <w:bookmarkEnd w:id="1024"/>
      <w:bookmarkEnd w:id="1025"/>
      <w:bookmarkEnd w:id="1026"/>
      <w:bookmarkEnd w:id="1027"/>
    </w:p>
    <w:p>
      <w:pPr>
        <w:pStyle w:val="24"/>
        <w:spacing w:line="360" w:lineRule="auto"/>
      </w:pPr>
      <w:r>
        <w:rPr>
          <w:rFonts w:hint="eastAsia"/>
        </w:rPr>
        <w:t>设计人：                                   第页 共页</w:t>
      </w:r>
    </w:p>
    <w:tbl>
      <w:tblPr>
        <w:tblStyle w:val="44"/>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00"/>
        <w:gridCol w:w="3600"/>
        <w:gridCol w:w="10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00" w:type="dxa"/>
            <w:vAlign w:val="center"/>
          </w:tcPr>
          <w:p>
            <w:pPr>
              <w:pStyle w:val="24"/>
              <w:spacing w:line="360" w:lineRule="auto"/>
              <w:jc w:val="center"/>
            </w:pPr>
            <w:r>
              <w:rPr>
                <w:rFonts w:hint="eastAsia"/>
              </w:rPr>
              <w:t>序号</w:t>
            </w:r>
          </w:p>
        </w:tc>
        <w:tc>
          <w:tcPr>
            <w:tcW w:w="1800" w:type="dxa"/>
            <w:vAlign w:val="center"/>
          </w:tcPr>
          <w:p>
            <w:pPr>
              <w:pStyle w:val="24"/>
              <w:spacing w:line="360" w:lineRule="auto"/>
              <w:jc w:val="center"/>
            </w:pPr>
            <w:r>
              <w:rPr>
                <w:rFonts w:hint="eastAsia"/>
              </w:rPr>
              <w:t>图  号</w:t>
            </w:r>
          </w:p>
        </w:tc>
        <w:tc>
          <w:tcPr>
            <w:tcW w:w="3600" w:type="dxa"/>
            <w:vAlign w:val="center"/>
          </w:tcPr>
          <w:p>
            <w:pPr>
              <w:pStyle w:val="24"/>
              <w:spacing w:line="360" w:lineRule="auto"/>
              <w:jc w:val="center"/>
            </w:pPr>
            <w:r>
              <w:rPr>
                <w:rFonts w:hint="eastAsia"/>
              </w:rPr>
              <w:t>图纸名称</w:t>
            </w:r>
          </w:p>
        </w:tc>
        <w:tc>
          <w:tcPr>
            <w:tcW w:w="1080" w:type="dxa"/>
            <w:vAlign w:val="center"/>
          </w:tcPr>
          <w:p>
            <w:pPr>
              <w:pStyle w:val="24"/>
              <w:spacing w:line="360" w:lineRule="auto"/>
              <w:jc w:val="center"/>
            </w:pPr>
            <w:r>
              <w:rPr>
                <w:rFonts w:hint="eastAsia"/>
              </w:rPr>
              <w:t>日  期</w:t>
            </w:r>
          </w:p>
        </w:tc>
        <w:tc>
          <w:tcPr>
            <w:tcW w:w="1260" w:type="dxa"/>
            <w:vAlign w:val="center"/>
          </w:tcPr>
          <w:p>
            <w:pPr>
              <w:pStyle w:val="24"/>
              <w:spacing w:line="360" w:lineRule="auto"/>
              <w:jc w:val="center"/>
            </w:pPr>
            <w:r>
              <w:rPr>
                <w:rFonts w:hint="eastAsi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4"/>
              <w:spacing w:line="360" w:lineRule="auto"/>
            </w:pPr>
            <w:bookmarkStart w:id="1028" w:name="图纸清单" w:colFirst="0" w:colLast="4"/>
          </w:p>
        </w:tc>
        <w:tc>
          <w:tcPr>
            <w:tcW w:w="1800" w:type="dxa"/>
          </w:tcPr>
          <w:p>
            <w:pPr>
              <w:pStyle w:val="24"/>
              <w:spacing w:line="360" w:lineRule="auto"/>
            </w:pPr>
          </w:p>
        </w:tc>
        <w:tc>
          <w:tcPr>
            <w:tcW w:w="3600" w:type="dxa"/>
          </w:tcPr>
          <w:p>
            <w:pPr>
              <w:pStyle w:val="24"/>
              <w:spacing w:line="360" w:lineRule="auto"/>
            </w:pPr>
          </w:p>
        </w:tc>
        <w:tc>
          <w:tcPr>
            <w:tcW w:w="1080" w:type="dxa"/>
          </w:tcPr>
          <w:p>
            <w:pPr>
              <w:pStyle w:val="24"/>
              <w:spacing w:line="360" w:lineRule="auto"/>
            </w:pPr>
          </w:p>
        </w:tc>
        <w:tc>
          <w:tcPr>
            <w:tcW w:w="1260" w:type="dxa"/>
          </w:tcPr>
          <w:p>
            <w:pPr>
              <w:pStyle w:val="2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4"/>
              <w:spacing w:line="360" w:lineRule="auto"/>
            </w:pPr>
          </w:p>
        </w:tc>
        <w:tc>
          <w:tcPr>
            <w:tcW w:w="1800" w:type="dxa"/>
          </w:tcPr>
          <w:p>
            <w:pPr>
              <w:pStyle w:val="24"/>
              <w:spacing w:line="360" w:lineRule="auto"/>
            </w:pPr>
          </w:p>
        </w:tc>
        <w:tc>
          <w:tcPr>
            <w:tcW w:w="3600" w:type="dxa"/>
          </w:tcPr>
          <w:p>
            <w:pPr>
              <w:pStyle w:val="24"/>
              <w:spacing w:line="360" w:lineRule="auto"/>
            </w:pPr>
          </w:p>
        </w:tc>
        <w:tc>
          <w:tcPr>
            <w:tcW w:w="1080" w:type="dxa"/>
          </w:tcPr>
          <w:p>
            <w:pPr>
              <w:pStyle w:val="24"/>
              <w:spacing w:line="360" w:lineRule="auto"/>
            </w:pPr>
          </w:p>
        </w:tc>
        <w:tc>
          <w:tcPr>
            <w:tcW w:w="1260" w:type="dxa"/>
          </w:tcPr>
          <w:p>
            <w:pPr>
              <w:pStyle w:val="2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4"/>
              <w:spacing w:line="360" w:lineRule="auto"/>
            </w:pPr>
          </w:p>
        </w:tc>
        <w:tc>
          <w:tcPr>
            <w:tcW w:w="1800" w:type="dxa"/>
          </w:tcPr>
          <w:p>
            <w:pPr>
              <w:pStyle w:val="24"/>
              <w:spacing w:line="360" w:lineRule="auto"/>
            </w:pPr>
          </w:p>
        </w:tc>
        <w:tc>
          <w:tcPr>
            <w:tcW w:w="3600" w:type="dxa"/>
          </w:tcPr>
          <w:p>
            <w:pPr>
              <w:pStyle w:val="24"/>
              <w:spacing w:line="360" w:lineRule="auto"/>
            </w:pPr>
          </w:p>
        </w:tc>
        <w:tc>
          <w:tcPr>
            <w:tcW w:w="1080" w:type="dxa"/>
          </w:tcPr>
          <w:p>
            <w:pPr>
              <w:pStyle w:val="24"/>
              <w:spacing w:line="360" w:lineRule="auto"/>
            </w:pPr>
          </w:p>
        </w:tc>
        <w:tc>
          <w:tcPr>
            <w:tcW w:w="1260" w:type="dxa"/>
          </w:tcPr>
          <w:p>
            <w:pPr>
              <w:pStyle w:val="2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4"/>
              <w:spacing w:line="360" w:lineRule="auto"/>
            </w:pPr>
          </w:p>
        </w:tc>
        <w:tc>
          <w:tcPr>
            <w:tcW w:w="1800" w:type="dxa"/>
          </w:tcPr>
          <w:p>
            <w:pPr>
              <w:pStyle w:val="24"/>
              <w:spacing w:line="360" w:lineRule="auto"/>
            </w:pPr>
          </w:p>
        </w:tc>
        <w:tc>
          <w:tcPr>
            <w:tcW w:w="3600" w:type="dxa"/>
          </w:tcPr>
          <w:p>
            <w:pPr>
              <w:pStyle w:val="24"/>
              <w:spacing w:line="360" w:lineRule="auto"/>
            </w:pPr>
          </w:p>
        </w:tc>
        <w:tc>
          <w:tcPr>
            <w:tcW w:w="1080" w:type="dxa"/>
          </w:tcPr>
          <w:p>
            <w:pPr>
              <w:pStyle w:val="24"/>
              <w:spacing w:line="360" w:lineRule="auto"/>
            </w:pPr>
          </w:p>
        </w:tc>
        <w:tc>
          <w:tcPr>
            <w:tcW w:w="1260" w:type="dxa"/>
          </w:tcPr>
          <w:p>
            <w:pPr>
              <w:pStyle w:val="2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4"/>
              <w:spacing w:line="360" w:lineRule="auto"/>
            </w:pPr>
          </w:p>
        </w:tc>
        <w:tc>
          <w:tcPr>
            <w:tcW w:w="1800" w:type="dxa"/>
          </w:tcPr>
          <w:p>
            <w:pPr>
              <w:pStyle w:val="24"/>
              <w:spacing w:line="360" w:lineRule="auto"/>
            </w:pPr>
          </w:p>
        </w:tc>
        <w:tc>
          <w:tcPr>
            <w:tcW w:w="3600" w:type="dxa"/>
          </w:tcPr>
          <w:p>
            <w:pPr>
              <w:pStyle w:val="24"/>
              <w:spacing w:line="360" w:lineRule="auto"/>
            </w:pPr>
          </w:p>
        </w:tc>
        <w:tc>
          <w:tcPr>
            <w:tcW w:w="1080" w:type="dxa"/>
          </w:tcPr>
          <w:p>
            <w:pPr>
              <w:pStyle w:val="24"/>
              <w:spacing w:line="360" w:lineRule="auto"/>
            </w:pPr>
          </w:p>
        </w:tc>
        <w:tc>
          <w:tcPr>
            <w:tcW w:w="1260" w:type="dxa"/>
          </w:tcPr>
          <w:p>
            <w:pPr>
              <w:pStyle w:val="2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4"/>
              <w:spacing w:line="360" w:lineRule="auto"/>
            </w:pPr>
          </w:p>
        </w:tc>
        <w:tc>
          <w:tcPr>
            <w:tcW w:w="1800" w:type="dxa"/>
          </w:tcPr>
          <w:p>
            <w:pPr>
              <w:pStyle w:val="24"/>
              <w:spacing w:line="360" w:lineRule="auto"/>
            </w:pPr>
          </w:p>
        </w:tc>
        <w:tc>
          <w:tcPr>
            <w:tcW w:w="3600" w:type="dxa"/>
          </w:tcPr>
          <w:p>
            <w:pPr>
              <w:pStyle w:val="24"/>
              <w:spacing w:line="360" w:lineRule="auto"/>
            </w:pPr>
          </w:p>
        </w:tc>
        <w:tc>
          <w:tcPr>
            <w:tcW w:w="1080" w:type="dxa"/>
          </w:tcPr>
          <w:p>
            <w:pPr>
              <w:pStyle w:val="24"/>
              <w:spacing w:line="360" w:lineRule="auto"/>
            </w:pPr>
          </w:p>
        </w:tc>
        <w:tc>
          <w:tcPr>
            <w:tcW w:w="1260" w:type="dxa"/>
          </w:tcPr>
          <w:p>
            <w:pPr>
              <w:pStyle w:val="2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4"/>
              <w:spacing w:line="360" w:lineRule="auto"/>
            </w:pPr>
          </w:p>
        </w:tc>
        <w:tc>
          <w:tcPr>
            <w:tcW w:w="1800" w:type="dxa"/>
          </w:tcPr>
          <w:p>
            <w:pPr>
              <w:pStyle w:val="24"/>
              <w:spacing w:line="360" w:lineRule="auto"/>
            </w:pPr>
          </w:p>
        </w:tc>
        <w:tc>
          <w:tcPr>
            <w:tcW w:w="3600" w:type="dxa"/>
          </w:tcPr>
          <w:p>
            <w:pPr>
              <w:pStyle w:val="24"/>
              <w:spacing w:line="360" w:lineRule="auto"/>
            </w:pPr>
          </w:p>
        </w:tc>
        <w:tc>
          <w:tcPr>
            <w:tcW w:w="1080" w:type="dxa"/>
          </w:tcPr>
          <w:p>
            <w:pPr>
              <w:pStyle w:val="24"/>
              <w:spacing w:line="360" w:lineRule="auto"/>
            </w:pPr>
          </w:p>
        </w:tc>
        <w:tc>
          <w:tcPr>
            <w:tcW w:w="1260" w:type="dxa"/>
          </w:tcPr>
          <w:p>
            <w:pPr>
              <w:pStyle w:val="2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4"/>
              <w:spacing w:line="360" w:lineRule="auto"/>
            </w:pPr>
          </w:p>
        </w:tc>
        <w:tc>
          <w:tcPr>
            <w:tcW w:w="1800" w:type="dxa"/>
          </w:tcPr>
          <w:p>
            <w:pPr>
              <w:pStyle w:val="24"/>
              <w:spacing w:line="360" w:lineRule="auto"/>
            </w:pPr>
          </w:p>
        </w:tc>
        <w:tc>
          <w:tcPr>
            <w:tcW w:w="3600" w:type="dxa"/>
          </w:tcPr>
          <w:p>
            <w:pPr>
              <w:pStyle w:val="24"/>
              <w:spacing w:line="360" w:lineRule="auto"/>
            </w:pPr>
          </w:p>
        </w:tc>
        <w:tc>
          <w:tcPr>
            <w:tcW w:w="1080" w:type="dxa"/>
          </w:tcPr>
          <w:p>
            <w:pPr>
              <w:pStyle w:val="24"/>
              <w:spacing w:line="360" w:lineRule="auto"/>
            </w:pPr>
          </w:p>
        </w:tc>
        <w:tc>
          <w:tcPr>
            <w:tcW w:w="1260" w:type="dxa"/>
          </w:tcPr>
          <w:p>
            <w:pPr>
              <w:pStyle w:val="2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4"/>
              <w:spacing w:line="360" w:lineRule="auto"/>
            </w:pPr>
          </w:p>
        </w:tc>
        <w:tc>
          <w:tcPr>
            <w:tcW w:w="1800" w:type="dxa"/>
          </w:tcPr>
          <w:p>
            <w:pPr>
              <w:pStyle w:val="24"/>
              <w:spacing w:line="360" w:lineRule="auto"/>
            </w:pPr>
          </w:p>
        </w:tc>
        <w:tc>
          <w:tcPr>
            <w:tcW w:w="3600" w:type="dxa"/>
          </w:tcPr>
          <w:p>
            <w:pPr>
              <w:pStyle w:val="24"/>
              <w:spacing w:line="360" w:lineRule="auto"/>
            </w:pPr>
          </w:p>
        </w:tc>
        <w:tc>
          <w:tcPr>
            <w:tcW w:w="1080" w:type="dxa"/>
          </w:tcPr>
          <w:p>
            <w:pPr>
              <w:pStyle w:val="24"/>
              <w:spacing w:line="360" w:lineRule="auto"/>
            </w:pPr>
          </w:p>
        </w:tc>
        <w:tc>
          <w:tcPr>
            <w:tcW w:w="1260" w:type="dxa"/>
          </w:tcPr>
          <w:p>
            <w:pPr>
              <w:pStyle w:val="2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4"/>
              <w:spacing w:line="360" w:lineRule="auto"/>
            </w:pPr>
          </w:p>
        </w:tc>
        <w:tc>
          <w:tcPr>
            <w:tcW w:w="1800" w:type="dxa"/>
          </w:tcPr>
          <w:p>
            <w:pPr>
              <w:pStyle w:val="24"/>
              <w:spacing w:line="360" w:lineRule="auto"/>
            </w:pPr>
          </w:p>
        </w:tc>
        <w:tc>
          <w:tcPr>
            <w:tcW w:w="3600" w:type="dxa"/>
          </w:tcPr>
          <w:p>
            <w:pPr>
              <w:pStyle w:val="24"/>
              <w:spacing w:line="360" w:lineRule="auto"/>
            </w:pPr>
          </w:p>
        </w:tc>
        <w:tc>
          <w:tcPr>
            <w:tcW w:w="1080" w:type="dxa"/>
          </w:tcPr>
          <w:p>
            <w:pPr>
              <w:pStyle w:val="24"/>
              <w:spacing w:line="360" w:lineRule="auto"/>
            </w:pPr>
          </w:p>
        </w:tc>
        <w:tc>
          <w:tcPr>
            <w:tcW w:w="1260" w:type="dxa"/>
          </w:tcPr>
          <w:p>
            <w:pPr>
              <w:pStyle w:val="2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4"/>
              <w:spacing w:line="360" w:lineRule="auto"/>
            </w:pPr>
          </w:p>
        </w:tc>
        <w:tc>
          <w:tcPr>
            <w:tcW w:w="1800" w:type="dxa"/>
          </w:tcPr>
          <w:p>
            <w:pPr>
              <w:pStyle w:val="24"/>
              <w:spacing w:line="360" w:lineRule="auto"/>
            </w:pPr>
          </w:p>
        </w:tc>
        <w:tc>
          <w:tcPr>
            <w:tcW w:w="3600" w:type="dxa"/>
          </w:tcPr>
          <w:p>
            <w:pPr>
              <w:pStyle w:val="24"/>
              <w:spacing w:line="360" w:lineRule="auto"/>
            </w:pPr>
          </w:p>
        </w:tc>
        <w:tc>
          <w:tcPr>
            <w:tcW w:w="1080" w:type="dxa"/>
          </w:tcPr>
          <w:p>
            <w:pPr>
              <w:pStyle w:val="24"/>
              <w:spacing w:line="360" w:lineRule="auto"/>
            </w:pPr>
          </w:p>
        </w:tc>
        <w:tc>
          <w:tcPr>
            <w:tcW w:w="1260" w:type="dxa"/>
          </w:tcPr>
          <w:p>
            <w:pPr>
              <w:pStyle w:val="2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4"/>
              <w:spacing w:line="360" w:lineRule="auto"/>
            </w:pPr>
          </w:p>
        </w:tc>
        <w:tc>
          <w:tcPr>
            <w:tcW w:w="1800" w:type="dxa"/>
          </w:tcPr>
          <w:p>
            <w:pPr>
              <w:pStyle w:val="24"/>
              <w:spacing w:line="360" w:lineRule="auto"/>
            </w:pPr>
          </w:p>
        </w:tc>
        <w:tc>
          <w:tcPr>
            <w:tcW w:w="3600" w:type="dxa"/>
          </w:tcPr>
          <w:p>
            <w:pPr>
              <w:pStyle w:val="24"/>
              <w:spacing w:line="360" w:lineRule="auto"/>
            </w:pPr>
          </w:p>
        </w:tc>
        <w:tc>
          <w:tcPr>
            <w:tcW w:w="1080" w:type="dxa"/>
          </w:tcPr>
          <w:p>
            <w:pPr>
              <w:pStyle w:val="24"/>
              <w:spacing w:line="360" w:lineRule="auto"/>
            </w:pPr>
          </w:p>
        </w:tc>
        <w:tc>
          <w:tcPr>
            <w:tcW w:w="1260" w:type="dxa"/>
          </w:tcPr>
          <w:p>
            <w:pPr>
              <w:pStyle w:val="2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4"/>
              <w:spacing w:line="360" w:lineRule="auto"/>
            </w:pPr>
          </w:p>
        </w:tc>
        <w:tc>
          <w:tcPr>
            <w:tcW w:w="1800" w:type="dxa"/>
          </w:tcPr>
          <w:p>
            <w:pPr>
              <w:pStyle w:val="24"/>
              <w:spacing w:line="360" w:lineRule="auto"/>
            </w:pPr>
          </w:p>
        </w:tc>
        <w:tc>
          <w:tcPr>
            <w:tcW w:w="3600" w:type="dxa"/>
          </w:tcPr>
          <w:p>
            <w:pPr>
              <w:pStyle w:val="24"/>
              <w:spacing w:line="360" w:lineRule="auto"/>
            </w:pPr>
          </w:p>
        </w:tc>
        <w:tc>
          <w:tcPr>
            <w:tcW w:w="1080" w:type="dxa"/>
          </w:tcPr>
          <w:p>
            <w:pPr>
              <w:pStyle w:val="24"/>
              <w:spacing w:line="360" w:lineRule="auto"/>
            </w:pPr>
          </w:p>
        </w:tc>
        <w:tc>
          <w:tcPr>
            <w:tcW w:w="1260" w:type="dxa"/>
          </w:tcPr>
          <w:p>
            <w:pPr>
              <w:pStyle w:val="2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4"/>
              <w:spacing w:line="360" w:lineRule="auto"/>
            </w:pPr>
          </w:p>
        </w:tc>
        <w:tc>
          <w:tcPr>
            <w:tcW w:w="1800" w:type="dxa"/>
          </w:tcPr>
          <w:p>
            <w:pPr>
              <w:pStyle w:val="24"/>
              <w:spacing w:line="360" w:lineRule="auto"/>
            </w:pPr>
          </w:p>
        </w:tc>
        <w:tc>
          <w:tcPr>
            <w:tcW w:w="3600" w:type="dxa"/>
          </w:tcPr>
          <w:p>
            <w:pPr>
              <w:pStyle w:val="24"/>
              <w:spacing w:line="360" w:lineRule="auto"/>
            </w:pPr>
          </w:p>
        </w:tc>
        <w:tc>
          <w:tcPr>
            <w:tcW w:w="1080" w:type="dxa"/>
          </w:tcPr>
          <w:p>
            <w:pPr>
              <w:pStyle w:val="24"/>
              <w:spacing w:line="360" w:lineRule="auto"/>
            </w:pPr>
          </w:p>
        </w:tc>
        <w:tc>
          <w:tcPr>
            <w:tcW w:w="1260" w:type="dxa"/>
          </w:tcPr>
          <w:p>
            <w:pPr>
              <w:pStyle w:val="2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4"/>
              <w:spacing w:line="360" w:lineRule="auto"/>
            </w:pPr>
          </w:p>
        </w:tc>
        <w:tc>
          <w:tcPr>
            <w:tcW w:w="1800" w:type="dxa"/>
          </w:tcPr>
          <w:p>
            <w:pPr>
              <w:pStyle w:val="24"/>
              <w:spacing w:line="360" w:lineRule="auto"/>
            </w:pPr>
          </w:p>
        </w:tc>
        <w:tc>
          <w:tcPr>
            <w:tcW w:w="3600" w:type="dxa"/>
          </w:tcPr>
          <w:p>
            <w:pPr>
              <w:pStyle w:val="24"/>
              <w:spacing w:line="360" w:lineRule="auto"/>
            </w:pPr>
          </w:p>
        </w:tc>
        <w:tc>
          <w:tcPr>
            <w:tcW w:w="1080" w:type="dxa"/>
          </w:tcPr>
          <w:p>
            <w:pPr>
              <w:pStyle w:val="24"/>
              <w:spacing w:line="360" w:lineRule="auto"/>
            </w:pPr>
          </w:p>
        </w:tc>
        <w:tc>
          <w:tcPr>
            <w:tcW w:w="1260" w:type="dxa"/>
          </w:tcPr>
          <w:p>
            <w:pPr>
              <w:pStyle w:val="2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4"/>
              <w:spacing w:line="360" w:lineRule="auto"/>
            </w:pPr>
          </w:p>
        </w:tc>
        <w:tc>
          <w:tcPr>
            <w:tcW w:w="1800" w:type="dxa"/>
          </w:tcPr>
          <w:p>
            <w:pPr>
              <w:pStyle w:val="24"/>
              <w:spacing w:line="360" w:lineRule="auto"/>
            </w:pPr>
          </w:p>
        </w:tc>
        <w:tc>
          <w:tcPr>
            <w:tcW w:w="3600" w:type="dxa"/>
          </w:tcPr>
          <w:p>
            <w:pPr>
              <w:pStyle w:val="24"/>
              <w:spacing w:line="360" w:lineRule="auto"/>
            </w:pPr>
          </w:p>
        </w:tc>
        <w:tc>
          <w:tcPr>
            <w:tcW w:w="1080" w:type="dxa"/>
          </w:tcPr>
          <w:p>
            <w:pPr>
              <w:pStyle w:val="24"/>
              <w:spacing w:line="360" w:lineRule="auto"/>
            </w:pPr>
          </w:p>
        </w:tc>
        <w:tc>
          <w:tcPr>
            <w:tcW w:w="1260" w:type="dxa"/>
          </w:tcPr>
          <w:p>
            <w:pPr>
              <w:pStyle w:val="2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4"/>
              <w:spacing w:line="360" w:lineRule="auto"/>
            </w:pPr>
          </w:p>
        </w:tc>
        <w:tc>
          <w:tcPr>
            <w:tcW w:w="1800" w:type="dxa"/>
          </w:tcPr>
          <w:p>
            <w:pPr>
              <w:pStyle w:val="24"/>
              <w:spacing w:line="360" w:lineRule="auto"/>
            </w:pPr>
          </w:p>
        </w:tc>
        <w:tc>
          <w:tcPr>
            <w:tcW w:w="3600" w:type="dxa"/>
          </w:tcPr>
          <w:p>
            <w:pPr>
              <w:pStyle w:val="24"/>
              <w:spacing w:line="360" w:lineRule="auto"/>
            </w:pPr>
          </w:p>
        </w:tc>
        <w:tc>
          <w:tcPr>
            <w:tcW w:w="1080" w:type="dxa"/>
          </w:tcPr>
          <w:p>
            <w:pPr>
              <w:pStyle w:val="24"/>
              <w:spacing w:line="360" w:lineRule="auto"/>
            </w:pPr>
          </w:p>
        </w:tc>
        <w:tc>
          <w:tcPr>
            <w:tcW w:w="1260" w:type="dxa"/>
          </w:tcPr>
          <w:p>
            <w:pPr>
              <w:pStyle w:val="2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4"/>
              <w:spacing w:line="360" w:lineRule="auto"/>
            </w:pPr>
          </w:p>
        </w:tc>
        <w:tc>
          <w:tcPr>
            <w:tcW w:w="1800" w:type="dxa"/>
          </w:tcPr>
          <w:p>
            <w:pPr>
              <w:pStyle w:val="24"/>
              <w:spacing w:line="360" w:lineRule="auto"/>
            </w:pPr>
          </w:p>
        </w:tc>
        <w:tc>
          <w:tcPr>
            <w:tcW w:w="3600" w:type="dxa"/>
          </w:tcPr>
          <w:p>
            <w:pPr>
              <w:pStyle w:val="24"/>
              <w:spacing w:line="360" w:lineRule="auto"/>
            </w:pPr>
          </w:p>
        </w:tc>
        <w:tc>
          <w:tcPr>
            <w:tcW w:w="1080" w:type="dxa"/>
          </w:tcPr>
          <w:p>
            <w:pPr>
              <w:pStyle w:val="24"/>
              <w:spacing w:line="360" w:lineRule="auto"/>
            </w:pPr>
          </w:p>
        </w:tc>
        <w:tc>
          <w:tcPr>
            <w:tcW w:w="1260" w:type="dxa"/>
          </w:tcPr>
          <w:p>
            <w:pPr>
              <w:pStyle w:val="2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4"/>
              <w:spacing w:line="360" w:lineRule="auto"/>
            </w:pPr>
          </w:p>
        </w:tc>
        <w:tc>
          <w:tcPr>
            <w:tcW w:w="1800" w:type="dxa"/>
          </w:tcPr>
          <w:p>
            <w:pPr>
              <w:pStyle w:val="24"/>
              <w:spacing w:line="360" w:lineRule="auto"/>
            </w:pPr>
          </w:p>
        </w:tc>
        <w:tc>
          <w:tcPr>
            <w:tcW w:w="3600" w:type="dxa"/>
          </w:tcPr>
          <w:p>
            <w:pPr>
              <w:pStyle w:val="24"/>
              <w:spacing w:line="360" w:lineRule="auto"/>
            </w:pPr>
          </w:p>
        </w:tc>
        <w:tc>
          <w:tcPr>
            <w:tcW w:w="1080" w:type="dxa"/>
          </w:tcPr>
          <w:p>
            <w:pPr>
              <w:pStyle w:val="24"/>
              <w:spacing w:line="360" w:lineRule="auto"/>
            </w:pPr>
          </w:p>
        </w:tc>
        <w:tc>
          <w:tcPr>
            <w:tcW w:w="1260" w:type="dxa"/>
          </w:tcPr>
          <w:p>
            <w:pPr>
              <w:pStyle w:val="2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4"/>
              <w:spacing w:line="360" w:lineRule="auto"/>
            </w:pPr>
          </w:p>
        </w:tc>
        <w:tc>
          <w:tcPr>
            <w:tcW w:w="1800" w:type="dxa"/>
          </w:tcPr>
          <w:p>
            <w:pPr>
              <w:pStyle w:val="24"/>
              <w:spacing w:line="360" w:lineRule="auto"/>
            </w:pPr>
          </w:p>
        </w:tc>
        <w:tc>
          <w:tcPr>
            <w:tcW w:w="3600" w:type="dxa"/>
          </w:tcPr>
          <w:p>
            <w:pPr>
              <w:pStyle w:val="24"/>
              <w:spacing w:line="360" w:lineRule="auto"/>
            </w:pPr>
          </w:p>
        </w:tc>
        <w:tc>
          <w:tcPr>
            <w:tcW w:w="1080" w:type="dxa"/>
          </w:tcPr>
          <w:p>
            <w:pPr>
              <w:pStyle w:val="24"/>
              <w:spacing w:line="360" w:lineRule="auto"/>
            </w:pPr>
          </w:p>
        </w:tc>
        <w:tc>
          <w:tcPr>
            <w:tcW w:w="1260" w:type="dxa"/>
          </w:tcPr>
          <w:p>
            <w:pPr>
              <w:pStyle w:val="24"/>
              <w:spacing w:line="360" w:lineRule="auto"/>
            </w:pPr>
          </w:p>
        </w:tc>
      </w:tr>
      <w:bookmarkEnd w:id="102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4"/>
              <w:spacing w:line="360" w:lineRule="auto"/>
            </w:pPr>
          </w:p>
        </w:tc>
        <w:tc>
          <w:tcPr>
            <w:tcW w:w="1800" w:type="dxa"/>
          </w:tcPr>
          <w:p>
            <w:pPr>
              <w:pStyle w:val="24"/>
              <w:spacing w:line="360" w:lineRule="auto"/>
            </w:pPr>
          </w:p>
        </w:tc>
        <w:tc>
          <w:tcPr>
            <w:tcW w:w="3600" w:type="dxa"/>
          </w:tcPr>
          <w:p>
            <w:pPr>
              <w:pStyle w:val="24"/>
              <w:spacing w:line="360" w:lineRule="auto"/>
            </w:pPr>
          </w:p>
        </w:tc>
        <w:tc>
          <w:tcPr>
            <w:tcW w:w="1080" w:type="dxa"/>
          </w:tcPr>
          <w:p>
            <w:pPr>
              <w:pStyle w:val="24"/>
              <w:spacing w:line="360" w:lineRule="auto"/>
            </w:pPr>
          </w:p>
        </w:tc>
        <w:tc>
          <w:tcPr>
            <w:tcW w:w="1260" w:type="dxa"/>
          </w:tcPr>
          <w:p>
            <w:pPr>
              <w:pStyle w:val="24"/>
              <w:spacing w:line="360" w:lineRule="auto"/>
            </w:pPr>
          </w:p>
        </w:tc>
      </w:tr>
    </w:tbl>
    <w:p>
      <w:pPr>
        <w:widowControl/>
        <w:jc w:val="left"/>
        <w:rPr>
          <w:rFonts w:ascii="宋体" w:hAnsi="Courier New" w:cs="Courier New"/>
          <w:szCs w:val="21"/>
        </w:rPr>
      </w:pPr>
      <w:bookmarkStart w:id="1029" w:name="_Toc267475122"/>
      <w:bookmarkStart w:id="1030" w:name="_Toc42392989"/>
      <w:bookmarkStart w:id="1031" w:name="_Toc263777221"/>
      <w:bookmarkStart w:id="1032" w:name="_Toc38943433"/>
      <w:bookmarkStart w:id="1033" w:name="_Toc276025340"/>
      <w:r>
        <w:rPr>
          <w:rFonts w:ascii="宋体" w:hAnsi="Courier New" w:cs="Courier New"/>
          <w:szCs w:val="21"/>
        </w:rPr>
        <w:br w:type="page"/>
      </w:r>
    </w:p>
    <w:p>
      <w:r>
        <w:rPr>
          <w:rFonts w:hint="eastAsia"/>
        </w:rPr>
        <w:t>2. 标准图集清单</w:t>
      </w:r>
      <w:bookmarkEnd w:id="1029"/>
      <w:bookmarkEnd w:id="1030"/>
      <w:bookmarkEnd w:id="1031"/>
      <w:bookmarkEnd w:id="1032"/>
      <w:bookmarkEnd w:id="1033"/>
    </w:p>
    <w:p>
      <w:pPr>
        <w:pStyle w:val="24"/>
        <w:spacing w:line="360" w:lineRule="auto"/>
        <w:ind w:firstLine="420" w:firstLineChars="200"/>
      </w:pPr>
      <w:r>
        <w:rPr>
          <w:rFonts w:hint="eastAsia"/>
        </w:rPr>
        <w:t>以下标准图集，限于招标文件中指明的章节和内容，构成图纸的一部分。</w:t>
      </w:r>
    </w:p>
    <w:p>
      <w:pPr>
        <w:pStyle w:val="24"/>
        <w:spacing w:line="360" w:lineRule="auto"/>
      </w:pPr>
      <w:r>
        <w:rPr>
          <w:rFonts w:hint="eastAsia"/>
        </w:rPr>
        <w:t>第页 共页</w:t>
      </w:r>
    </w:p>
    <w:p>
      <w:pPr>
        <w:pStyle w:val="24"/>
        <w:spacing w:line="360" w:lineRule="auto"/>
      </w:pPr>
    </w:p>
    <w:tbl>
      <w:tblPr>
        <w:tblStyle w:val="44"/>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800"/>
        <w:gridCol w:w="3600"/>
        <w:gridCol w:w="108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 w:hRule="atLeast"/>
        </w:trPr>
        <w:tc>
          <w:tcPr>
            <w:tcW w:w="900" w:type="dxa"/>
            <w:vAlign w:val="center"/>
          </w:tcPr>
          <w:p>
            <w:pPr>
              <w:pStyle w:val="24"/>
              <w:spacing w:line="360" w:lineRule="auto"/>
              <w:jc w:val="center"/>
            </w:pPr>
            <w:r>
              <w:rPr>
                <w:rFonts w:hint="eastAsia"/>
              </w:rPr>
              <w:t>序 号</w:t>
            </w:r>
          </w:p>
        </w:tc>
        <w:tc>
          <w:tcPr>
            <w:tcW w:w="1800" w:type="dxa"/>
            <w:vAlign w:val="center"/>
          </w:tcPr>
          <w:p>
            <w:pPr>
              <w:pStyle w:val="24"/>
              <w:spacing w:line="360" w:lineRule="auto"/>
              <w:jc w:val="center"/>
            </w:pPr>
            <w:r>
              <w:rPr>
                <w:rFonts w:hint="eastAsia"/>
              </w:rPr>
              <w:t>图集编号</w:t>
            </w:r>
          </w:p>
        </w:tc>
        <w:tc>
          <w:tcPr>
            <w:tcW w:w="3600" w:type="dxa"/>
            <w:vAlign w:val="center"/>
          </w:tcPr>
          <w:p>
            <w:pPr>
              <w:pStyle w:val="24"/>
              <w:spacing w:line="360" w:lineRule="auto"/>
              <w:jc w:val="center"/>
            </w:pPr>
            <w:r>
              <w:rPr>
                <w:rFonts w:hint="eastAsia"/>
              </w:rPr>
              <w:t>图集名称</w:t>
            </w:r>
          </w:p>
        </w:tc>
        <w:tc>
          <w:tcPr>
            <w:tcW w:w="1080" w:type="dxa"/>
            <w:vAlign w:val="center"/>
          </w:tcPr>
          <w:p>
            <w:pPr>
              <w:pStyle w:val="24"/>
              <w:spacing w:line="360" w:lineRule="auto"/>
              <w:jc w:val="center"/>
            </w:pPr>
            <w:r>
              <w:rPr>
                <w:rFonts w:hint="eastAsia"/>
              </w:rPr>
              <w:t>日  期</w:t>
            </w:r>
          </w:p>
        </w:tc>
        <w:tc>
          <w:tcPr>
            <w:tcW w:w="1260" w:type="dxa"/>
            <w:vAlign w:val="center"/>
          </w:tcPr>
          <w:p>
            <w:pPr>
              <w:pStyle w:val="24"/>
              <w:spacing w:line="360" w:lineRule="auto"/>
              <w:jc w:val="center"/>
            </w:pPr>
            <w:r>
              <w:rPr>
                <w:rFonts w:hint="eastAsia"/>
              </w:rPr>
              <w:t>编写人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4"/>
              <w:spacing w:line="360" w:lineRule="auto"/>
            </w:pPr>
            <w:bookmarkStart w:id="1034" w:name="标准图集清单" w:colFirst="0" w:colLast="4"/>
          </w:p>
        </w:tc>
        <w:tc>
          <w:tcPr>
            <w:tcW w:w="1800" w:type="dxa"/>
          </w:tcPr>
          <w:p>
            <w:pPr>
              <w:pStyle w:val="24"/>
              <w:spacing w:line="360" w:lineRule="auto"/>
            </w:pPr>
          </w:p>
        </w:tc>
        <w:tc>
          <w:tcPr>
            <w:tcW w:w="3600" w:type="dxa"/>
          </w:tcPr>
          <w:p>
            <w:pPr>
              <w:pStyle w:val="24"/>
              <w:spacing w:line="360" w:lineRule="auto"/>
            </w:pPr>
          </w:p>
        </w:tc>
        <w:tc>
          <w:tcPr>
            <w:tcW w:w="1080" w:type="dxa"/>
          </w:tcPr>
          <w:p>
            <w:pPr>
              <w:pStyle w:val="24"/>
              <w:spacing w:line="360" w:lineRule="auto"/>
            </w:pPr>
          </w:p>
        </w:tc>
        <w:tc>
          <w:tcPr>
            <w:tcW w:w="1260" w:type="dxa"/>
          </w:tcPr>
          <w:p>
            <w:pPr>
              <w:pStyle w:val="2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4"/>
              <w:spacing w:line="360" w:lineRule="auto"/>
            </w:pPr>
          </w:p>
        </w:tc>
        <w:tc>
          <w:tcPr>
            <w:tcW w:w="1800" w:type="dxa"/>
          </w:tcPr>
          <w:p>
            <w:pPr>
              <w:pStyle w:val="24"/>
              <w:spacing w:line="360" w:lineRule="auto"/>
            </w:pPr>
          </w:p>
        </w:tc>
        <w:tc>
          <w:tcPr>
            <w:tcW w:w="3600" w:type="dxa"/>
          </w:tcPr>
          <w:p>
            <w:pPr>
              <w:pStyle w:val="24"/>
              <w:spacing w:line="360" w:lineRule="auto"/>
            </w:pPr>
          </w:p>
        </w:tc>
        <w:tc>
          <w:tcPr>
            <w:tcW w:w="1080" w:type="dxa"/>
          </w:tcPr>
          <w:p>
            <w:pPr>
              <w:pStyle w:val="24"/>
              <w:spacing w:line="360" w:lineRule="auto"/>
            </w:pPr>
          </w:p>
        </w:tc>
        <w:tc>
          <w:tcPr>
            <w:tcW w:w="1260" w:type="dxa"/>
          </w:tcPr>
          <w:p>
            <w:pPr>
              <w:pStyle w:val="2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4"/>
              <w:spacing w:line="360" w:lineRule="auto"/>
            </w:pPr>
          </w:p>
        </w:tc>
        <w:tc>
          <w:tcPr>
            <w:tcW w:w="1800" w:type="dxa"/>
          </w:tcPr>
          <w:p>
            <w:pPr>
              <w:pStyle w:val="24"/>
              <w:spacing w:line="360" w:lineRule="auto"/>
            </w:pPr>
          </w:p>
        </w:tc>
        <w:tc>
          <w:tcPr>
            <w:tcW w:w="3600" w:type="dxa"/>
          </w:tcPr>
          <w:p>
            <w:pPr>
              <w:pStyle w:val="24"/>
              <w:spacing w:line="360" w:lineRule="auto"/>
            </w:pPr>
          </w:p>
        </w:tc>
        <w:tc>
          <w:tcPr>
            <w:tcW w:w="1080" w:type="dxa"/>
          </w:tcPr>
          <w:p>
            <w:pPr>
              <w:pStyle w:val="24"/>
              <w:spacing w:line="360" w:lineRule="auto"/>
            </w:pPr>
          </w:p>
        </w:tc>
        <w:tc>
          <w:tcPr>
            <w:tcW w:w="1260" w:type="dxa"/>
          </w:tcPr>
          <w:p>
            <w:pPr>
              <w:pStyle w:val="2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4"/>
              <w:spacing w:line="360" w:lineRule="auto"/>
            </w:pPr>
          </w:p>
        </w:tc>
        <w:tc>
          <w:tcPr>
            <w:tcW w:w="1800" w:type="dxa"/>
          </w:tcPr>
          <w:p>
            <w:pPr>
              <w:pStyle w:val="24"/>
              <w:spacing w:line="360" w:lineRule="auto"/>
            </w:pPr>
          </w:p>
        </w:tc>
        <w:tc>
          <w:tcPr>
            <w:tcW w:w="3600" w:type="dxa"/>
          </w:tcPr>
          <w:p>
            <w:pPr>
              <w:pStyle w:val="24"/>
              <w:spacing w:line="360" w:lineRule="auto"/>
            </w:pPr>
          </w:p>
        </w:tc>
        <w:tc>
          <w:tcPr>
            <w:tcW w:w="1080" w:type="dxa"/>
          </w:tcPr>
          <w:p>
            <w:pPr>
              <w:pStyle w:val="24"/>
              <w:spacing w:line="360" w:lineRule="auto"/>
            </w:pPr>
          </w:p>
        </w:tc>
        <w:tc>
          <w:tcPr>
            <w:tcW w:w="1260" w:type="dxa"/>
          </w:tcPr>
          <w:p>
            <w:pPr>
              <w:pStyle w:val="2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4"/>
              <w:spacing w:line="360" w:lineRule="auto"/>
            </w:pPr>
          </w:p>
        </w:tc>
        <w:tc>
          <w:tcPr>
            <w:tcW w:w="1800" w:type="dxa"/>
          </w:tcPr>
          <w:p>
            <w:pPr>
              <w:pStyle w:val="24"/>
              <w:spacing w:line="360" w:lineRule="auto"/>
            </w:pPr>
          </w:p>
        </w:tc>
        <w:tc>
          <w:tcPr>
            <w:tcW w:w="3600" w:type="dxa"/>
          </w:tcPr>
          <w:p>
            <w:pPr>
              <w:pStyle w:val="24"/>
              <w:spacing w:line="360" w:lineRule="auto"/>
            </w:pPr>
          </w:p>
        </w:tc>
        <w:tc>
          <w:tcPr>
            <w:tcW w:w="1080" w:type="dxa"/>
          </w:tcPr>
          <w:p>
            <w:pPr>
              <w:pStyle w:val="24"/>
              <w:spacing w:line="360" w:lineRule="auto"/>
            </w:pPr>
          </w:p>
        </w:tc>
        <w:tc>
          <w:tcPr>
            <w:tcW w:w="1260" w:type="dxa"/>
          </w:tcPr>
          <w:p>
            <w:pPr>
              <w:pStyle w:val="2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4"/>
              <w:spacing w:line="360" w:lineRule="auto"/>
            </w:pPr>
          </w:p>
        </w:tc>
        <w:tc>
          <w:tcPr>
            <w:tcW w:w="1800" w:type="dxa"/>
          </w:tcPr>
          <w:p>
            <w:pPr>
              <w:pStyle w:val="24"/>
              <w:spacing w:line="360" w:lineRule="auto"/>
            </w:pPr>
          </w:p>
        </w:tc>
        <w:tc>
          <w:tcPr>
            <w:tcW w:w="3600" w:type="dxa"/>
          </w:tcPr>
          <w:p>
            <w:pPr>
              <w:pStyle w:val="24"/>
              <w:spacing w:line="360" w:lineRule="auto"/>
            </w:pPr>
          </w:p>
        </w:tc>
        <w:tc>
          <w:tcPr>
            <w:tcW w:w="1080" w:type="dxa"/>
          </w:tcPr>
          <w:p>
            <w:pPr>
              <w:pStyle w:val="24"/>
              <w:spacing w:line="360" w:lineRule="auto"/>
            </w:pPr>
          </w:p>
        </w:tc>
        <w:tc>
          <w:tcPr>
            <w:tcW w:w="1260" w:type="dxa"/>
          </w:tcPr>
          <w:p>
            <w:pPr>
              <w:pStyle w:val="2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4"/>
              <w:spacing w:line="360" w:lineRule="auto"/>
            </w:pPr>
          </w:p>
        </w:tc>
        <w:tc>
          <w:tcPr>
            <w:tcW w:w="1800" w:type="dxa"/>
          </w:tcPr>
          <w:p>
            <w:pPr>
              <w:pStyle w:val="24"/>
              <w:spacing w:line="360" w:lineRule="auto"/>
            </w:pPr>
          </w:p>
        </w:tc>
        <w:tc>
          <w:tcPr>
            <w:tcW w:w="3600" w:type="dxa"/>
          </w:tcPr>
          <w:p>
            <w:pPr>
              <w:pStyle w:val="24"/>
              <w:spacing w:line="360" w:lineRule="auto"/>
            </w:pPr>
          </w:p>
        </w:tc>
        <w:tc>
          <w:tcPr>
            <w:tcW w:w="1080" w:type="dxa"/>
          </w:tcPr>
          <w:p>
            <w:pPr>
              <w:pStyle w:val="24"/>
              <w:spacing w:line="360" w:lineRule="auto"/>
            </w:pPr>
          </w:p>
        </w:tc>
        <w:tc>
          <w:tcPr>
            <w:tcW w:w="1260" w:type="dxa"/>
          </w:tcPr>
          <w:p>
            <w:pPr>
              <w:pStyle w:val="2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4"/>
              <w:spacing w:line="360" w:lineRule="auto"/>
            </w:pPr>
          </w:p>
        </w:tc>
        <w:tc>
          <w:tcPr>
            <w:tcW w:w="1800" w:type="dxa"/>
          </w:tcPr>
          <w:p>
            <w:pPr>
              <w:pStyle w:val="24"/>
              <w:spacing w:line="360" w:lineRule="auto"/>
            </w:pPr>
          </w:p>
        </w:tc>
        <w:tc>
          <w:tcPr>
            <w:tcW w:w="3600" w:type="dxa"/>
          </w:tcPr>
          <w:p>
            <w:pPr>
              <w:pStyle w:val="24"/>
              <w:spacing w:line="360" w:lineRule="auto"/>
            </w:pPr>
          </w:p>
        </w:tc>
        <w:tc>
          <w:tcPr>
            <w:tcW w:w="1080" w:type="dxa"/>
          </w:tcPr>
          <w:p>
            <w:pPr>
              <w:pStyle w:val="24"/>
              <w:spacing w:line="360" w:lineRule="auto"/>
            </w:pPr>
          </w:p>
        </w:tc>
        <w:tc>
          <w:tcPr>
            <w:tcW w:w="1260" w:type="dxa"/>
          </w:tcPr>
          <w:p>
            <w:pPr>
              <w:pStyle w:val="2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4"/>
              <w:spacing w:line="360" w:lineRule="auto"/>
            </w:pPr>
          </w:p>
        </w:tc>
        <w:tc>
          <w:tcPr>
            <w:tcW w:w="1800" w:type="dxa"/>
          </w:tcPr>
          <w:p>
            <w:pPr>
              <w:pStyle w:val="24"/>
              <w:spacing w:line="360" w:lineRule="auto"/>
            </w:pPr>
          </w:p>
        </w:tc>
        <w:tc>
          <w:tcPr>
            <w:tcW w:w="3600" w:type="dxa"/>
          </w:tcPr>
          <w:p>
            <w:pPr>
              <w:pStyle w:val="24"/>
              <w:spacing w:line="360" w:lineRule="auto"/>
            </w:pPr>
          </w:p>
        </w:tc>
        <w:tc>
          <w:tcPr>
            <w:tcW w:w="1080" w:type="dxa"/>
          </w:tcPr>
          <w:p>
            <w:pPr>
              <w:pStyle w:val="24"/>
              <w:spacing w:line="360" w:lineRule="auto"/>
            </w:pPr>
          </w:p>
        </w:tc>
        <w:tc>
          <w:tcPr>
            <w:tcW w:w="1260" w:type="dxa"/>
          </w:tcPr>
          <w:p>
            <w:pPr>
              <w:pStyle w:val="2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4"/>
              <w:spacing w:line="360" w:lineRule="auto"/>
            </w:pPr>
          </w:p>
        </w:tc>
        <w:tc>
          <w:tcPr>
            <w:tcW w:w="1800" w:type="dxa"/>
          </w:tcPr>
          <w:p>
            <w:pPr>
              <w:pStyle w:val="24"/>
              <w:spacing w:line="360" w:lineRule="auto"/>
            </w:pPr>
          </w:p>
        </w:tc>
        <w:tc>
          <w:tcPr>
            <w:tcW w:w="3600" w:type="dxa"/>
          </w:tcPr>
          <w:p>
            <w:pPr>
              <w:pStyle w:val="24"/>
              <w:spacing w:line="360" w:lineRule="auto"/>
            </w:pPr>
          </w:p>
        </w:tc>
        <w:tc>
          <w:tcPr>
            <w:tcW w:w="1080" w:type="dxa"/>
          </w:tcPr>
          <w:p>
            <w:pPr>
              <w:pStyle w:val="24"/>
              <w:spacing w:line="360" w:lineRule="auto"/>
            </w:pPr>
          </w:p>
        </w:tc>
        <w:tc>
          <w:tcPr>
            <w:tcW w:w="1260" w:type="dxa"/>
          </w:tcPr>
          <w:p>
            <w:pPr>
              <w:pStyle w:val="2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4"/>
              <w:spacing w:line="360" w:lineRule="auto"/>
            </w:pPr>
          </w:p>
        </w:tc>
        <w:tc>
          <w:tcPr>
            <w:tcW w:w="1800" w:type="dxa"/>
          </w:tcPr>
          <w:p>
            <w:pPr>
              <w:pStyle w:val="24"/>
              <w:spacing w:line="360" w:lineRule="auto"/>
            </w:pPr>
          </w:p>
        </w:tc>
        <w:tc>
          <w:tcPr>
            <w:tcW w:w="3600" w:type="dxa"/>
          </w:tcPr>
          <w:p>
            <w:pPr>
              <w:pStyle w:val="24"/>
              <w:spacing w:line="360" w:lineRule="auto"/>
            </w:pPr>
          </w:p>
        </w:tc>
        <w:tc>
          <w:tcPr>
            <w:tcW w:w="1080" w:type="dxa"/>
          </w:tcPr>
          <w:p>
            <w:pPr>
              <w:pStyle w:val="24"/>
              <w:spacing w:line="360" w:lineRule="auto"/>
            </w:pPr>
          </w:p>
        </w:tc>
        <w:tc>
          <w:tcPr>
            <w:tcW w:w="1260" w:type="dxa"/>
          </w:tcPr>
          <w:p>
            <w:pPr>
              <w:pStyle w:val="2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4"/>
              <w:spacing w:line="360" w:lineRule="auto"/>
            </w:pPr>
          </w:p>
        </w:tc>
        <w:tc>
          <w:tcPr>
            <w:tcW w:w="1800" w:type="dxa"/>
          </w:tcPr>
          <w:p>
            <w:pPr>
              <w:pStyle w:val="24"/>
              <w:spacing w:line="360" w:lineRule="auto"/>
            </w:pPr>
          </w:p>
        </w:tc>
        <w:tc>
          <w:tcPr>
            <w:tcW w:w="3600" w:type="dxa"/>
          </w:tcPr>
          <w:p>
            <w:pPr>
              <w:pStyle w:val="24"/>
              <w:spacing w:line="360" w:lineRule="auto"/>
            </w:pPr>
          </w:p>
        </w:tc>
        <w:tc>
          <w:tcPr>
            <w:tcW w:w="1080" w:type="dxa"/>
          </w:tcPr>
          <w:p>
            <w:pPr>
              <w:pStyle w:val="24"/>
              <w:spacing w:line="360" w:lineRule="auto"/>
            </w:pPr>
          </w:p>
        </w:tc>
        <w:tc>
          <w:tcPr>
            <w:tcW w:w="1260" w:type="dxa"/>
          </w:tcPr>
          <w:p>
            <w:pPr>
              <w:pStyle w:val="2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4"/>
              <w:spacing w:line="360" w:lineRule="auto"/>
            </w:pPr>
          </w:p>
        </w:tc>
        <w:tc>
          <w:tcPr>
            <w:tcW w:w="1800" w:type="dxa"/>
          </w:tcPr>
          <w:p>
            <w:pPr>
              <w:pStyle w:val="24"/>
              <w:spacing w:line="360" w:lineRule="auto"/>
            </w:pPr>
          </w:p>
        </w:tc>
        <w:tc>
          <w:tcPr>
            <w:tcW w:w="3600" w:type="dxa"/>
          </w:tcPr>
          <w:p>
            <w:pPr>
              <w:pStyle w:val="24"/>
              <w:spacing w:line="360" w:lineRule="auto"/>
            </w:pPr>
          </w:p>
        </w:tc>
        <w:tc>
          <w:tcPr>
            <w:tcW w:w="1080" w:type="dxa"/>
          </w:tcPr>
          <w:p>
            <w:pPr>
              <w:pStyle w:val="24"/>
              <w:spacing w:line="360" w:lineRule="auto"/>
            </w:pPr>
          </w:p>
        </w:tc>
        <w:tc>
          <w:tcPr>
            <w:tcW w:w="1260" w:type="dxa"/>
          </w:tcPr>
          <w:p>
            <w:pPr>
              <w:pStyle w:val="2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4"/>
              <w:spacing w:line="360" w:lineRule="auto"/>
            </w:pPr>
          </w:p>
        </w:tc>
        <w:tc>
          <w:tcPr>
            <w:tcW w:w="1800" w:type="dxa"/>
          </w:tcPr>
          <w:p>
            <w:pPr>
              <w:pStyle w:val="24"/>
              <w:spacing w:line="360" w:lineRule="auto"/>
            </w:pPr>
          </w:p>
        </w:tc>
        <w:tc>
          <w:tcPr>
            <w:tcW w:w="3600" w:type="dxa"/>
          </w:tcPr>
          <w:p>
            <w:pPr>
              <w:pStyle w:val="24"/>
              <w:spacing w:line="360" w:lineRule="auto"/>
            </w:pPr>
          </w:p>
        </w:tc>
        <w:tc>
          <w:tcPr>
            <w:tcW w:w="1080" w:type="dxa"/>
          </w:tcPr>
          <w:p>
            <w:pPr>
              <w:pStyle w:val="24"/>
              <w:spacing w:line="360" w:lineRule="auto"/>
            </w:pPr>
          </w:p>
        </w:tc>
        <w:tc>
          <w:tcPr>
            <w:tcW w:w="1260" w:type="dxa"/>
          </w:tcPr>
          <w:p>
            <w:pPr>
              <w:pStyle w:val="2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4"/>
              <w:spacing w:line="360" w:lineRule="auto"/>
            </w:pPr>
          </w:p>
        </w:tc>
        <w:tc>
          <w:tcPr>
            <w:tcW w:w="1800" w:type="dxa"/>
          </w:tcPr>
          <w:p>
            <w:pPr>
              <w:pStyle w:val="24"/>
              <w:spacing w:line="360" w:lineRule="auto"/>
            </w:pPr>
          </w:p>
        </w:tc>
        <w:tc>
          <w:tcPr>
            <w:tcW w:w="3600" w:type="dxa"/>
          </w:tcPr>
          <w:p>
            <w:pPr>
              <w:pStyle w:val="24"/>
              <w:spacing w:line="360" w:lineRule="auto"/>
            </w:pPr>
          </w:p>
        </w:tc>
        <w:tc>
          <w:tcPr>
            <w:tcW w:w="1080" w:type="dxa"/>
          </w:tcPr>
          <w:p>
            <w:pPr>
              <w:pStyle w:val="24"/>
              <w:spacing w:line="360" w:lineRule="auto"/>
            </w:pPr>
          </w:p>
        </w:tc>
        <w:tc>
          <w:tcPr>
            <w:tcW w:w="1260" w:type="dxa"/>
          </w:tcPr>
          <w:p>
            <w:pPr>
              <w:pStyle w:val="2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4"/>
              <w:spacing w:line="360" w:lineRule="auto"/>
            </w:pPr>
          </w:p>
        </w:tc>
        <w:tc>
          <w:tcPr>
            <w:tcW w:w="1800" w:type="dxa"/>
          </w:tcPr>
          <w:p>
            <w:pPr>
              <w:pStyle w:val="24"/>
              <w:spacing w:line="360" w:lineRule="auto"/>
            </w:pPr>
          </w:p>
        </w:tc>
        <w:tc>
          <w:tcPr>
            <w:tcW w:w="3600" w:type="dxa"/>
          </w:tcPr>
          <w:p>
            <w:pPr>
              <w:pStyle w:val="24"/>
              <w:spacing w:line="360" w:lineRule="auto"/>
            </w:pPr>
          </w:p>
        </w:tc>
        <w:tc>
          <w:tcPr>
            <w:tcW w:w="1080" w:type="dxa"/>
          </w:tcPr>
          <w:p>
            <w:pPr>
              <w:pStyle w:val="24"/>
              <w:spacing w:line="360" w:lineRule="auto"/>
            </w:pPr>
          </w:p>
        </w:tc>
        <w:tc>
          <w:tcPr>
            <w:tcW w:w="1260" w:type="dxa"/>
          </w:tcPr>
          <w:p>
            <w:pPr>
              <w:pStyle w:val="2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4"/>
              <w:spacing w:line="360" w:lineRule="auto"/>
            </w:pPr>
          </w:p>
        </w:tc>
        <w:tc>
          <w:tcPr>
            <w:tcW w:w="1800" w:type="dxa"/>
          </w:tcPr>
          <w:p>
            <w:pPr>
              <w:pStyle w:val="24"/>
              <w:spacing w:line="360" w:lineRule="auto"/>
            </w:pPr>
          </w:p>
        </w:tc>
        <w:tc>
          <w:tcPr>
            <w:tcW w:w="3600" w:type="dxa"/>
          </w:tcPr>
          <w:p>
            <w:pPr>
              <w:pStyle w:val="24"/>
              <w:spacing w:line="360" w:lineRule="auto"/>
            </w:pPr>
          </w:p>
        </w:tc>
        <w:tc>
          <w:tcPr>
            <w:tcW w:w="1080" w:type="dxa"/>
          </w:tcPr>
          <w:p>
            <w:pPr>
              <w:pStyle w:val="24"/>
              <w:spacing w:line="360" w:lineRule="auto"/>
            </w:pPr>
          </w:p>
        </w:tc>
        <w:tc>
          <w:tcPr>
            <w:tcW w:w="1260" w:type="dxa"/>
          </w:tcPr>
          <w:p>
            <w:pPr>
              <w:pStyle w:val="2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4"/>
              <w:spacing w:line="360" w:lineRule="auto"/>
            </w:pPr>
          </w:p>
        </w:tc>
        <w:tc>
          <w:tcPr>
            <w:tcW w:w="1800" w:type="dxa"/>
          </w:tcPr>
          <w:p>
            <w:pPr>
              <w:pStyle w:val="24"/>
              <w:spacing w:line="360" w:lineRule="auto"/>
            </w:pPr>
          </w:p>
        </w:tc>
        <w:tc>
          <w:tcPr>
            <w:tcW w:w="3600" w:type="dxa"/>
          </w:tcPr>
          <w:p>
            <w:pPr>
              <w:pStyle w:val="24"/>
              <w:spacing w:line="360" w:lineRule="auto"/>
            </w:pPr>
          </w:p>
        </w:tc>
        <w:tc>
          <w:tcPr>
            <w:tcW w:w="1080" w:type="dxa"/>
          </w:tcPr>
          <w:p>
            <w:pPr>
              <w:pStyle w:val="24"/>
              <w:spacing w:line="360" w:lineRule="auto"/>
            </w:pPr>
          </w:p>
        </w:tc>
        <w:tc>
          <w:tcPr>
            <w:tcW w:w="1260" w:type="dxa"/>
          </w:tcPr>
          <w:p>
            <w:pPr>
              <w:pStyle w:val="2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4"/>
              <w:spacing w:line="360" w:lineRule="auto"/>
            </w:pPr>
          </w:p>
        </w:tc>
        <w:tc>
          <w:tcPr>
            <w:tcW w:w="1800" w:type="dxa"/>
          </w:tcPr>
          <w:p>
            <w:pPr>
              <w:pStyle w:val="24"/>
              <w:spacing w:line="360" w:lineRule="auto"/>
            </w:pPr>
          </w:p>
        </w:tc>
        <w:tc>
          <w:tcPr>
            <w:tcW w:w="3600" w:type="dxa"/>
          </w:tcPr>
          <w:p>
            <w:pPr>
              <w:pStyle w:val="24"/>
              <w:spacing w:line="360" w:lineRule="auto"/>
            </w:pPr>
          </w:p>
        </w:tc>
        <w:tc>
          <w:tcPr>
            <w:tcW w:w="1080" w:type="dxa"/>
          </w:tcPr>
          <w:p>
            <w:pPr>
              <w:pStyle w:val="24"/>
              <w:spacing w:line="360" w:lineRule="auto"/>
            </w:pPr>
          </w:p>
        </w:tc>
        <w:tc>
          <w:tcPr>
            <w:tcW w:w="1260" w:type="dxa"/>
          </w:tcPr>
          <w:p>
            <w:pPr>
              <w:pStyle w:val="2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4"/>
              <w:spacing w:line="360" w:lineRule="auto"/>
            </w:pPr>
          </w:p>
        </w:tc>
        <w:tc>
          <w:tcPr>
            <w:tcW w:w="1800" w:type="dxa"/>
          </w:tcPr>
          <w:p>
            <w:pPr>
              <w:pStyle w:val="24"/>
              <w:spacing w:line="360" w:lineRule="auto"/>
            </w:pPr>
          </w:p>
        </w:tc>
        <w:tc>
          <w:tcPr>
            <w:tcW w:w="3600" w:type="dxa"/>
          </w:tcPr>
          <w:p>
            <w:pPr>
              <w:pStyle w:val="24"/>
              <w:spacing w:line="360" w:lineRule="auto"/>
            </w:pPr>
          </w:p>
        </w:tc>
        <w:tc>
          <w:tcPr>
            <w:tcW w:w="1080" w:type="dxa"/>
          </w:tcPr>
          <w:p>
            <w:pPr>
              <w:pStyle w:val="24"/>
              <w:spacing w:line="360" w:lineRule="auto"/>
            </w:pPr>
          </w:p>
        </w:tc>
        <w:tc>
          <w:tcPr>
            <w:tcW w:w="1260" w:type="dxa"/>
          </w:tcPr>
          <w:p>
            <w:pPr>
              <w:pStyle w:val="24"/>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4"/>
              <w:spacing w:line="360" w:lineRule="auto"/>
            </w:pPr>
          </w:p>
        </w:tc>
        <w:tc>
          <w:tcPr>
            <w:tcW w:w="1800" w:type="dxa"/>
          </w:tcPr>
          <w:p>
            <w:pPr>
              <w:pStyle w:val="24"/>
              <w:spacing w:line="360" w:lineRule="auto"/>
            </w:pPr>
          </w:p>
        </w:tc>
        <w:tc>
          <w:tcPr>
            <w:tcW w:w="3600" w:type="dxa"/>
          </w:tcPr>
          <w:p>
            <w:pPr>
              <w:pStyle w:val="24"/>
              <w:spacing w:line="360" w:lineRule="auto"/>
            </w:pPr>
          </w:p>
        </w:tc>
        <w:tc>
          <w:tcPr>
            <w:tcW w:w="1080" w:type="dxa"/>
          </w:tcPr>
          <w:p>
            <w:pPr>
              <w:pStyle w:val="24"/>
              <w:spacing w:line="360" w:lineRule="auto"/>
            </w:pPr>
          </w:p>
        </w:tc>
        <w:tc>
          <w:tcPr>
            <w:tcW w:w="1260" w:type="dxa"/>
          </w:tcPr>
          <w:p>
            <w:pPr>
              <w:pStyle w:val="24"/>
              <w:spacing w:line="360" w:lineRule="auto"/>
            </w:pPr>
          </w:p>
        </w:tc>
      </w:tr>
      <w:bookmarkEnd w:id="10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Pr>
          <w:p>
            <w:pPr>
              <w:pStyle w:val="24"/>
              <w:spacing w:line="360" w:lineRule="auto"/>
            </w:pPr>
          </w:p>
        </w:tc>
        <w:tc>
          <w:tcPr>
            <w:tcW w:w="1800" w:type="dxa"/>
          </w:tcPr>
          <w:p>
            <w:pPr>
              <w:pStyle w:val="24"/>
              <w:spacing w:line="360" w:lineRule="auto"/>
            </w:pPr>
          </w:p>
        </w:tc>
        <w:tc>
          <w:tcPr>
            <w:tcW w:w="3600" w:type="dxa"/>
          </w:tcPr>
          <w:p>
            <w:pPr>
              <w:pStyle w:val="24"/>
              <w:spacing w:line="360" w:lineRule="auto"/>
            </w:pPr>
          </w:p>
        </w:tc>
        <w:tc>
          <w:tcPr>
            <w:tcW w:w="1080" w:type="dxa"/>
          </w:tcPr>
          <w:p>
            <w:pPr>
              <w:pStyle w:val="24"/>
              <w:spacing w:line="360" w:lineRule="auto"/>
            </w:pPr>
          </w:p>
        </w:tc>
        <w:tc>
          <w:tcPr>
            <w:tcW w:w="1260" w:type="dxa"/>
          </w:tcPr>
          <w:p>
            <w:pPr>
              <w:pStyle w:val="24"/>
              <w:spacing w:line="360" w:lineRule="auto"/>
            </w:pPr>
          </w:p>
        </w:tc>
      </w:tr>
    </w:tbl>
    <w:p>
      <w:pPr>
        <w:spacing w:line="360" w:lineRule="auto"/>
        <w:sectPr>
          <w:pgSz w:w="11906" w:h="16838"/>
          <w:pgMar w:top="1418" w:right="1418" w:bottom="1418" w:left="1418" w:header="851" w:footer="992" w:gutter="284"/>
          <w:cols w:space="720" w:num="1"/>
          <w:docGrid w:type="lines" w:linePitch="312" w:charSpace="0"/>
        </w:sectPr>
      </w:pPr>
    </w:p>
    <w:p>
      <w:pPr>
        <w:pStyle w:val="2"/>
        <w:jc w:val="center"/>
      </w:pPr>
      <w:bookmarkStart w:id="1035" w:name="_Toc263777222"/>
      <w:bookmarkStart w:id="1036" w:name="_Toc267475123"/>
      <w:bookmarkStart w:id="1037" w:name="_Toc276025341"/>
      <w:bookmarkStart w:id="1038" w:name="_Toc24933"/>
      <w:r>
        <w:rPr>
          <w:rFonts w:hint="eastAsia"/>
        </w:rPr>
        <w:t>第七章技术标准和要求</w:t>
      </w:r>
      <w:bookmarkEnd w:id="1035"/>
      <w:bookmarkEnd w:id="1036"/>
      <w:bookmarkEnd w:id="1037"/>
      <w:bookmarkEnd w:id="1038"/>
    </w:p>
    <w:p>
      <w:pPr>
        <w:pStyle w:val="4"/>
      </w:pPr>
      <w:bookmarkStart w:id="1039" w:name="_Toc276025342"/>
      <w:bookmarkStart w:id="1040" w:name="_Toc30960"/>
      <w:r>
        <w:rPr>
          <w:rFonts w:hint="eastAsia"/>
        </w:rPr>
        <w:t>第一节  一般要求</w:t>
      </w:r>
      <w:bookmarkEnd w:id="1039"/>
      <w:bookmarkEnd w:id="1040"/>
    </w:p>
    <w:p>
      <w:pPr>
        <w:rPr>
          <w:rFonts w:ascii="宋体" w:hAnsi="宋体"/>
          <w:b/>
          <w:sz w:val="28"/>
          <w:szCs w:val="28"/>
        </w:rPr>
      </w:pPr>
      <w:bookmarkStart w:id="1041" w:name="_Toc277855098"/>
      <w:bookmarkStart w:id="1042" w:name="_Toc276025365"/>
      <w:r>
        <w:rPr>
          <w:rFonts w:hint="eastAsia" w:ascii="宋体" w:hAnsi="宋体"/>
          <w:b/>
          <w:sz w:val="28"/>
          <w:szCs w:val="28"/>
        </w:rPr>
        <w:t>1. 工程说明</w:t>
      </w:r>
      <w:bookmarkEnd w:id="1041"/>
    </w:p>
    <w:p>
      <w:pPr>
        <w:spacing w:line="360" w:lineRule="auto"/>
        <w:ind w:left="420" w:hanging="420" w:hangingChars="200"/>
        <w:rPr>
          <w:rFonts w:ascii="黑体" w:hAnsi="宋体" w:eastAsia="黑体"/>
          <w:szCs w:val="21"/>
        </w:rPr>
      </w:pPr>
      <w:r>
        <w:rPr>
          <w:rFonts w:hint="eastAsia" w:ascii="黑体" w:hAnsi="宋体" w:eastAsia="黑体"/>
          <w:szCs w:val="21"/>
        </w:rPr>
        <w:t>1.1  工程概况</w:t>
      </w:r>
    </w:p>
    <w:p>
      <w:pPr>
        <w:spacing w:line="360" w:lineRule="auto"/>
        <w:ind w:left="420" w:hanging="420" w:hangingChars="200"/>
        <w:rPr>
          <w:rFonts w:ascii="宋体" w:hAnsi="宋体"/>
          <w:szCs w:val="21"/>
        </w:rPr>
      </w:pPr>
      <w:r>
        <w:rPr>
          <w:rFonts w:hint="eastAsia" w:ascii="宋体" w:hAnsi="宋体"/>
          <w:szCs w:val="21"/>
        </w:rPr>
        <w:t>l.1.1  本工程基本情况如下：</w:t>
      </w:r>
    </w:p>
    <w:p>
      <w:pPr>
        <w:spacing w:line="360" w:lineRule="auto"/>
        <w:ind w:left="420" w:hanging="420" w:hangingChars="200"/>
        <w:rPr>
          <w:rFonts w:ascii="宋体" w:hAnsi="宋体"/>
          <w:szCs w:val="21"/>
        </w:rPr>
      </w:pPr>
    </w:p>
    <w:p>
      <w:pPr>
        <w:spacing w:line="360" w:lineRule="auto"/>
        <w:ind w:left="420" w:hanging="420" w:hangingChars="200"/>
        <w:rPr>
          <w:rFonts w:ascii="宋体" w:hAnsi="宋体"/>
          <w:szCs w:val="21"/>
        </w:rPr>
      </w:pPr>
      <w:r>
        <w:rPr>
          <w:rFonts w:hint="eastAsia" w:ascii="宋体" w:hAnsi="宋体"/>
          <w:szCs w:val="21"/>
        </w:rPr>
        <w:t>1.1.2  本工程施工场地(现场)具体地理位置如下：</w:t>
      </w:r>
    </w:p>
    <w:p>
      <w:pPr>
        <w:spacing w:line="360" w:lineRule="auto"/>
        <w:ind w:left="420" w:hanging="420" w:hangingChars="200"/>
        <w:rPr>
          <w:rFonts w:ascii="黑体" w:hAnsi="宋体" w:eastAsia="黑体"/>
          <w:szCs w:val="21"/>
        </w:rPr>
      </w:pPr>
      <w:r>
        <w:rPr>
          <w:rFonts w:hint="eastAsia" w:ascii="黑体" w:hAnsi="宋体" w:eastAsia="黑体"/>
          <w:szCs w:val="21"/>
        </w:rPr>
        <w:t>1.2    现场条件和周围环境</w:t>
      </w:r>
    </w:p>
    <w:p>
      <w:pPr>
        <w:spacing w:line="360" w:lineRule="auto"/>
        <w:ind w:left="735" w:hanging="735" w:hangingChars="350"/>
        <w:rPr>
          <w:rFonts w:ascii="宋体" w:hAnsi="宋体"/>
          <w:szCs w:val="21"/>
        </w:rPr>
      </w:pPr>
      <w:r>
        <w:rPr>
          <w:rFonts w:hint="eastAsia" w:ascii="宋体" w:hAnsi="宋体"/>
          <w:szCs w:val="21"/>
        </w:rPr>
        <w:t>1.2.1  本工程施工场地(现场)已经具备施工条件。施工场地(现场)临时水源接口位置、临时电源接口位置、临时排污口位置、建筑红线位置、道路交通和出入口、以及施工场地(现场)和周围环境等情况见本章附件A：施工场地(现场)现状平面图。</w:t>
      </w:r>
    </w:p>
    <w:p>
      <w:pPr>
        <w:spacing w:line="360" w:lineRule="auto"/>
        <w:ind w:left="1050" w:hanging="1050" w:hangingChars="500"/>
        <w:rPr>
          <w:rFonts w:ascii="宋体" w:hAnsi="宋体"/>
          <w:szCs w:val="21"/>
        </w:rPr>
      </w:pPr>
      <w:r>
        <w:rPr>
          <w:rFonts w:hint="eastAsia" w:ascii="宋体" w:hAnsi="宋体"/>
          <w:szCs w:val="21"/>
        </w:rPr>
        <w:t>1.2.2  施工场地(现场)临时供水管径</w:t>
      </w:r>
      <w:bookmarkStart w:id="1043" w:name="EptNR_施工场地临时供水管径"/>
      <w:bookmarkEnd w:id="1043"/>
      <w:r>
        <w:rPr>
          <w:rFonts w:hint="eastAsia" w:ascii="宋体" w:hAnsi="宋体"/>
          <w:szCs w:val="21"/>
        </w:rPr>
        <w:t>。</w:t>
      </w:r>
    </w:p>
    <w:p>
      <w:pPr>
        <w:spacing w:line="360" w:lineRule="auto"/>
        <w:ind w:firstLine="735" w:firstLineChars="350"/>
        <w:rPr>
          <w:rFonts w:ascii="宋体" w:hAnsi="宋体"/>
          <w:szCs w:val="21"/>
        </w:rPr>
      </w:pPr>
      <w:r>
        <w:rPr>
          <w:rFonts w:hint="eastAsia" w:ascii="宋体" w:hAnsi="宋体"/>
          <w:szCs w:val="21"/>
        </w:rPr>
        <w:t>施工场地(现场)临时排污管径</w:t>
      </w:r>
      <w:bookmarkStart w:id="1044" w:name="EptNR_施工场地临时排污管径"/>
      <w:bookmarkEnd w:id="1044"/>
      <w:r>
        <w:rPr>
          <w:rFonts w:hint="eastAsia" w:ascii="宋体" w:hAnsi="宋体"/>
          <w:szCs w:val="21"/>
        </w:rPr>
        <w:t>。</w:t>
      </w:r>
    </w:p>
    <w:p>
      <w:pPr>
        <w:spacing w:line="360" w:lineRule="auto"/>
        <w:ind w:left="798" w:leftChars="330" w:hanging="105" w:hangingChars="50"/>
        <w:rPr>
          <w:rFonts w:ascii="宋体" w:hAnsi="宋体"/>
          <w:szCs w:val="21"/>
        </w:rPr>
      </w:pPr>
      <w:r>
        <w:rPr>
          <w:rFonts w:hint="eastAsia" w:ascii="宋体" w:hAnsi="宋体"/>
          <w:szCs w:val="21"/>
        </w:rPr>
        <w:t>施工场地(现场)临时雨水管径</w:t>
      </w:r>
      <w:bookmarkStart w:id="1045" w:name="EptNR_施工场地临时雨水管径"/>
      <w:bookmarkEnd w:id="1045"/>
      <w:r>
        <w:rPr>
          <w:rFonts w:hint="eastAsia" w:ascii="宋体" w:hAnsi="宋体"/>
          <w:szCs w:val="21"/>
        </w:rPr>
        <w:t>。</w:t>
      </w:r>
    </w:p>
    <w:p>
      <w:pPr>
        <w:spacing w:line="360" w:lineRule="auto"/>
        <w:ind w:firstLine="756" w:firstLineChars="360"/>
        <w:rPr>
          <w:rFonts w:ascii="宋体" w:hAnsi="宋体"/>
          <w:szCs w:val="21"/>
        </w:rPr>
      </w:pPr>
      <w:r>
        <w:rPr>
          <w:rFonts w:hint="eastAsia" w:ascii="宋体" w:hAnsi="宋体"/>
          <w:szCs w:val="21"/>
        </w:rPr>
        <w:t>施工现场临时供电容量(变压器输出功率)</w:t>
      </w:r>
      <w:bookmarkStart w:id="1046" w:name="EptNR_施工现场临时供电容量"/>
      <w:bookmarkEnd w:id="1046"/>
      <w:r>
        <w:rPr>
          <w:rFonts w:hint="eastAsia" w:ascii="宋体" w:hAnsi="宋体"/>
          <w:szCs w:val="21"/>
        </w:rPr>
        <w:t>。</w:t>
      </w:r>
    </w:p>
    <w:p>
      <w:pPr>
        <w:spacing w:line="360" w:lineRule="auto"/>
        <w:ind w:left="420" w:hanging="420" w:hangingChars="200"/>
        <w:rPr>
          <w:rFonts w:ascii="宋体" w:hAnsi="宋体"/>
          <w:szCs w:val="21"/>
        </w:rPr>
      </w:pPr>
      <w:r>
        <w:rPr>
          <w:rFonts w:hint="eastAsia" w:ascii="宋体" w:hAnsi="宋体"/>
          <w:szCs w:val="21"/>
        </w:rPr>
        <w:t>1.2.3  现场条件和周围环境的其他资料和信息数据如下：</w:t>
      </w:r>
    </w:p>
    <w:p>
      <w:pPr>
        <w:spacing w:line="360" w:lineRule="auto"/>
        <w:ind w:left="420" w:hanging="420" w:hangingChars="200"/>
        <w:rPr>
          <w:rFonts w:ascii="宋体" w:hAnsi="宋体"/>
          <w:szCs w:val="21"/>
        </w:rPr>
      </w:pPr>
      <w:r>
        <w:rPr>
          <w:rFonts w:hint="eastAsia" w:ascii="宋体" w:hAnsi="宋体"/>
          <w:szCs w:val="21"/>
        </w:rPr>
        <w:t>1.2.4  承包人被认为已在本工程投标阶段踏勘现场时充分了解本工程现场条件和周围</w:t>
      </w:r>
    </w:p>
    <w:p>
      <w:pPr>
        <w:spacing w:line="360" w:lineRule="auto"/>
        <w:ind w:left="420" w:leftChars="200" w:firstLine="315" w:firstLineChars="150"/>
        <w:rPr>
          <w:rFonts w:ascii="宋体" w:hAnsi="宋体"/>
          <w:szCs w:val="21"/>
        </w:rPr>
      </w:pPr>
      <w:r>
        <w:rPr>
          <w:rFonts w:hint="eastAsia" w:ascii="宋体" w:hAnsi="宋体"/>
          <w:szCs w:val="21"/>
        </w:rPr>
        <w:t>环境，并已在其投标时就此给予了充分的考虑。</w:t>
      </w:r>
    </w:p>
    <w:p>
      <w:pPr>
        <w:spacing w:line="360" w:lineRule="auto"/>
        <w:ind w:left="420" w:hanging="420" w:hangingChars="200"/>
        <w:rPr>
          <w:rFonts w:ascii="黑体" w:hAnsi="宋体" w:eastAsia="黑体"/>
          <w:szCs w:val="21"/>
        </w:rPr>
      </w:pPr>
      <w:r>
        <w:rPr>
          <w:rFonts w:hint="eastAsia" w:ascii="黑体" w:hAnsi="宋体" w:eastAsia="黑体"/>
          <w:szCs w:val="21"/>
        </w:rPr>
        <w:t>1.3   地质及水文资料</w:t>
      </w:r>
    </w:p>
    <w:p>
      <w:pPr>
        <w:spacing w:line="360" w:lineRule="auto"/>
        <w:ind w:left="420" w:hanging="420" w:hangingChars="200"/>
        <w:rPr>
          <w:rFonts w:ascii="宋体" w:hAnsi="宋体"/>
          <w:szCs w:val="21"/>
        </w:rPr>
      </w:pPr>
      <w:r>
        <w:rPr>
          <w:rFonts w:hint="eastAsia" w:ascii="宋体" w:hAnsi="宋体"/>
          <w:szCs w:val="21"/>
        </w:rPr>
        <w:t>1.3.1  现场地质及水文资料和信息数据如下：</w:t>
      </w:r>
    </w:p>
    <w:p>
      <w:pPr>
        <w:spacing w:line="360" w:lineRule="auto"/>
        <w:ind w:left="1050" w:hanging="1050" w:hangingChars="500"/>
        <w:rPr>
          <w:rFonts w:ascii="黑体" w:hAnsi="宋体" w:eastAsia="黑体"/>
        </w:rPr>
      </w:pPr>
      <w:r>
        <w:rPr>
          <w:rFonts w:hint="eastAsia" w:ascii="黑体" w:hAnsi="宋体" w:eastAsia="黑体"/>
        </w:rPr>
        <w:t>1.4    资料和信息的使用</w:t>
      </w:r>
    </w:p>
    <w:p>
      <w:pPr>
        <w:spacing w:line="360" w:lineRule="auto"/>
        <w:ind w:left="783" w:hanging="783" w:hangingChars="373"/>
        <w:rPr>
          <w:rFonts w:ascii="宋体" w:hAnsi="宋体"/>
          <w:szCs w:val="21"/>
        </w:rPr>
      </w:pPr>
      <w:r>
        <w:rPr>
          <w:rFonts w:hint="eastAsia" w:ascii="宋体" w:hAnsi="宋体"/>
          <w:szCs w:val="21"/>
        </w:rPr>
        <w:t>1.4.1  合同文件中载明的涉及本工程现场条件、周围环境、地质及水文等情况的资料和信息数据，是发包人现有的和客观的，发包人保证有关资料和信息数据的真实、准确。但承包人据此作出的推论、判断和决策，由承包人自行负责。</w:t>
      </w:r>
    </w:p>
    <w:p>
      <w:pPr>
        <w:rPr>
          <w:rFonts w:ascii="宋体" w:hAnsi="宋体"/>
          <w:b/>
          <w:sz w:val="28"/>
          <w:szCs w:val="28"/>
        </w:rPr>
      </w:pPr>
      <w:bookmarkStart w:id="1047" w:name="_Toc277855099"/>
      <w:r>
        <w:rPr>
          <w:rFonts w:hint="eastAsia" w:ascii="宋体" w:hAnsi="宋体"/>
          <w:b/>
          <w:sz w:val="28"/>
          <w:szCs w:val="28"/>
        </w:rPr>
        <w:t>2. 承包范围</w:t>
      </w:r>
      <w:bookmarkEnd w:id="1047"/>
    </w:p>
    <w:p>
      <w:pPr>
        <w:spacing w:line="360" w:lineRule="auto"/>
        <w:ind w:left="1050" w:hanging="1050" w:hangingChars="500"/>
        <w:rPr>
          <w:rFonts w:ascii="黑体" w:hAnsi="宋体" w:eastAsia="黑体"/>
        </w:rPr>
      </w:pPr>
      <w:r>
        <w:rPr>
          <w:rFonts w:hint="eastAsia" w:ascii="黑体" w:hAnsi="宋体" w:eastAsia="黑体"/>
        </w:rPr>
        <w:t>2.1    承包范围</w:t>
      </w:r>
    </w:p>
    <w:p>
      <w:pPr>
        <w:spacing w:line="360" w:lineRule="auto"/>
        <w:ind w:left="1050" w:hanging="1050" w:hangingChars="500"/>
        <w:rPr>
          <w:rFonts w:ascii="黑体" w:hAnsi="宋体" w:eastAsia="黑体"/>
          <w:szCs w:val="21"/>
        </w:rPr>
      </w:pPr>
      <w:r>
        <w:rPr>
          <w:rFonts w:hint="eastAsia" w:ascii="黑体" w:hAnsi="宋体" w:eastAsia="黑体"/>
          <w:szCs w:val="21"/>
        </w:rPr>
        <w:t>2.1.1   承包人自行施工范围</w:t>
      </w:r>
    </w:p>
    <w:p>
      <w:pPr>
        <w:spacing w:line="360" w:lineRule="auto"/>
        <w:ind w:left="1050" w:leftChars="250" w:hanging="525" w:hangingChars="250"/>
        <w:rPr>
          <w:rFonts w:ascii="宋体" w:hAnsi="宋体"/>
          <w:szCs w:val="21"/>
        </w:rPr>
      </w:pPr>
      <w:r>
        <w:rPr>
          <w:rFonts w:hint="eastAsia" w:ascii="宋体" w:hAnsi="宋体"/>
          <w:szCs w:val="21"/>
        </w:rPr>
        <w:t xml:space="preserve">   本工程承包人自行施工的工程范围如下：</w:t>
      </w:r>
    </w:p>
    <w:p>
      <w:pPr>
        <w:spacing w:line="360" w:lineRule="auto"/>
        <w:ind w:left="420" w:hanging="420" w:hangingChars="200"/>
        <w:rPr>
          <w:rFonts w:ascii="宋体" w:hAnsi="宋体"/>
          <w:szCs w:val="21"/>
          <w:u w:val="single"/>
        </w:rPr>
      </w:pPr>
      <w:bookmarkStart w:id="1048" w:name="EptNR_本工程承包人自行施工的工程范围"/>
    </w:p>
    <w:bookmarkEnd w:id="1048"/>
    <w:p>
      <w:pPr>
        <w:spacing w:line="360" w:lineRule="auto"/>
        <w:ind w:left="420" w:hanging="420" w:hangingChars="200"/>
        <w:rPr>
          <w:rFonts w:ascii="宋体" w:hAnsi="宋体"/>
          <w:szCs w:val="21"/>
        </w:rPr>
      </w:pPr>
      <w:r>
        <w:rPr>
          <w:rFonts w:hint="eastAsia" w:ascii="宋体" w:hAnsi="宋体"/>
          <w:szCs w:val="21"/>
        </w:rPr>
        <w:t>。</w:t>
      </w:r>
    </w:p>
    <w:p>
      <w:pPr>
        <w:spacing w:line="360" w:lineRule="auto"/>
        <w:ind w:left="1050" w:hanging="1050" w:hangingChars="500"/>
        <w:rPr>
          <w:rFonts w:ascii="黑体" w:hAnsi="宋体" w:eastAsia="黑体"/>
          <w:szCs w:val="21"/>
        </w:rPr>
      </w:pPr>
      <w:r>
        <w:rPr>
          <w:rFonts w:hint="eastAsia" w:ascii="黑体" w:hAnsi="宋体" w:eastAsia="黑体"/>
          <w:szCs w:val="21"/>
        </w:rPr>
        <w:t>2.1.2    承包范围内的暂估价项目</w:t>
      </w:r>
    </w:p>
    <w:p>
      <w:pPr>
        <w:spacing w:line="360" w:lineRule="auto"/>
        <w:ind w:left="945" w:hanging="945" w:hangingChars="450"/>
        <w:rPr>
          <w:rFonts w:ascii="宋体" w:hAnsi="宋体"/>
          <w:szCs w:val="21"/>
        </w:rPr>
      </w:pPr>
      <w:r>
        <w:rPr>
          <w:rFonts w:hint="eastAsia" w:ascii="宋体" w:hAnsi="宋体"/>
          <w:szCs w:val="21"/>
        </w:rPr>
        <w:t>2.1.2.1  承包范围内以暂估价形式实施的专业工程见“工程量清单”--“专业工程暂估价表”。</w:t>
      </w:r>
    </w:p>
    <w:p>
      <w:pPr>
        <w:tabs>
          <w:tab w:val="left" w:pos="1260"/>
        </w:tabs>
        <w:spacing w:line="360" w:lineRule="auto"/>
        <w:ind w:left="945" w:hanging="945" w:hangingChars="450"/>
        <w:rPr>
          <w:rFonts w:ascii="宋体" w:hAnsi="宋体"/>
          <w:szCs w:val="21"/>
        </w:rPr>
      </w:pPr>
      <w:r>
        <w:rPr>
          <w:rFonts w:hint="eastAsia" w:ascii="宋体" w:hAnsi="宋体"/>
          <w:szCs w:val="21"/>
        </w:rPr>
        <w:t>2.1.2.2  承包范围内以暂估价形式实施的材料和工程设备见“工程量清单”—“材料和工程设备暂估单价表”。</w:t>
      </w:r>
    </w:p>
    <w:p>
      <w:pPr>
        <w:spacing w:line="360" w:lineRule="auto"/>
        <w:ind w:left="735" w:hanging="735" w:hangingChars="350"/>
        <w:rPr>
          <w:rFonts w:ascii="宋体" w:hAnsi="宋体"/>
          <w:szCs w:val="21"/>
        </w:rPr>
      </w:pPr>
      <w:r>
        <w:rPr>
          <w:rFonts w:hint="eastAsia" w:ascii="宋体" w:hAnsi="宋体"/>
          <w:szCs w:val="21"/>
        </w:rPr>
        <w:t>2.1.2.3  上述暂估价项目与本节第2.1.1项承包人自行施工范围的工作界面划分如下：</w:t>
      </w:r>
    </w:p>
    <w:p>
      <w:pPr>
        <w:spacing w:line="360" w:lineRule="auto"/>
        <w:ind w:left="735" w:hanging="735" w:hangingChars="350"/>
        <w:rPr>
          <w:rFonts w:ascii="宋体" w:hAnsi="宋体"/>
          <w:szCs w:val="21"/>
          <w:u w:val="single"/>
        </w:rPr>
      </w:pPr>
      <w:bookmarkStart w:id="1049" w:name="EptNR_上述暂估价项目与承包人自行施工范围的工作界面划分"/>
    </w:p>
    <w:bookmarkEnd w:id="1049"/>
    <w:p>
      <w:pPr>
        <w:spacing w:line="360" w:lineRule="auto"/>
        <w:ind w:left="735" w:hanging="735" w:hangingChars="350"/>
        <w:rPr>
          <w:rFonts w:ascii="黑体" w:hAnsi="宋体" w:eastAsia="黑体"/>
          <w:szCs w:val="21"/>
        </w:rPr>
      </w:pPr>
      <w:r>
        <w:rPr>
          <w:rFonts w:hint="eastAsia" w:ascii="黑体" w:hAnsi="宋体" w:eastAsia="黑体"/>
          <w:szCs w:val="21"/>
        </w:rPr>
        <w:t>2.1.3     承包范围内的暂列金额项目</w:t>
      </w:r>
    </w:p>
    <w:p>
      <w:pPr>
        <w:spacing w:line="360" w:lineRule="auto"/>
        <w:ind w:left="945" w:hanging="945" w:hangingChars="450"/>
        <w:rPr>
          <w:rFonts w:ascii="宋体" w:hAnsi="宋体"/>
          <w:szCs w:val="21"/>
        </w:rPr>
      </w:pPr>
      <w:r>
        <w:rPr>
          <w:rFonts w:hint="eastAsia" w:ascii="宋体" w:hAnsi="宋体"/>
          <w:szCs w:val="21"/>
        </w:rPr>
        <w:t>2.1.3.1  承包范围内以暂列金额(包括计日工)方式实施的项目见“工程量清单”—“暂列金额明细表”(不包括计日工)“计日工表”，其中计日工金额为承包人在其投标报价中按“计日工表”所列计日工子目、数量和相应规定填报的金额。</w:t>
      </w:r>
    </w:p>
    <w:p>
      <w:pPr>
        <w:spacing w:line="360" w:lineRule="auto"/>
        <w:ind w:left="945" w:hanging="945" w:hangingChars="450"/>
        <w:rPr>
          <w:rFonts w:ascii="宋体" w:hAnsi="宋体"/>
          <w:szCs w:val="21"/>
        </w:rPr>
      </w:pPr>
      <w:r>
        <w:rPr>
          <w:rFonts w:hint="eastAsia" w:ascii="宋体" w:hAnsi="宋体"/>
          <w:szCs w:val="21"/>
        </w:rPr>
        <w:t>2.1.3.2  暂列金额明细表中每笔暂列金额所对应的子目，包括计日工，均只是可能发生的子目。承包人应当充分认识到，合同履行过程中所列暂列金额可能不发生，也可能部分发生。即便发生，监理人按照合同约定发出的使用暂列金额的指示也不限于只能用于表中所列子目。</w:t>
      </w:r>
    </w:p>
    <w:p>
      <w:pPr>
        <w:spacing w:line="360" w:lineRule="auto"/>
        <w:ind w:left="945" w:hanging="945" w:hangingChars="450"/>
        <w:rPr>
          <w:rFonts w:ascii="宋体" w:hAnsi="宋体"/>
          <w:szCs w:val="21"/>
        </w:rPr>
      </w:pPr>
      <w:r>
        <w:rPr>
          <w:rFonts w:hint="eastAsia" w:ascii="宋体" w:hAnsi="宋体"/>
          <w:szCs w:val="21"/>
        </w:rPr>
        <w:t>2.1.3.3  暂列金额是否实际发生、其再分和合并等均不应成为承包人要求任何追加费用和(或)延长工期的理由。</w:t>
      </w:r>
    </w:p>
    <w:p>
      <w:pPr>
        <w:spacing w:line="360" w:lineRule="auto"/>
        <w:ind w:left="735" w:hanging="735" w:hangingChars="350"/>
        <w:rPr>
          <w:rFonts w:ascii="宋体" w:hAnsi="宋体"/>
          <w:szCs w:val="21"/>
        </w:rPr>
      </w:pPr>
      <w:r>
        <w:rPr>
          <w:rFonts w:hint="eastAsia" w:ascii="宋体" w:hAnsi="宋体"/>
          <w:szCs w:val="21"/>
        </w:rPr>
        <w:t>2.1.3.4  关于暂列金额的其他说明：</w:t>
      </w:r>
    </w:p>
    <w:p>
      <w:pPr>
        <w:spacing w:line="360" w:lineRule="auto"/>
        <w:ind w:left="735" w:hanging="735" w:hangingChars="350"/>
        <w:rPr>
          <w:rFonts w:ascii="黑体" w:hAnsi="宋体" w:eastAsia="黑体"/>
          <w:szCs w:val="21"/>
        </w:rPr>
      </w:pPr>
      <w:r>
        <w:rPr>
          <w:rFonts w:hint="eastAsia" w:ascii="黑体" w:hAnsi="宋体" w:eastAsia="黑体"/>
          <w:szCs w:val="21"/>
        </w:rPr>
        <w:t>2.2    发包人发包专业工程和发包人供应的材料和工程设备</w:t>
      </w:r>
    </w:p>
    <w:p>
      <w:pPr>
        <w:spacing w:line="360" w:lineRule="auto"/>
        <w:ind w:left="735" w:hanging="735" w:hangingChars="350"/>
        <w:rPr>
          <w:rFonts w:ascii="宋体" w:hAnsi="宋体"/>
          <w:szCs w:val="21"/>
        </w:rPr>
      </w:pPr>
      <w:r>
        <w:rPr>
          <w:rFonts w:hint="eastAsia" w:ascii="宋体" w:hAnsi="宋体"/>
          <w:szCs w:val="21"/>
        </w:rPr>
        <w:t>2.2.1  由发包人发包的专业工程属于与本工程有关的其他工程，不属于承包人的承包范围。发包人发包的专业工程如下：</w:t>
      </w:r>
    </w:p>
    <w:p>
      <w:pPr>
        <w:spacing w:line="360" w:lineRule="auto"/>
        <w:ind w:left="735" w:hanging="735" w:hangingChars="350"/>
        <w:rPr>
          <w:rFonts w:ascii="宋体" w:hAnsi="宋体"/>
          <w:szCs w:val="21"/>
        </w:rPr>
      </w:pPr>
      <w:r>
        <w:rPr>
          <w:rFonts w:hint="eastAsia" w:ascii="宋体" w:hAnsi="宋体"/>
          <w:szCs w:val="21"/>
        </w:rPr>
        <w:t>2.2.2  由发包人供应的材料和工程设备不属于承包人的承包范围。发包人供应的材料和工程设备见合同附件三“发包人供应的材料和工程设备一览表”。</w:t>
      </w:r>
    </w:p>
    <w:p>
      <w:pPr>
        <w:spacing w:line="360" w:lineRule="auto"/>
        <w:ind w:left="735" w:hanging="735" w:hangingChars="350"/>
        <w:rPr>
          <w:rFonts w:ascii="黑体" w:hAnsi="宋体" w:eastAsia="黑体"/>
          <w:szCs w:val="21"/>
        </w:rPr>
      </w:pPr>
      <w:r>
        <w:rPr>
          <w:rFonts w:hint="eastAsia" w:ascii="黑体" w:hAnsi="宋体" w:eastAsia="黑体"/>
          <w:szCs w:val="21"/>
        </w:rPr>
        <w:t>2.3    承包人与发包人发包专业工程承包人的工作界面</w:t>
      </w:r>
    </w:p>
    <w:p>
      <w:pPr>
        <w:spacing w:line="360" w:lineRule="auto"/>
        <w:ind w:left="735" w:hanging="735" w:hangingChars="350"/>
        <w:rPr>
          <w:rFonts w:ascii="宋体" w:hAnsi="宋体"/>
          <w:szCs w:val="21"/>
        </w:rPr>
      </w:pPr>
      <w:r>
        <w:rPr>
          <w:rFonts w:hint="eastAsia" w:ascii="宋体" w:hAnsi="宋体"/>
          <w:szCs w:val="21"/>
        </w:rPr>
        <w:t>2.3.1  承包人与发包人发包专业工程承包人以及与发包人供应的材料和设备的供应商之间的工作界面划分如下：</w:t>
      </w:r>
    </w:p>
    <w:p>
      <w:pPr>
        <w:spacing w:line="360" w:lineRule="auto"/>
        <w:ind w:left="735" w:hanging="735" w:hangingChars="350"/>
        <w:rPr>
          <w:rFonts w:ascii="宋体" w:hAnsi="宋体"/>
          <w:szCs w:val="21"/>
        </w:rPr>
      </w:pPr>
      <w:bookmarkStart w:id="1050" w:name="EptNR_承包人与发包人发包专业工程承包人以及与发包人供应的材料和设备的供应商"/>
    </w:p>
    <w:bookmarkEnd w:id="1050"/>
    <w:p>
      <w:pPr>
        <w:spacing w:line="360" w:lineRule="auto"/>
        <w:ind w:left="735" w:hanging="735" w:hangingChars="350"/>
        <w:rPr>
          <w:rFonts w:ascii="宋体" w:hAnsi="宋体"/>
          <w:szCs w:val="21"/>
        </w:rPr>
      </w:pPr>
      <w:r>
        <w:rPr>
          <w:rFonts w:hint="eastAsia" w:ascii="宋体" w:hAnsi="宋体"/>
          <w:szCs w:val="21"/>
        </w:rPr>
        <w:t>。</w:t>
      </w:r>
    </w:p>
    <w:p>
      <w:pPr>
        <w:spacing w:line="360" w:lineRule="auto"/>
        <w:ind w:left="735" w:hanging="735" w:hangingChars="350"/>
        <w:rPr>
          <w:rFonts w:ascii="黑体" w:hAnsi="宋体" w:eastAsia="黑体"/>
          <w:szCs w:val="21"/>
        </w:rPr>
      </w:pPr>
      <w:r>
        <w:rPr>
          <w:rFonts w:hint="eastAsia" w:ascii="黑体" w:hAnsi="宋体" w:eastAsia="黑体"/>
          <w:szCs w:val="21"/>
        </w:rPr>
        <w:t>2.4    承包人需要为发包人和监理人提供的现场办公条件和设施</w:t>
      </w:r>
    </w:p>
    <w:p>
      <w:pPr>
        <w:spacing w:line="360" w:lineRule="auto"/>
        <w:ind w:left="735" w:hanging="735" w:hangingChars="350"/>
        <w:rPr>
          <w:rFonts w:ascii="宋体" w:hAnsi="宋体"/>
          <w:szCs w:val="21"/>
        </w:rPr>
      </w:pPr>
      <w:r>
        <w:rPr>
          <w:rFonts w:hint="eastAsia" w:ascii="宋体" w:hAnsi="宋体"/>
          <w:szCs w:val="21"/>
        </w:rPr>
        <w:t>2.4.1  承包人需要为发包人和监理人提供的现场办公条件和设施及其详细要求如下：</w:t>
      </w:r>
    </w:p>
    <w:p>
      <w:pPr>
        <w:rPr>
          <w:rFonts w:ascii="宋体" w:hAnsi="宋体"/>
          <w:b/>
          <w:sz w:val="28"/>
          <w:szCs w:val="28"/>
        </w:rPr>
      </w:pPr>
      <w:bookmarkStart w:id="1051" w:name="_Toc277855100"/>
      <w:r>
        <w:rPr>
          <w:rFonts w:hint="eastAsia" w:ascii="宋体" w:hAnsi="宋体"/>
          <w:b/>
          <w:sz w:val="28"/>
          <w:szCs w:val="28"/>
        </w:rPr>
        <w:t>3. 工期要求</w:t>
      </w:r>
      <w:bookmarkEnd w:id="1051"/>
    </w:p>
    <w:p>
      <w:pPr>
        <w:spacing w:line="360" w:lineRule="auto"/>
        <w:ind w:left="735" w:hanging="735" w:hangingChars="350"/>
        <w:rPr>
          <w:rFonts w:ascii="黑体" w:hAnsi="宋体" w:eastAsia="黑体"/>
        </w:rPr>
      </w:pPr>
      <w:r>
        <w:rPr>
          <w:rFonts w:hint="eastAsia" w:ascii="黑体" w:hAnsi="宋体" w:eastAsia="黑体"/>
        </w:rPr>
        <w:t>3.1   合同工期</w:t>
      </w:r>
    </w:p>
    <w:p>
      <w:pPr>
        <w:spacing w:line="360" w:lineRule="auto"/>
        <w:ind w:left="711" w:leftChars="333" w:hanging="12" w:hangingChars="6"/>
        <w:rPr>
          <w:rFonts w:ascii="宋体" w:hAnsi="宋体"/>
          <w:szCs w:val="21"/>
        </w:rPr>
      </w:pPr>
      <w:r>
        <w:rPr>
          <w:rFonts w:hint="eastAsia" w:ascii="宋体" w:hAnsi="宋体"/>
          <w:szCs w:val="21"/>
        </w:rPr>
        <w:t>本工程合同工期和计划开、竣工日期为承包人在投标函中承诺的工期和计划开、竣工日期，并在合同协议书中载明。</w:t>
      </w:r>
    </w:p>
    <w:p>
      <w:pPr>
        <w:spacing w:line="360" w:lineRule="auto"/>
        <w:ind w:left="735" w:hanging="735" w:hangingChars="350"/>
        <w:rPr>
          <w:rFonts w:ascii="黑体" w:hAnsi="宋体" w:eastAsia="黑体"/>
        </w:rPr>
      </w:pPr>
      <w:r>
        <w:rPr>
          <w:rFonts w:hint="eastAsia" w:ascii="黑体" w:hAnsi="宋体" w:eastAsia="黑体"/>
        </w:rPr>
        <w:t>3.2   关于工期的一般规定</w:t>
      </w:r>
    </w:p>
    <w:p>
      <w:pPr>
        <w:spacing w:line="360" w:lineRule="auto"/>
        <w:ind w:left="735" w:hanging="735" w:hangingChars="350"/>
        <w:rPr>
          <w:rFonts w:ascii="宋体" w:hAnsi="宋体"/>
          <w:szCs w:val="21"/>
        </w:rPr>
      </w:pPr>
      <w:r>
        <w:rPr>
          <w:rFonts w:hint="eastAsia" w:ascii="宋体" w:hAnsi="宋体"/>
          <w:szCs w:val="21"/>
        </w:rPr>
        <w:t>3.2.1  承包人在投标函中承诺的工期和计划开、竣工日期之间发生矛盾或者不一致时，以承包人承诺的工期为准。实际开工日期以合同条款约定的监理人发出的开工通知中载明的开工日期为准。</w:t>
      </w:r>
    </w:p>
    <w:p>
      <w:pPr>
        <w:spacing w:line="360" w:lineRule="auto"/>
        <w:ind w:left="735" w:hanging="735" w:hangingChars="350"/>
        <w:rPr>
          <w:rFonts w:ascii="宋体" w:hAnsi="宋体"/>
          <w:szCs w:val="21"/>
        </w:rPr>
      </w:pPr>
      <w:r>
        <w:rPr>
          <w:rFonts w:hint="eastAsia" w:ascii="宋体" w:hAnsi="宋体"/>
          <w:szCs w:val="21"/>
        </w:rPr>
        <w:t>3.2.2  如果承包人在投标函中承诺的工期提前于发包人在本工程招标文件中所要求的工期，承包人在施工组织设计中应当制定相应的工期保证措施，由此而增加的费用应当被认为已经包括在投标总价中。除合同另有约定外，合同履约过程中发包人不会因此再向承包人支付任何性质的技术措施费用、赶工费用或其他任何性质的提前完工奖励等费用。</w:t>
      </w:r>
    </w:p>
    <w:p>
      <w:pPr>
        <w:spacing w:line="360" w:lineRule="auto"/>
        <w:ind w:left="735" w:hanging="735" w:hangingChars="350"/>
        <w:rPr>
          <w:rFonts w:ascii="宋体" w:hAnsi="宋体"/>
          <w:szCs w:val="21"/>
        </w:rPr>
      </w:pPr>
      <w:r>
        <w:rPr>
          <w:rFonts w:hint="eastAsia" w:ascii="宋体" w:hAnsi="宋体"/>
          <w:szCs w:val="21"/>
        </w:rPr>
        <w:t>3.2.3  承包人在投标函中所承诺的工期应当包括实施并完成本节上述2.1.2项规定的暂估价项目和上述2.1.3项规定的实际可能发生的暂列金额在内的所有工作的工期。</w:t>
      </w:r>
    </w:p>
    <w:p>
      <w:bookmarkStart w:id="1052" w:name="_Toc277855101"/>
      <w:r>
        <w:rPr>
          <w:rFonts w:hint="eastAsia" w:ascii="宋体" w:hAnsi="宋体"/>
          <w:b/>
          <w:sz w:val="28"/>
          <w:szCs w:val="28"/>
        </w:rPr>
        <w:t>4. 质量要求</w:t>
      </w:r>
      <w:bookmarkEnd w:id="1052"/>
    </w:p>
    <w:p>
      <w:pPr>
        <w:spacing w:line="360" w:lineRule="auto"/>
        <w:ind w:left="735" w:hanging="735" w:hangingChars="350"/>
        <w:rPr>
          <w:rFonts w:ascii="黑体" w:hAnsi="宋体" w:eastAsia="黑体"/>
        </w:rPr>
      </w:pPr>
      <w:r>
        <w:rPr>
          <w:rFonts w:hint="eastAsia" w:ascii="黑体" w:hAnsi="宋体" w:eastAsia="黑体"/>
        </w:rPr>
        <w:t>4.1   质量标准</w:t>
      </w:r>
    </w:p>
    <w:p>
      <w:pPr>
        <w:spacing w:line="360" w:lineRule="auto"/>
        <w:ind w:left="735" w:hanging="735" w:hangingChars="350"/>
        <w:rPr>
          <w:rFonts w:ascii="宋体" w:hAnsi="宋体"/>
          <w:szCs w:val="21"/>
        </w:rPr>
      </w:pPr>
      <w:r>
        <w:rPr>
          <w:rFonts w:hint="eastAsia" w:ascii="宋体" w:hAnsi="宋体"/>
          <w:szCs w:val="21"/>
        </w:rPr>
        <w:t>4.1.1  本工程要求的质量标准为</w:t>
      </w:r>
      <w:r>
        <w:rPr>
          <w:rFonts w:hint="eastAsia" w:ascii="宋体" w:hAnsi="宋体"/>
          <w:szCs w:val="21"/>
          <w:u w:val="single"/>
        </w:rPr>
        <w:t>符合投标人须知前附表规定</w:t>
      </w:r>
      <w:r>
        <w:rPr>
          <w:rFonts w:hint="eastAsia" w:ascii="宋体" w:hAnsi="宋体"/>
          <w:szCs w:val="21"/>
        </w:rPr>
        <w:t>。</w:t>
      </w:r>
    </w:p>
    <w:p>
      <w:pPr>
        <w:spacing w:before="31" w:beforeLines="10" w:after="31" w:afterLines="10" w:line="360" w:lineRule="auto"/>
        <w:ind w:left="735" w:hanging="735" w:hangingChars="350"/>
        <w:rPr>
          <w:rFonts w:ascii="黑体" w:hAnsi="宋体" w:eastAsia="黑体"/>
        </w:rPr>
      </w:pPr>
      <w:r>
        <w:rPr>
          <w:rFonts w:hint="eastAsia" w:ascii="黑体" w:hAnsi="宋体" w:eastAsia="黑体"/>
        </w:rPr>
        <w:t>4.2   特殊质量要求</w:t>
      </w:r>
    </w:p>
    <w:p>
      <w:pPr>
        <w:spacing w:line="360" w:lineRule="auto"/>
        <w:ind w:left="735" w:hanging="735" w:hangingChars="350"/>
        <w:rPr>
          <w:rFonts w:ascii="宋体" w:hAnsi="宋体"/>
          <w:szCs w:val="21"/>
        </w:rPr>
      </w:pPr>
      <w:r>
        <w:rPr>
          <w:rFonts w:hint="eastAsia" w:ascii="宋体" w:hAnsi="宋体"/>
          <w:szCs w:val="21"/>
        </w:rPr>
        <w:t>4.2.1  有关本工程质量方面的特殊要求如下：</w:t>
      </w:r>
    </w:p>
    <w:p>
      <w:pPr>
        <w:spacing w:line="360" w:lineRule="auto"/>
        <w:ind w:left="735" w:hanging="735" w:hangingChars="350"/>
        <w:rPr>
          <w:rFonts w:ascii="宋体" w:hAnsi="宋体"/>
          <w:szCs w:val="21"/>
        </w:rPr>
      </w:pPr>
      <w:bookmarkStart w:id="1053" w:name="EptNR_有关本工程质量方面的特殊要求"/>
    </w:p>
    <w:bookmarkEnd w:id="1053"/>
    <w:p>
      <w:pPr>
        <w:spacing w:line="360" w:lineRule="auto"/>
        <w:ind w:left="735" w:hanging="735" w:hangingChars="350"/>
        <w:rPr>
          <w:rFonts w:ascii="宋体" w:hAnsi="宋体"/>
          <w:szCs w:val="21"/>
        </w:rPr>
      </w:pPr>
      <w:r>
        <w:rPr>
          <w:rFonts w:hint="eastAsia" w:ascii="宋体" w:hAnsi="宋体"/>
          <w:szCs w:val="21"/>
        </w:rPr>
        <w:t>。</w:t>
      </w:r>
    </w:p>
    <w:p>
      <w:pPr>
        <w:rPr>
          <w:rFonts w:ascii="宋体" w:hAnsi="宋体"/>
          <w:b/>
          <w:sz w:val="28"/>
          <w:szCs w:val="28"/>
        </w:rPr>
      </w:pPr>
      <w:bookmarkStart w:id="1054" w:name="_Toc277855102"/>
      <w:r>
        <w:rPr>
          <w:rFonts w:hint="eastAsia" w:ascii="宋体" w:hAnsi="宋体"/>
          <w:b/>
          <w:sz w:val="28"/>
          <w:szCs w:val="28"/>
        </w:rPr>
        <w:t>5. 适用规范和标准</w:t>
      </w:r>
      <w:bookmarkEnd w:id="1054"/>
    </w:p>
    <w:p>
      <w:pPr>
        <w:spacing w:before="31" w:beforeLines="10" w:after="31" w:afterLines="10" w:line="360" w:lineRule="auto"/>
        <w:ind w:left="735" w:hanging="735" w:hangingChars="350"/>
        <w:rPr>
          <w:rFonts w:ascii="黑体" w:hAnsi="宋体" w:eastAsia="黑体"/>
        </w:rPr>
      </w:pPr>
      <w:r>
        <w:rPr>
          <w:rFonts w:hint="eastAsia" w:ascii="黑体" w:hAnsi="宋体" w:eastAsia="黑体"/>
        </w:rPr>
        <w:t>5.1    适用的规范、标准和规程</w:t>
      </w:r>
    </w:p>
    <w:p>
      <w:pPr>
        <w:spacing w:line="360" w:lineRule="auto"/>
        <w:ind w:left="735" w:hanging="735" w:hangingChars="350"/>
        <w:rPr>
          <w:rFonts w:ascii="宋体" w:hAnsi="宋体"/>
          <w:szCs w:val="21"/>
        </w:rPr>
      </w:pPr>
      <w:r>
        <w:rPr>
          <w:rFonts w:hint="eastAsia" w:ascii="宋体" w:hAnsi="宋体"/>
          <w:szCs w:val="21"/>
        </w:rPr>
        <w:t>5.1.1  除合同另有约定外，本工程适用现行国家、行业和地方规范、标准和规程。适用于本工程的国家、行业和地方的规范、标准和规范等的名录见本章第三节。</w:t>
      </w:r>
    </w:p>
    <w:p>
      <w:pPr>
        <w:spacing w:line="360" w:lineRule="auto"/>
        <w:ind w:left="737"/>
        <w:rPr>
          <w:rFonts w:ascii="宋体" w:hAnsi="宋体"/>
          <w:szCs w:val="21"/>
        </w:rPr>
      </w:pPr>
      <w:r>
        <w:rPr>
          <w:rFonts w:hint="eastAsia" w:ascii="宋体" w:hAnsi="宋体"/>
          <w:szCs w:val="21"/>
        </w:rPr>
        <w:t>构成合同文件的任何内容与适用的规范、标准和规程之间出现矛盾，承包人应书面要求监理人予以澄清，除监理人有特别指示外，承包人应按照其中要求最严格的标准执行。</w:t>
      </w:r>
    </w:p>
    <w:p>
      <w:pPr>
        <w:spacing w:line="360" w:lineRule="auto"/>
        <w:ind w:left="735" w:hanging="735" w:hangingChars="350"/>
        <w:rPr>
          <w:rFonts w:ascii="宋体" w:hAnsi="宋体"/>
          <w:szCs w:val="21"/>
        </w:rPr>
      </w:pPr>
      <w:r>
        <w:rPr>
          <w:rFonts w:hint="eastAsia" w:ascii="宋体" w:hAnsi="宋体"/>
          <w:szCs w:val="21"/>
        </w:rPr>
        <w:t>5.1.3  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pPr>
        <w:spacing w:before="31" w:beforeLines="10" w:after="31" w:afterLines="10" w:line="360" w:lineRule="auto"/>
        <w:ind w:left="735" w:hanging="735" w:hangingChars="350"/>
        <w:rPr>
          <w:rFonts w:ascii="黑体" w:hAnsi="宋体" w:eastAsia="黑体"/>
        </w:rPr>
      </w:pPr>
      <w:r>
        <w:rPr>
          <w:rFonts w:hint="eastAsia" w:ascii="黑体" w:hAnsi="宋体" w:eastAsia="黑体"/>
        </w:rPr>
        <w:t>5.2    特殊技术标准和要求</w:t>
      </w:r>
    </w:p>
    <w:p>
      <w:pPr>
        <w:spacing w:line="360" w:lineRule="auto"/>
        <w:ind w:left="735" w:hanging="735" w:hangingChars="350"/>
        <w:rPr>
          <w:rFonts w:ascii="宋体" w:hAnsi="宋体"/>
          <w:szCs w:val="21"/>
        </w:rPr>
      </w:pPr>
      <w:r>
        <w:rPr>
          <w:rFonts w:hint="eastAsia" w:ascii="宋体" w:hAnsi="宋体"/>
          <w:szCs w:val="21"/>
        </w:rPr>
        <w:t>5.2.1  适用本工程的特殊技术标准和要求见本章第二节。</w:t>
      </w:r>
    </w:p>
    <w:p>
      <w:pPr>
        <w:spacing w:line="360" w:lineRule="auto"/>
        <w:ind w:left="735" w:hanging="735" w:hangingChars="350"/>
        <w:rPr>
          <w:rFonts w:ascii="宋体" w:hAnsi="宋体"/>
          <w:szCs w:val="21"/>
        </w:rPr>
      </w:pPr>
      <w:r>
        <w:rPr>
          <w:rFonts w:hint="eastAsia" w:ascii="宋体" w:hAnsi="宋体"/>
          <w:szCs w:val="21"/>
        </w:rPr>
        <w:t>5.2.2  有合同约束力的图纸和其他设计文件中的有关文字说明是本节的组成内容。</w:t>
      </w:r>
    </w:p>
    <w:p>
      <w:pPr>
        <w:rPr>
          <w:rFonts w:ascii="宋体" w:hAnsi="宋体"/>
          <w:b/>
          <w:sz w:val="28"/>
          <w:szCs w:val="28"/>
        </w:rPr>
      </w:pPr>
      <w:bookmarkStart w:id="1055" w:name="_Toc277855103"/>
      <w:r>
        <w:rPr>
          <w:rFonts w:hint="eastAsia" w:ascii="宋体" w:hAnsi="宋体"/>
          <w:b/>
          <w:sz w:val="28"/>
          <w:szCs w:val="28"/>
        </w:rPr>
        <w:t>6. 安全文明施工</w:t>
      </w:r>
      <w:bookmarkEnd w:id="1055"/>
    </w:p>
    <w:p>
      <w:pPr>
        <w:spacing w:line="360" w:lineRule="auto"/>
        <w:ind w:left="735" w:hanging="735" w:hangingChars="350"/>
        <w:rPr>
          <w:rFonts w:ascii="黑体" w:hAnsi="宋体" w:eastAsia="黑体"/>
        </w:rPr>
      </w:pPr>
      <w:r>
        <w:rPr>
          <w:rFonts w:hint="eastAsia" w:ascii="黑体" w:hAnsi="宋体" w:eastAsia="黑体"/>
        </w:rPr>
        <w:t>6.1   安全防护</w:t>
      </w:r>
    </w:p>
    <w:p>
      <w:pPr>
        <w:spacing w:line="360" w:lineRule="auto"/>
        <w:ind w:left="735" w:hanging="735" w:hangingChars="350"/>
        <w:rPr>
          <w:rFonts w:ascii="宋体" w:hAnsi="宋体"/>
          <w:szCs w:val="21"/>
        </w:rPr>
      </w:pPr>
      <w:r>
        <w:rPr>
          <w:rFonts w:hint="eastAsia" w:ascii="宋体" w:hAnsi="宋体"/>
          <w:szCs w:val="21"/>
        </w:rPr>
        <w:t>6.1.1  在工程施工、竣工、交付及修补任何缺陷的过程中，承包人应当始终遵守国家和地方有关安全生产的法律、法规、规范、标准和规程，履行安全施工职责。</w:t>
      </w:r>
    </w:p>
    <w:p>
      <w:pPr>
        <w:spacing w:line="360" w:lineRule="auto"/>
        <w:ind w:left="735" w:hanging="735" w:hangingChars="350"/>
        <w:rPr>
          <w:rFonts w:ascii="宋体" w:hAnsi="宋体"/>
          <w:szCs w:val="21"/>
        </w:rPr>
      </w:pPr>
      <w:r>
        <w:rPr>
          <w:rFonts w:hint="eastAsia" w:ascii="宋体" w:hAnsi="宋体"/>
          <w:szCs w:val="21"/>
        </w:rPr>
        <w:t>6.1.2  承包人应坚持“安全第一，预防为主”的方针，建立、健全安全生产责任制度和安全生产教育培训制度。在整个工程施工期间，承包人应在施工场地(现场)设立、提供和维护并在有关工作完成或竣工后撤除：</w:t>
      </w:r>
    </w:p>
    <w:p>
      <w:pPr>
        <w:spacing w:line="360" w:lineRule="auto"/>
        <w:ind w:left="1075" w:leftChars="249" w:hanging="552" w:hangingChars="263"/>
        <w:rPr>
          <w:rFonts w:ascii="宋体" w:hAnsi="宋体"/>
          <w:szCs w:val="21"/>
        </w:rPr>
      </w:pPr>
      <w:r>
        <w:rPr>
          <w:rFonts w:hint="eastAsia" w:ascii="宋体" w:hAnsi="宋体"/>
          <w:szCs w:val="21"/>
        </w:rPr>
        <w:t>(1)设立在现场入口显著位置的现场施工总平面图、总平面管理、安全生产、文明施工、环境保护、质量控制、材料管理等的规章制度和主要参建单位名称和工程概况等说明的图板；</w:t>
      </w:r>
    </w:p>
    <w:p>
      <w:pPr>
        <w:spacing w:line="360" w:lineRule="auto"/>
        <w:ind w:left="1050" w:leftChars="250" w:hanging="525" w:hangingChars="250"/>
        <w:rPr>
          <w:rFonts w:ascii="宋体" w:hAnsi="宋体"/>
          <w:szCs w:val="21"/>
        </w:rPr>
      </w:pPr>
      <w:r>
        <w:rPr>
          <w:rFonts w:hint="eastAsia" w:ascii="宋体" w:hAnsi="宋体"/>
          <w:szCs w:val="21"/>
        </w:rPr>
        <w:t>(2)为确保工程安全施工须设立的足够的标志、宣传画、标语、指示牌、警告牌、火警、匪警和急救电话提示牌等等；</w:t>
      </w:r>
    </w:p>
    <w:p>
      <w:pPr>
        <w:spacing w:line="360" w:lineRule="auto"/>
        <w:ind w:left="1155" w:leftChars="250" w:hanging="630" w:hangingChars="300"/>
        <w:rPr>
          <w:rFonts w:ascii="宋体" w:hAnsi="宋体"/>
          <w:szCs w:val="21"/>
        </w:rPr>
      </w:pPr>
      <w:r>
        <w:rPr>
          <w:rFonts w:hint="eastAsia" w:ascii="宋体" w:hAnsi="宋体"/>
          <w:szCs w:val="21"/>
        </w:rPr>
        <w:t>(3)洞口和临边位置的安全防护设施，包括护身栏杆、脚手架、洞口盖板和加筋、竖井防护栏杆、防护棚、防护网、坡道等等；</w:t>
      </w:r>
    </w:p>
    <w:p>
      <w:pPr>
        <w:spacing w:line="360" w:lineRule="auto"/>
        <w:ind w:left="1155" w:leftChars="250" w:hanging="630" w:hangingChars="300"/>
        <w:rPr>
          <w:rFonts w:ascii="宋体" w:hAnsi="宋体"/>
          <w:szCs w:val="21"/>
        </w:rPr>
      </w:pPr>
      <w:r>
        <w:rPr>
          <w:rFonts w:hint="eastAsia" w:ascii="宋体" w:hAnsi="宋体"/>
          <w:szCs w:val="21"/>
        </w:rPr>
        <w:t>(4)安全带、安全绳、安全帽、安全网、绝缘鞋、绝缘手套、防护口罩和防护衣等安全生产用品；</w:t>
      </w:r>
    </w:p>
    <w:p>
      <w:pPr>
        <w:spacing w:line="360" w:lineRule="auto"/>
        <w:ind w:firstLine="525" w:firstLineChars="250"/>
        <w:rPr>
          <w:rFonts w:ascii="宋体" w:hAnsi="宋体"/>
          <w:szCs w:val="21"/>
        </w:rPr>
      </w:pPr>
      <w:r>
        <w:rPr>
          <w:rFonts w:hint="eastAsia" w:ascii="宋体" w:hAnsi="宋体"/>
          <w:szCs w:val="21"/>
        </w:rPr>
        <w:t>(5)所有机械设备包括各类电动工具的安全保护和接地装置和操作说明；</w:t>
      </w:r>
    </w:p>
    <w:p>
      <w:pPr>
        <w:spacing w:line="360" w:lineRule="auto"/>
        <w:ind w:firstLine="525" w:firstLineChars="250"/>
        <w:rPr>
          <w:rFonts w:ascii="宋体" w:hAnsi="宋体"/>
          <w:szCs w:val="21"/>
        </w:rPr>
      </w:pPr>
      <w:r>
        <w:rPr>
          <w:rFonts w:hint="eastAsia" w:ascii="宋体" w:hAnsi="宋体"/>
          <w:szCs w:val="21"/>
        </w:rPr>
        <w:t>(6)装备良好的临时急救站和配备称职的医护人员；</w:t>
      </w:r>
    </w:p>
    <w:p>
      <w:pPr>
        <w:spacing w:line="360" w:lineRule="auto"/>
        <w:ind w:left="1050" w:leftChars="250" w:hanging="525" w:hangingChars="250"/>
        <w:rPr>
          <w:rFonts w:ascii="宋体" w:hAnsi="宋体"/>
          <w:szCs w:val="21"/>
        </w:rPr>
      </w:pPr>
      <w:r>
        <w:rPr>
          <w:rFonts w:hint="eastAsia" w:ascii="宋体" w:hAnsi="宋体"/>
          <w:szCs w:val="21"/>
        </w:rPr>
        <w:t>(7)主要作业场所和临时安全疏散通道24小时36伏安全照明和必要的警示等以防止各种可能的事故；</w:t>
      </w:r>
    </w:p>
    <w:p>
      <w:pPr>
        <w:spacing w:line="360" w:lineRule="auto"/>
        <w:ind w:firstLine="525" w:firstLineChars="250"/>
        <w:rPr>
          <w:rFonts w:ascii="宋体" w:hAnsi="宋体"/>
          <w:szCs w:val="21"/>
        </w:rPr>
      </w:pPr>
      <w:r>
        <w:rPr>
          <w:rFonts w:hint="eastAsia" w:ascii="宋体" w:hAnsi="宋体"/>
          <w:szCs w:val="21"/>
        </w:rPr>
        <w:t>(8)足够数量的和合格的手提灭火器；</w:t>
      </w:r>
    </w:p>
    <w:p>
      <w:pPr>
        <w:spacing w:line="360" w:lineRule="auto"/>
        <w:ind w:firstLine="525" w:firstLineChars="250"/>
        <w:rPr>
          <w:rFonts w:ascii="宋体" w:hAnsi="宋体"/>
          <w:szCs w:val="21"/>
        </w:rPr>
      </w:pPr>
      <w:r>
        <w:rPr>
          <w:rFonts w:hint="eastAsia" w:ascii="宋体" w:hAnsi="宋体"/>
          <w:szCs w:val="21"/>
        </w:rPr>
        <w:t>(9)装备良好的易燃易爆物品仓库和相应的使用管理制度；</w:t>
      </w:r>
    </w:p>
    <w:p>
      <w:pPr>
        <w:spacing w:line="360" w:lineRule="auto"/>
        <w:ind w:firstLine="525" w:firstLineChars="250"/>
        <w:rPr>
          <w:rFonts w:ascii="宋体" w:hAnsi="宋体"/>
          <w:szCs w:val="21"/>
        </w:rPr>
      </w:pPr>
      <w:r>
        <w:rPr>
          <w:rFonts w:hint="eastAsia" w:ascii="宋体" w:hAnsi="宋体"/>
          <w:szCs w:val="21"/>
        </w:rPr>
        <w:t>(10)对涉及明火施工的工作制定诸如用火证等的管理制度；</w:t>
      </w:r>
    </w:p>
    <w:p>
      <w:pPr>
        <w:spacing w:line="360" w:lineRule="auto"/>
        <w:ind w:firstLine="525" w:firstLineChars="250"/>
        <w:rPr>
          <w:rFonts w:ascii="宋体" w:hAnsi="宋体"/>
          <w:szCs w:val="21"/>
        </w:rPr>
      </w:pPr>
      <w:r>
        <w:rPr>
          <w:rFonts w:hint="eastAsia" w:ascii="宋体" w:hAnsi="宋体"/>
          <w:szCs w:val="21"/>
        </w:rPr>
        <w:t>(11)其他：</w:t>
      </w:r>
      <w:bookmarkStart w:id="1056" w:name="EptNR_承包人应在施工场地设立、提供和维护并在有关工作完成或竣工后撤"/>
      <w:bookmarkEnd w:id="1056"/>
      <w:r>
        <w:rPr>
          <w:rFonts w:hint="eastAsia" w:ascii="宋体" w:hAnsi="宋体"/>
          <w:szCs w:val="21"/>
        </w:rPr>
        <w:t>。</w:t>
      </w:r>
    </w:p>
    <w:p>
      <w:pPr>
        <w:spacing w:line="360" w:lineRule="auto"/>
        <w:ind w:left="945" w:hanging="945" w:hangingChars="450"/>
        <w:rPr>
          <w:rFonts w:ascii="宋体" w:hAnsi="宋体"/>
          <w:szCs w:val="21"/>
        </w:rPr>
      </w:pPr>
      <w:r>
        <w:rPr>
          <w:rFonts w:hint="eastAsia" w:ascii="宋体" w:hAnsi="宋体"/>
          <w:szCs w:val="21"/>
        </w:rPr>
        <w:t>6.1.3    安全文明施工费用必须专款专用，承包人应对其由于安全文明施工费用和施工安全措施不到位而发生的安全事故承担全部责任。</w:t>
      </w:r>
    </w:p>
    <w:p>
      <w:pPr>
        <w:spacing w:line="360" w:lineRule="auto"/>
        <w:ind w:left="945" w:hanging="945" w:hangingChars="450"/>
        <w:rPr>
          <w:rFonts w:ascii="宋体" w:hAnsi="宋体"/>
          <w:szCs w:val="21"/>
        </w:rPr>
      </w:pPr>
      <w:r>
        <w:rPr>
          <w:rFonts w:hint="eastAsia" w:ascii="宋体" w:hAnsi="宋体"/>
          <w:szCs w:val="21"/>
        </w:rPr>
        <w:t>6.1.4    承包人应建立专门的施工场地(现场)安全生产管理机构，配备足够数量的和符合有关规定的专职安全生产管理人员，负责日常安全生产巡查和专项检查，召集和主持现场全体人员参加的安全生产例会(每周至少一次)，负责安全技术交底和技术方案的安全把关，负责制定或审核安全隐患的整改措施并监督落实，负责安全资料的整理和管理，及时消除安全隐患，做好安全检查记录，确保所有的安全设施都处于良好的运转状态。承包人项目经理和专职安全生产管理人员均应当具备有效的安全生产考核合格证书。</w:t>
      </w:r>
    </w:p>
    <w:p>
      <w:pPr>
        <w:spacing w:line="360" w:lineRule="auto"/>
        <w:ind w:left="945" w:hanging="945" w:hangingChars="450"/>
        <w:rPr>
          <w:rFonts w:ascii="宋体" w:hAnsi="宋体"/>
          <w:szCs w:val="21"/>
        </w:rPr>
      </w:pPr>
      <w:r>
        <w:rPr>
          <w:rFonts w:hint="eastAsia" w:ascii="宋体" w:hAnsi="宋体"/>
          <w:szCs w:val="21"/>
        </w:rPr>
        <w:t>6.1.5    承包人应遵照有关法规要求，编印安全防护手册发给进场施工人员，做好进场施工人员上岗前的安全教育和培训工作，并建立考核制度，只有考核合格的人员才能进场施工作业。特种作业人员还需经过专门的安全作业培训，并取得特种作业操作资格证书后方可上岗。在任何分部分项工程开始施工前，承包人应当就有关安全施工的技术要求向施工作业班组和作业人员等进行安全交底，并由双方签字确认。</w:t>
      </w:r>
    </w:p>
    <w:p>
      <w:pPr>
        <w:spacing w:line="360" w:lineRule="auto"/>
        <w:ind w:left="945" w:hanging="945" w:hangingChars="450"/>
        <w:rPr>
          <w:rFonts w:ascii="宋体" w:hAnsi="宋体"/>
          <w:szCs w:val="21"/>
        </w:rPr>
      </w:pPr>
      <w:r>
        <w:rPr>
          <w:rFonts w:hint="eastAsia" w:ascii="宋体" w:hAnsi="宋体"/>
          <w:szCs w:val="21"/>
        </w:rPr>
        <w:t>6.1.6    承包人应为其进场施工人员配备必需的安全防护设施和设备，承包人还应为施工场地(现场)邻近地区的所有者和占有者、公众和其他人员，提供一切必要的临时道路、人行道、防护棚、围栏及警告等，以确保财产和人身安全以及最大程度地降低施工可能造成的不便。</w:t>
      </w:r>
    </w:p>
    <w:p>
      <w:pPr>
        <w:spacing w:line="360" w:lineRule="auto"/>
        <w:ind w:left="945" w:hanging="945" w:hangingChars="450"/>
        <w:rPr>
          <w:rFonts w:ascii="宋体" w:hAnsi="宋体"/>
          <w:szCs w:val="21"/>
        </w:rPr>
      </w:pPr>
      <w:r>
        <w:rPr>
          <w:rFonts w:hint="eastAsia" w:ascii="宋体" w:hAnsi="宋体"/>
          <w:szCs w:val="21"/>
        </w:rPr>
        <w:t>6.1.7    承包人应在施工场地(现场)入口处、施工起重机械、临时用电设施、脚手架、出入通道口、楼梯口、电梯井口、孔洞口、隧道口、基坑边沿、危险品存放处等危险部位设置一切必需的安全警示标志，包括但不限于标准道路标志、报警标志、危险标志、控制标志、安全标志、指示标志、警告标志等，并配备必要的照明、防护和看守。承包人应当按监理人的指示，经常补充或更换失效的警示和标志。</w:t>
      </w:r>
    </w:p>
    <w:p>
      <w:pPr>
        <w:spacing w:line="360" w:lineRule="auto"/>
        <w:ind w:left="945" w:hanging="945" w:hangingChars="450"/>
        <w:rPr>
          <w:rFonts w:ascii="宋体" w:hAnsi="宋体"/>
          <w:szCs w:val="21"/>
        </w:rPr>
      </w:pPr>
      <w:r>
        <w:rPr>
          <w:rFonts w:hint="eastAsia" w:ascii="宋体" w:hAnsi="宋体"/>
          <w:szCs w:val="21"/>
        </w:rPr>
        <w:t>6.1.8    承包人应对施工场地(现场)内由其提供并安装的所有提升架、外用电梯和塔吊等垂直和水平运输机械进行安全围护，包括卸料平台门的安全开关、警示铃和警示灯，卸料平台的护身栏杆，脚手架和安全网等等；所有的机械设备应设置安全操作防护罩，并在醒目位置张挂详细的安全操作要点等。</w:t>
      </w:r>
    </w:p>
    <w:p>
      <w:pPr>
        <w:spacing w:line="360" w:lineRule="auto"/>
        <w:ind w:left="945" w:hanging="945" w:hangingChars="450"/>
        <w:rPr>
          <w:rFonts w:ascii="宋体" w:hAnsi="宋体"/>
          <w:szCs w:val="21"/>
        </w:rPr>
      </w:pPr>
      <w:r>
        <w:rPr>
          <w:rFonts w:hint="eastAsia" w:ascii="宋体" w:hAnsi="宋体"/>
          <w:szCs w:val="21"/>
        </w:rPr>
        <w:t>6.1.9    承包人应对所有用于提升的挂钩、挂环、钢丝绳、铁扁担等进行定期检测、检查和标定；如果监理人认为，任何此类设施已经损坏或有使用不当之处，承包人应立即以合格的产品进行更换；所有垂直和水平运输机械的搭设、顶升、使用和拆除必须严格依照现行有关法规、规章、规范、标准和规程等的要求。</w:t>
      </w:r>
    </w:p>
    <w:p>
      <w:pPr>
        <w:spacing w:line="360" w:lineRule="auto"/>
        <w:ind w:left="945" w:hanging="945" w:hangingChars="450"/>
        <w:rPr>
          <w:rFonts w:ascii="宋体" w:hAnsi="宋体"/>
          <w:szCs w:val="21"/>
        </w:rPr>
      </w:pPr>
      <w:r>
        <w:rPr>
          <w:rFonts w:hint="eastAsia" w:ascii="宋体" w:hAnsi="宋体"/>
          <w:szCs w:val="21"/>
        </w:rPr>
        <w:t>6.1.10   所有机械和工器具应定期保养、校核和维护，以保证它们处于良好和安全的工作状态。保养、校核和维护工作应尽可能安排在非工作时间进行，并为上述机械和工器具准备足够的备用配件，以确保工程的施工能不间断地进行。</w:t>
      </w:r>
    </w:p>
    <w:p>
      <w:pPr>
        <w:spacing w:line="360" w:lineRule="auto"/>
        <w:ind w:left="945" w:hanging="945" w:hangingChars="450"/>
        <w:rPr>
          <w:rFonts w:ascii="宋体" w:hAnsi="宋体"/>
          <w:szCs w:val="21"/>
        </w:rPr>
      </w:pPr>
      <w:r>
        <w:rPr>
          <w:rFonts w:hint="eastAsia" w:ascii="宋体" w:hAnsi="宋体"/>
          <w:szCs w:val="21"/>
        </w:rPr>
        <w:t>6.1.11   在永久工程和施工边坡、建筑物基坑、地下洞室等的开挖过程中，应根据其施工安全的需要和(或)监理人指示，安装必要的施工安全监测仪器，及时进行必要的施工安全监测，并定期将安全监测成果提交监理人，以防止引起任何沉降、变形或其他影响正常施工进度的损害。</w:t>
      </w:r>
    </w:p>
    <w:p>
      <w:pPr>
        <w:spacing w:line="360" w:lineRule="auto"/>
        <w:ind w:left="945" w:hanging="945" w:hangingChars="450"/>
        <w:rPr>
          <w:rFonts w:ascii="宋体" w:hAnsi="宋体"/>
          <w:szCs w:val="21"/>
        </w:rPr>
      </w:pPr>
      <w:r>
        <w:rPr>
          <w:rFonts w:hint="eastAsia" w:ascii="宋体" w:hAnsi="宋体"/>
          <w:szCs w:val="21"/>
        </w:rPr>
        <w:t>6.1.12   承包人应对任何施工中的永久工程进行必要的支撑或临时加固。除非承包人已获得监理人书面许可并按要求进行了必要的加固或支撑，不允许承包人在任何已完成的永久性结构上堆放超过设计允许荷载的任何材料、物品或设备。在任何情况下，承包人均应对其任何上述超载行为引起的后果负责，并承担相应的修缮费用。</w:t>
      </w:r>
    </w:p>
    <w:p>
      <w:pPr>
        <w:spacing w:line="360" w:lineRule="auto"/>
        <w:ind w:left="945" w:hanging="945" w:hangingChars="450"/>
        <w:rPr>
          <w:rFonts w:ascii="宋体" w:hAnsi="宋体"/>
          <w:szCs w:val="21"/>
        </w:rPr>
      </w:pPr>
      <w:r>
        <w:rPr>
          <w:rFonts w:hint="eastAsia" w:ascii="宋体" w:hAnsi="宋体"/>
          <w:szCs w:val="21"/>
        </w:rPr>
        <w:t>6.1.13   承包人应成立应急救援小组，配备必要的应急救援器材和设备，制定灾害和生产安全事故的应急救援预案，并将应急救援预案报送监理人。应急救援预案应能随时组织应救专职人员、并定期组织演练。</w:t>
      </w:r>
    </w:p>
    <w:p>
      <w:pPr>
        <w:spacing w:line="360" w:lineRule="auto"/>
        <w:ind w:left="945" w:hanging="945" w:hangingChars="450"/>
        <w:rPr>
          <w:rFonts w:ascii="宋体" w:hAnsi="宋体"/>
          <w:szCs w:val="21"/>
        </w:rPr>
      </w:pPr>
      <w:r>
        <w:rPr>
          <w:rFonts w:hint="eastAsia" w:ascii="宋体" w:hAnsi="宋体"/>
          <w:szCs w:val="21"/>
        </w:rPr>
        <w:t>6.1.14   施工过程中需要使用爆破或带炸药的工具等危险性施工方法时，承包人应提前通</w:t>
      </w:r>
    </w:p>
    <w:p>
      <w:pPr>
        <w:spacing w:line="360" w:lineRule="auto"/>
        <w:ind w:left="945" w:leftChars="450"/>
        <w:rPr>
          <w:rFonts w:ascii="宋体" w:hAnsi="宋体"/>
          <w:szCs w:val="21"/>
        </w:rPr>
      </w:pPr>
      <w:r>
        <w:rPr>
          <w:rFonts w:hint="eastAsia" w:ascii="宋体" w:hAnsi="宋体"/>
          <w:szCs w:val="21"/>
        </w:rPr>
        <w:t>知监理人。经监理人批准后，承包人应依照有关法律、法规、规章以及政府有关主管机构制定的规范性文件等的规定，向有关机构提出申请并获得相关许可。承包人应严格依照上述规定使用、储藏、管理爆破物品或带炸药的工具等，并负责由于这类物品的使用可能引起的任何损失或损害的赔偿。任何情况下，承包人不得在已完永久性工程中和空心砌体中使用爆破方法。</w:t>
      </w:r>
    </w:p>
    <w:p>
      <w:pPr>
        <w:spacing w:line="360" w:lineRule="auto"/>
        <w:ind w:left="945" w:hanging="945" w:hangingChars="450"/>
        <w:rPr>
          <w:rFonts w:ascii="宋体" w:hAnsi="宋体"/>
          <w:szCs w:val="21"/>
        </w:rPr>
      </w:pPr>
      <w:r>
        <w:rPr>
          <w:rFonts w:hint="eastAsia" w:ascii="宋体" w:hAnsi="宋体"/>
          <w:szCs w:val="21"/>
        </w:rPr>
        <w:t>6.1.15   基坑支护与降水工程、土方开挖工程、模板工程、起重吊装工程、脚手架工程、拆除工程和爆破工程等达到一定规模和危险性较大的分部分项工程，承包人应当编制专项施工方案，其中深基坑、地下暗挖和高大模板工程的专项施工方案，还应组织专家进行论证和审查。</w:t>
      </w:r>
    </w:p>
    <w:p>
      <w:pPr>
        <w:spacing w:line="360" w:lineRule="auto"/>
        <w:ind w:left="945" w:hanging="945" w:hangingChars="450"/>
        <w:rPr>
          <w:rFonts w:ascii="宋体" w:hAnsi="宋体"/>
          <w:szCs w:val="21"/>
        </w:rPr>
      </w:pPr>
      <w:r>
        <w:rPr>
          <w:rFonts w:hint="eastAsia" w:ascii="宋体" w:hAnsi="宋体"/>
          <w:szCs w:val="21"/>
        </w:rPr>
        <w:t>6.1.16   施工过程中发生安全事故的，发生施工安全事故后，承包人必须立即报告监理人和发包人，并在事故发生后一小时内向发包人提交事故情况书面报告，并根据《生产安全事故报告和调查处理条例》的规定，及时向工程所在地县级以上地方人民政府安全生产监督管理部门和建设行政主管部门报告。情况紧急时，事故现场有关人员可以直接向工程所在地县级以上地方人民政府安全生产监督管理部门和建设行政主管部门报告。</w:t>
      </w:r>
    </w:p>
    <w:p>
      <w:pPr>
        <w:spacing w:line="360" w:lineRule="auto"/>
        <w:ind w:left="945" w:hanging="945" w:hangingChars="450"/>
        <w:rPr>
          <w:rFonts w:ascii="宋体" w:hAnsi="宋体"/>
          <w:szCs w:val="21"/>
        </w:rPr>
      </w:pPr>
      <w:r>
        <w:rPr>
          <w:rFonts w:hint="eastAsia" w:ascii="宋体" w:hAnsi="宋体"/>
          <w:szCs w:val="21"/>
        </w:rPr>
        <w:t>6.1.17   承包人还应根据有关法律、法规、规定和条例等的要求，制定一套安全生产应急措施和程序，保证一旦出现任何安全事故，能立即保护好现场，抢救伤员和财产，保证施工生产的正常进行，防止损失扩大。</w:t>
      </w:r>
    </w:p>
    <w:p>
      <w:pPr>
        <w:spacing w:line="360" w:lineRule="auto"/>
        <w:ind w:left="945" w:hanging="945" w:hangingChars="450"/>
        <w:rPr>
          <w:rFonts w:ascii="宋体" w:hAnsi="宋体"/>
          <w:szCs w:val="21"/>
        </w:rPr>
      </w:pPr>
      <w:r>
        <w:rPr>
          <w:rFonts w:hint="eastAsia" w:ascii="宋体" w:hAnsi="宋体"/>
          <w:szCs w:val="21"/>
        </w:rPr>
        <w:t>6.1.18   安全防护方面的其他要求如下：</w:t>
      </w:r>
    </w:p>
    <w:p>
      <w:pPr>
        <w:spacing w:line="360" w:lineRule="auto"/>
        <w:ind w:left="735" w:hanging="735" w:hangingChars="350"/>
        <w:rPr>
          <w:rFonts w:ascii="宋体" w:hAnsi="宋体"/>
          <w:szCs w:val="21"/>
        </w:rPr>
      </w:pPr>
      <w:bookmarkStart w:id="1057" w:name="EptNR_安全防护方面的其他要求"/>
    </w:p>
    <w:bookmarkEnd w:id="1057"/>
    <w:p>
      <w:pPr>
        <w:spacing w:line="360" w:lineRule="auto"/>
        <w:ind w:left="945" w:hanging="945" w:hangingChars="450"/>
        <w:rPr>
          <w:rFonts w:ascii="宋体" w:hAnsi="宋体"/>
          <w:szCs w:val="21"/>
        </w:rPr>
      </w:pPr>
      <w:r>
        <w:rPr>
          <w:rFonts w:hint="eastAsia" w:ascii="宋体" w:hAnsi="宋体"/>
          <w:szCs w:val="21"/>
        </w:rPr>
        <w:t>。</w:t>
      </w:r>
    </w:p>
    <w:p>
      <w:pPr>
        <w:spacing w:before="93" w:beforeLines="30" w:after="93" w:afterLines="30" w:line="360" w:lineRule="auto"/>
        <w:ind w:left="945" w:hanging="945" w:hangingChars="450"/>
        <w:rPr>
          <w:rFonts w:ascii="黑体" w:hAnsi="宋体" w:eastAsia="黑体"/>
        </w:rPr>
      </w:pPr>
      <w:r>
        <w:rPr>
          <w:rFonts w:hint="eastAsia" w:ascii="黑体" w:hAnsi="宋体" w:eastAsia="黑体"/>
        </w:rPr>
        <w:t>6.2     临时消防</w:t>
      </w:r>
    </w:p>
    <w:p>
      <w:pPr>
        <w:spacing w:line="360" w:lineRule="auto"/>
        <w:ind w:left="945" w:hanging="945" w:hangingChars="450"/>
        <w:rPr>
          <w:rFonts w:ascii="宋体" w:hAnsi="宋体"/>
          <w:szCs w:val="21"/>
        </w:rPr>
      </w:pPr>
      <w:r>
        <w:rPr>
          <w:rFonts w:hint="eastAsia" w:ascii="宋体" w:hAnsi="宋体"/>
          <w:szCs w:val="21"/>
        </w:rPr>
        <w:t>6.2.1    承包人应建立消防安全责任制度，制定用火、用电和使用易燃易爆等危险品的消防安全管理制度和操作规程。各项制度和规程等应满足相关法律法规和政府消防管理机构的要求。</w:t>
      </w:r>
    </w:p>
    <w:p>
      <w:pPr>
        <w:spacing w:line="360" w:lineRule="auto"/>
        <w:ind w:left="945" w:hanging="945" w:hangingChars="450"/>
        <w:rPr>
          <w:rFonts w:ascii="宋体" w:hAnsi="宋体"/>
          <w:szCs w:val="21"/>
        </w:rPr>
      </w:pPr>
      <w:r>
        <w:rPr>
          <w:rFonts w:hint="eastAsia" w:ascii="宋体" w:hAnsi="宋体"/>
          <w:szCs w:val="21"/>
        </w:rPr>
        <w:t>6.2.2    承包人应根据相关法律法规和消防管理部门的要求，为施工中的永久工程和所有临时工程提供必要的临时消防和紧急疏散设施，包括提供并维持畅通的消防通道、临时消火栓、灭火器、水龙带、灭火桶、灭火铲、灭火斧、消防水管、阀门、检查井、临时消防水箱、泵房和紧随工作面的临时疏散楼梯或疏散设施，消防设施的设立和消防设备的型号和功率应满足消防任务的需要，始终保持能够随时投入正常使用的状态，并设立明显标志。承包人的临时消防系统和配置应分别经过监理人和消防管理部门的审批和验收；承包人还应自费获得消防管理部门的临时消防证书。所有的临时消防设施属于承包人所有，至工程实际竣工时且永久性消防系统投入使用后从现场拆除。</w:t>
      </w:r>
    </w:p>
    <w:p>
      <w:pPr>
        <w:spacing w:line="360" w:lineRule="auto"/>
        <w:ind w:left="945" w:hanging="945" w:hangingChars="450"/>
        <w:rPr>
          <w:rFonts w:ascii="宋体" w:hAnsi="宋体"/>
          <w:szCs w:val="21"/>
        </w:rPr>
      </w:pPr>
      <w:r>
        <w:rPr>
          <w:rFonts w:hint="eastAsia" w:ascii="宋体" w:hAnsi="宋体"/>
          <w:szCs w:val="21"/>
        </w:rPr>
        <w:t>6.2.3    承包人应当成立由项目主要负责人担任组长的临时消防组或消防队，宣传消防基本知识和基本操作培训，组织消防演练，保证一旦发生火灾，能够组织有效的自救，保护生命和财产安全。</w:t>
      </w:r>
    </w:p>
    <w:p>
      <w:pPr>
        <w:spacing w:line="360" w:lineRule="auto"/>
        <w:ind w:left="945" w:hanging="945" w:hangingChars="450"/>
        <w:rPr>
          <w:rFonts w:ascii="宋体" w:hAnsi="宋体"/>
          <w:szCs w:val="21"/>
        </w:rPr>
      </w:pPr>
      <w:r>
        <w:rPr>
          <w:rFonts w:hint="eastAsia" w:ascii="宋体" w:hAnsi="宋体"/>
          <w:szCs w:val="21"/>
        </w:rPr>
        <w:t>6.2.4    施工场地(现场)内的易燃、易爆物品应单独和安全地存放，设专人进行存放和领用管理。施工场地(现场)储有或正在使用易燃、易爆或可燃材料时或有明火施工的工序，应当实行严格的“用火证”管理制度。</w:t>
      </w:r>
    </w:p>
    <w:p>
      <w:pPr>
        <w:spacing w:line="360" w:lineRule="auto"/>
        <w:ind w:left="945" w:hanging="945" w:hangingChars="450"/>
        <w:rPr>
          <w:rFonts w:ascii="宋体" w:hAnsi="宋体"/>
          <w:szCs w:val="21"/>
        </w:rPr>
      </w:pPr>
      <w:r>
        <w:rPr>
          <w:rFonts w:hint="eastAsia" w:ascii="宋体" w:hAnsi="宋体"/>
          <w:szCs w:val="21"/>
        </w:rPr>
        <w:t>6.2.5    临时消防方面的其他要求如下：</w:t>
      </w:r>
    </w:p>
    <w:p>
      <w:pPr>
        <w:spacing w:before="93" w:beforeLines="30" w:after="93" w:afterLines="30" w:line="360" w:lineRule="auto"/>
        <w:ind w:left="945" w:hanging="945" w:hangingChars="450"/>
        <w:rPr>
          <w:rFonts w:ascii="黑体" w:hAnsi="宋体" w:eastAsia="黑体"/>
        </w:rPr>
      </w:pPr>
      <w:r>
        <w:rPr>
          <w:rFonts w:hint="eastAsia" w:ascii="黑体" w:hAnsi="宋体" w:eastAsia="黑体"/>
        </w:rPr>
        <w:t>6.3      临时供电</w:t>
      </w:r>
    </w:p>
    <w:p>
      <w:pPr>
        <w:spacing w:line="360" w:lineRule="auto"/>
        <w:ind w:left="945" w:hanging="945" w:hangingChars="450"/>
        <w:rPr>
          <w:rFonts w:ascii="宋体" w:hAnsi="宋体"/>
          <w:szCs w:val="21"/>
        </w:rPr>
      </w:pPr>
      <w:r>
        <w:rPr>
          <w:rFonts w:hint="eastAsia" w:ascii="宋体" w:hAnsi="宋体"/>
          <w:szCs w:val="21"/>
        </w:rPr>
        <w:t>6.3.1    承包人应当根据《施工现场临时用电安全技术规范》(JGJ 46—2005)及其适用的修订版本的规定和施工要求编制施工临时用电方案。临时用电方案及其变更必须履行“编制、审核、批准”程序。施工临时用电方案应当由电气工程技术人员组织编制，经企业技术负责人批准后实施，经编制、审核、批准部门和使用单位共同验收合格后方可投入使用。</w:t>
      </w:r>
    </w:p>
    <w:p>
      <w:pPr>
        <w:spacing w:line="360" w:lineRule="auto"/>
        <w:ind w:left="945" w:hanging="945" w:hangingChars="450"/>
        <w:rPr>
          <w:rFonts w:ascii="宋体" w:hAnsi="宋体"/>
          <w:szCs w:val="21"/>
        </w:rPr>
      </w:pPr>
      <w:r>
        <w:rPr>
          <w:rFonts w:hint="eastAsia" w:ascii="宋体" w:hAnsi="宋体"/>
          <w:szCs w:val="21"/>
        </w:rPr>
        <w:t>6.3.2    承包人应为施工场地(现场)，包括为工程楼层或者各区域，提供、设立和维护必要的临时电力供应系统，并保证电力供应系统始终处于满足供电管理部门要求和正常施工生产所要求的状态，并在工程实际竣工和相应永久系统投入使用后从现场拆除。</w:t>
      </w:r>
    </w:p>
    <w:p>
      <w:pPr>
        <w:spacing w:line="360" w:lineRule="auto"/>
        <w:ind w:left="945" w:hanging="945" w:hangingChars="450"/>
        <w:rPr>
          <w:rFonts w:ascii="宋体" w:hAnsi="宋体"/>
          <w:szCs w:val="21"/>
        </w:rPr>
      </w:pPr>
      <w:r>
        <w:rPr>
          <w:rFonts w:hint="eastAsia" w:ascii="宋体" w:hAnsi="宋体"/>
          <w:szCs w:val="21"/>
        </w:rPr>
        <w:t>6.3.3    临时供电系统的电缆、电线、配电箱、控制柜、开关箱、漏电保护器等材料设备均应当具有生产(制造)许可证、产品合格证并经过检验合格的产品。临时用电采用三相五线制、三级配电和两极漏电保护供电，三相四线制配电的电缆线路必须采用五芯电缆，按规定设立零线和接地线。电缆和电线的铺设要符合安全用电标准要求，电缆线路应采用埋地或架空敷设，严禁严地面明设，并应避免机械损伤和介质腐蚀。埋地电缆路径应设方位标志。各种配电设备均设有防止漏电和防雨防水设施。</w:t>
      </w:r>
    </w:p>
    <w:p>
      <w:pPr>
        <w:spacing w:line="360" w:lineRule="auto"/>
        <w:ind w:left="945" w:hanging="945" w:hangingChars="450"/>
        <w:rPr>
          <w:rFonts w:ascii="宋体" w:hAnsi="宋体"/>
          <w:szCs w:val="21"/>
        </w:rPr>
      </w:pPr>
      <w:r>
        <w:rPr>
          <w:rFonts w:hint="eastAsia" w:ascii="宋体" w:hAnsi="宋体"/>
          <w:szCs w:val="21"/>
        </w:rPr>
        <w:t>6.3.4    承包人应在施工作业区、施工道路、临时设施、办公区和生活区设置足够的照明，地下工程照明系统的电压不得高于36V，在潮湿和易触及带电体场所的照明供电电压不应大于24V。不便于使用电器照明的工作面应采用特殊照明设施。</w:t>
      </w:r>
    </w:p>
    <w:p>
      <w:pPr>
        <w:spacing w:line="360" w:lineRule="auto"/>
        <w:ind w:left="945" w:hanging="945" w:hangingChars="450"/>
        <w:rPr>
          <w:rFonts w:ascii="宋体" w:hAnsi="宋体"/>
          <w:szCs w:val="21"/>
        </w:rPr>
      </w:pPr>
      <w:r>
        <w:rPr>
          <w:rFonts w:hint="eastAsia" w:ascii="宋体" w:hAnsi="宋体"/>
          <w:szCs w:val="21"/>
        </w:rPr>
        <w:t>6.3.5    凡可能漏电伤人或易受雷击的电器及建筑物均应设置接地和避雷装置。承包人应负责避雷装置的采购、安装、管理和维修，并建立定期检查制度。</w:t>
      </w:r>
    </w:p>
    <w:p>
      <w:pPr>
        <w:spacing w:line="360" w:lineRule="auto"/>
        <w:ind w:left="945" w:hanging="945" w:hangingChars="450"/>
        <w:rPr>
          <w:rFonts w:ascii="宋体" w:hAnsi="宋体"/>
          <w:szCs w:val="21"/>
        </w:rPr>
      </w:pPr>
      <w:r>
        <w:rPr>
          <w:rFonts w:hint="eastAsia" w:ascii="宋体" w:hAnsi="宋体"/>
          <w:szCs w:val="21"/>
        </w:rPr>
        <w:t>6.3.6    临时用电方面的其他要求如下：</w:t>
      </w:r>
    </w:p>
    <w:p>
      <w:pPr>
        <w:spacing w:line="360" w:lineRule="auto"/>
        <w:ind w:left="735" w:hanging="735" w:hangingChars="350"/>
        <w:rPr>
          <w:rFonts w:ascii="宋体" w:hAnsi="宋体"/>
          <w:szCs w:val="21"/>
        </w:rPr>
      </w:pPr>
      <w:bookmarkStart w:id="1058" w:name="EptNR_临时用电方面的其他要求"/>
    </w:p>
    <w:bookmarkEnd w:id="1058"/>
    <w:p>
      <w:pPr>
        <w:spacing w:line="360" w:lineRule="auto"/>
        <w:ind w:left="945" w:hanging="945" w:hangingChars="450"/>
        <w:rPr>
          <w:rFonts w:ascii="宋体" w:hAnsi="宋体"/>
          <w:szCs w:val="21"/>
        </w:rPr>
      </w:pPr>
      <w:r>
        <w:rPr>
          <w:rFonts w:hint="eastAsia" w:ascii="宋体" w:hAnsi="宋体"/>
          <w:szCs w:val="21"/>
        </w:rPr>
        <w:t>。</w:t>
      </w:r>
    </w:p>
    <w:p>
      <w:pPr>
        <w:spacing w:line="360" w:lineRule="auto"/>
        <w:ind w:left="945" w:hanging="945" w:hangingChars="450"/>
        <w:rPr>
          <w:rFonts w:ascii="黑体" w:hAnsi="宋体" w:eastAsia="黑体"/>
        </w:rPr>
      </w:pPr>
      <w:r>
        <w:rPr>
          <w:rFonts w:hint="eastAsia" w:ascii="黑体" w:hAnsi="宋体" w:eastAsia="黑体"/>
        </w:rPr>
        <w:t>6.4     劳动保护</w:t>
      </w:r>
    </w:p>
    <w:p>
      <w:pPr>
        <w:spacing w:line="360" w:lineRule="auto"/>
        <w:ind w:left="945" w:hanging="945" w:hangingChars="450"/>
        <w:rPr>
          <w:rFonts w:ascii="宋体" w:hAnsi="宋体"/>
          <w:szCs w:val="21"/>
        </w:rPr>
      </w:pPr>
      <w:r>
        <w:rPr>
          <w:rFonts w:hint="eastAsia" w:ascii="宋体" w:hAnsi="宋体"/>
          <w:szCs w:val="21"/>
        </w:rPr>
        <w:t>6.4.1    承包人应遵守所有适用于本合同的劳动法规及其他有关法律、法规、规章和规定中关于工人工资标准、劳动时间和劳动条件的规定，合理安排现场作业人员的劳动和休息时间，保障劳动者必须的休息时间，支付合理的报酬和费用。承包人应按有关行政管理部门的规定为本合同下雇佣的职员和工人办理任何必要的证件、许可、保险和注册等，并保障发包人免于因承包人不能依照或完全依照上述所有法律、法规、规章和规定等可能给发包人带来的任何处罚、索赔、损失和损害等。</w:t>
      </w:r>
    </w:p>
    <w:p>
      <w:pPr>
        <w:spacing w:line="360" w:lineRule="auto"/>
        <w:ind w:left="945" w:hanging="945" w:hangingChars="450"/>
        <w:rPr>
          <w:rFonts w:ascii="宋体" w:hAnsi="宋体"/>
          <w:szCs w:val="21"/>
        </w:rPr>
      </w:pPr>
      <w:r>
        <w:rPr>
          <w:rFonts w:hint="eastAsia" w:ascii="宋体" w:hAnsi="宋体"/>
          <w:szCs w:val="21"/>
        </w:rPr>
        <w:t>6.4.2    承包人应按照国家《劳动保护法》的规定，保障现场施工人员的劳动安全。承包人应为本合同下雇佣的职员和工人提供适当和充分的劳动保护，包括但不限于安全防护、防寒、防雨、防尘、绝缘保护、常用药品、急救设备、传染病预防等。</w:t>
      </w:r>
    </w:p>
    <w:p>
      <w:pPr>
        <w:spacing w:line="360" w:lineRule="auto"/>
        <w:ind w:left="945" w:hanging="945" w:hangingChars="450"/>
        <w:rPr>
          <w:rFonts w:ascii="宋体" w:hAnsi="宋体"/>
          <w:szCs w:val="21"/>
        </w:rPr>
      </w:pPr>
      <w:r>
        <w:rPr>
          <w:rFonts w:hint="eastAsia" w:ascii="宋体" w:hAnsi="宋体"/>
          <w:szCs w:val="21"/>
        </w:rPr>
        <w:t>6.4.3    承包人应为其履行本合同所雇佣的职员和工人提供和维护任何必要的膳宿条件和生活环境，包括但不限于宿舍、围栏、供水(饮用及其他目的用水)、供电、卫生设备、食堂及炊具、防火及灭火设备、供热、家具及其他正常膳宿条件和生活环境所需的必需品，并应考虑宗教和民族习惯。</w:t>
      </w:r>
    </w:p>
    <w:p>
      <w:pPr>
        <w:spacing w:line="360" w:lineRule="auto"/>
        <w:ind w:left="945" w:hanging="945" w:hangingChars="450"/>
        <w:rPr>
          <w:rFonts w:ascii="宋体" w:hAnsi="宋体"/>
          <w:szCs w:val="21"/>
        </w:rPr>
      </w:pPr>
      <w:r>
        <w:rPr>
          <w:rFonts w:hint="eastAsia" w:ascii="宋体" w:hAnsi="宋体"/>
          <w:szCs w:val="21"/>
        </w:rPr>
        <w:t>6.4.4    承包人应为现场工人提供符合政府卫生规定的生活条件并获得必要的许可，保证工人的健康和防止任何传染病，包括工人的食堂、厕所、工具房、宿舍等；承包人应聘请专业的卫生防疫部门定期对现场、工人生活基地和工程进行防疫和卫生的专业检查和处理，包括消灭白蚁、鼠害、蚊蝇和其它害虫，以防对施工人员、现场和永久工程造成任何危害。</w:t>
      </w:r>
    </w:p>
    <w:p>
      <w:pPr>
        <w:spacing w:line="360" w:lineRule="auto"/>
        <w:ind w:left="945" w:hanging="945" w:hangingChars="450"/>
        <w:rPr>
          <w:rFonts w:ascii="宋体" w:hAnsi="宋体"/>
          <w:szCs w:val="21"/>
        </w:rPr>
      </w:pPr>
      <w:r>
        <w:rPr>
          <w:rFonts w:hint="eastAsia" w:ascii="宋体" w:hAnsi="宋体"/>
          <w:szCs w:val="21"/>
        </w:rPr>
        <w:t>6.4.5    承包人应在现场设立专门的临时医疗站，配备足够的设施、药物和称职的医务人员，承包人还应准备急救担架，用于一旦发生安全事故时对受伤人员的急救。</w:t>
      </w:r>
    </w:p>
    <w:p>
      <w:pPr>
        <w:spacing w:line="360" w:lineRule="auto"/>
        <w:ind w:left="945" w:hanging="945" w:hangingChars="450"/>
        <w:rPr>
          <w:rFonts w:ascii="宋体" w:hAnsi="宋体"/>
          <w:szCs w:val="21"/>
        </w:rPr>
      </w:pPr>
      <w:r>
        <w:rPr>
          <w:rFonts w:hint="eastAsia" w:ascii="宋体" w:hAnsi="宋体"/>
          <w:szCs w:val="21"/>
        </w:rPr>
        <w:t>6.4.6    劳动保护方面的其他要求如下：</w:t>
      </w:r>
    </w:p>
    <w:p>
      <w:pPr>
        <w:spacing w:line="360" w:lineRule="auto"/>
        <w:ind w:left="735" w:hanging="735" w:hangingChars="350"/>
        <w:rPr>
          <w:rFonts w:ascii="宋体" w:hAnsi="宋体"/>
          <w:szCs w:val="21"/>
        </w:rPr>
      </w:pPr>
      <w:bookmarkStart w:id="1059" w:name="EptNR_劳动保护方面的其他要求"/>
    </w:p>
    <w:bookmarkEnd w:id="1059"/>
    <w:p>
      <w:pPr>
        <w:spacing w:line="360" w:lineRule="auto"/>
        <w:ind w:left="945" w:hanging="945" w:hangingChars="450"/>
        <w:rPr>
          <w:rFonts w:ascii="宋体" w:hAnsi="宋体"/>
          <w:szCs w:val="21"/>
        </w:rPr>
      </w:pPr>
      <w:r>
        <w:rPr>
          <w:rFonts w:hint="eastAsia" w:ascii="宋体" w:hAnsi="宋体"/>
          <w:szCs w:val="21"/>
        </w:rPr>
        <w:t>。</w:t>
      </w:r>
    </w:p>
    <w:p>
      <w:pPr>
        <w:spacing w:line="360" w:lineRule="auto"/>
        <w:ind w:left="945" w:hanging="945" w:hangingChars="450"/>
        <w:rPr>
          <w:rFonts w:ascii="黑体" w:hAnsi="宋体" w:eastAsia="黑体"/>
        </w:rPr>
      </w:pPr>
      <w:r>
        <w:rPr>
          <w:rFonts w:hint="eastAsia" w:ascii="黑体" w:hAnsi="宋体" w:eastAsia="黑体"/>
        </w:rPr>
        <w:t>6.5     脚手架</w:t>
      </w:r>
    </w:p>
    <w:p>
      <w:pPr>
        <w:spacing w:line="360" w:lineRule="auto"/>
        <w:ind w:left="945" w:hanging="945" w:hangingChars="450"/>
        <w:rPr>
          <w:rFonts w:ascii="宋体" w:hAnsi="宋体"/>
          <w:szCs w:val="21"/>
        </w:rPr>
      </w:pPr>
      <w:r>
        <w:rPr>
          <w:rFonts w:hint="eastAsia" w:ascii="宋体" w:hAnsi="宋体"/>
          <w:szCs w:val="21"/>
        </w:rPr>
        <w:t>6.5.1    承包人应搭设并维护一切必要的临时脚手架、挑平台并配以脚手板、安全网、护身栏杆、门架、马道、坡道、爬梯等等。脚手架和挑平台的搭设应满足有关安全生产的法律、法规、规范、标准和规程等的要求。新搭设的脚手架投入使用前，承包人必须组织安全检查和验收，并对使用脚手架的作业人员进行安全交底。</w:t>
      </w:r>
    </w:p>
    <w:p>
      <w:pPr>
        <w:spacing w:line="360" w:lineRule="auto"/>
        <w:ind w:left="945" w:hanging="945" w:hangingChars="450"/>
        <w:rPr>
          <w:rFonts w:ascii="宋体" w:hAnsi="宋体"/>
          <w:szCs w:val="21"/>
        </w:rPr>
      </w:pPr>
      <w:r>
        <w:rPr>
          <w:rFonts w:hint="eastAsia" w:ascii="宋体" w:hAnsi="宋体"/>
          <w:szCs w:val="21"/>
        </w:rPr>
        <w:t>6.5.2    所有脚手架，尤其是大型、复杂、高耸和非常规脚手架，要编制专项施工方案，还应当经过安全验算，脚手架安全验算结果必须报送监理人核查后方可实施。</w:t>
      </w:r>
    </w:p>
    <w:p>
      <w:pPr>
        <w:spacing w:line="360" w:lineRule="auto"/>
        <w:ind w:left="945" w:hanging="945" w:hangingChars="450"/>
        <w:rPr>
          <w:rFonts w:ascii="宋体" w:hAnsi="宋体"/>
          <w:szCs w:val="21"/>
        </w:rPr>
      </w:pPr>
      <w:r>
        <w:rPr>
          <w:rFonts w:hint="eastAsia" w:ascii="宋体" w:hAnsi="宋体"/>
          <w:szCs w:val="21"/>
        </w:rPr>
        <w:t>6.5.3    搭设爬架、挂架、超高脚手架等特种或新型脚手架时，承包人应确保此类脚手架的安全性和保证此类脚手架已经过有关行政管理部门允许使用的批准，并承担与此有关的一切费用。</w:t>
      </w:r>
    </w:p>
    <w:p>
      <w:pPr>
        <w:spacing w:line="360" w:lineRule="auto"/>
        <w:ind w:left="945" w:hanging="945" w:hangingChars="450"/>
        <w:rPr>
          <w:rFonts w:ascii="宋体" w:hAnsi="宋体"/>
          <w:szCs w:val="21"/>
        </w:rPr>
      </w:pPr>
      <w:r>
        <w:rPr>
          <w:rFonts w:hint="eastAsia" w:ascii="宋体" w:hAnsi="宋体"/>
          <w:szCs w:val="21"/>
        </w:rPr>
        <w:t>6.5.4    承包人应当加强脚手架的日常安全巡查，及时对其中的安全隐患进行整改，确保脚手架使用安全。雨、雪、雾、霜和大风等天气后，承包人必须对脚手架进行安全巡查，并及时消除安全隐患。</w:t>
      </w:r>
    </w:p>
    <w:p>
      <w:pPr>
        <w:spacing w:line="360" w:lineRule="auto"/>
        <w:ind w:left="945" w:hanging="945" w:hangingChars="450"/>
        <w:rPr>
          <w:rFonts w:ascii="宋体" w:hAnsi="宋体"/>
          <w:szCs w:val="21"/>
        </w:rPr>
      </w:pPr>
      <w:r>
        <w:rPr>
          <w:rFonts w:hint="eastAsia" w:ascii="宋体" w:hAnsi="宋体"/>
          <w:szCs w:val="21"/>
        </w:rPr>
        <w:t>6.5.5    承包人应允许发包人、监理人、专业分包人、独立承包人(如果有)和有关行政管理部门或者机构免费使用承包人在现场搭设的任何已有脚手架，并就其安全使用做必要交底说明。承包人在拆除任何脚手架前，应书面请示监理人他将要拆除的脚手架是否为发包人、监理人、专业分包人、独立承包人(如果有)和政府有关机构所需，只有在获得监理人书面批准后，承包人才能拆除相关脚手架，否则承包人应自费重新搭设。</w:t>
      </w:r>
    </w:p>
    <w:p>
      <w:pPr>
        <w:spacing w:line="360" w:lineRule="auto"/>
        <w:ind w:left="945" w:hanging="945" w:hangingChars="450"/>
        <w:rPr>
          <w:rFonts w:ascii="宋体" w:hAnsi="宋体"/>
          <w:szCs w:val="21"/>
        </w:rPr>
      </w:pPr>
      <w:r>
        <w:rPr>
          <w:rFonts w:hint="eastAsia" w:ascii="宋体" w:hAnsi="宋体"/>
          <w:szCs w:val="21"/>
        </w:rPr>
        <w:t>6.5.6    脚手架的其他要求如下：</w:t>
      </w:r>
    </w:p>
    <w:p>
      <w:pPr>
        <w:spacing w:line="360" w:lineRule="auto"/>
        <w:ind w:left="735" w:hanging="735" w:hangingChars="350"/>
        <w:rPr>
          <w:rFonts w:ascii="宋体" w:hAnsi="宋体"/>
          <w:szCs w:val="21"/>
        </w:rPr>
      </w:pPr>
      <w:bookmarkStart w:id="1060" w:name="EptNR_脚手架的其他要求"/>
    </w:p>
    <w:bookmarkEnd w:id="1060"/>
    <w:p>
      <w:pPr>
        <w:spacing w:line="360" w:lineRule="auto"/>
        <w:ind w:left="945" w:hanging="945" w:hangingChars="450"/>
        <w:rPr>
          <w:rFonts w:ascii="宋体" w:hAnsi="宋体"/>
          <w:szCs w:val="21"/>
        </w:rPr>
      </w:pPr>
      <w:r>
        <w:rPr>
          <w:rFonts w:hint="eastAsia" w:ascii="宋体" w:hAnsi="宋体"/>
          <w:szCs w:val="21"/>
        </w:rPr>
        <w:t>。</w:t>
      </w:r>
    </w:p>
    <w:p>
      <w:pPr>
        <w:spacing w:before="62" w:beforeLines="20" w:after="62" w:afterLines="20" w:line="360" w:lineRule="auto"/>
        <w:ind w:left="945" w:hanging="945" w:hangingChars="450"/>
        <w:rPr>
          <w:rFonts w:ascii="黑体" w:hAnsi="宋体" w:eastAsia="黑体"/>
        </w:rPr>
      </w:pPr>
      <w:r>
        <w:rPr>
          <w:rFonts w:hint="eastAsia" w:ascii="黑体" w:hAnsi="宋体" w:eastAsia="黑体"/>
        </w:rPr>
        <w:t>6.6     施工安全措施计划</w:t>
      </w:r>
    </w:p>
    <w:p>
      <w:pPr>
        <w:spacing w:line="360" w:lineRule="auto"/>
        <w:ind w:left="945" w:hanging="945" w:hangingChars="450"/>
        <w:rPr>
          <w:rFonts w:ascii="宋体" w:hAnsi="宋体"/>
          <w:szCs w:val="21"/>
        </w:rPr>
      </w:pPr>
      <w:r>
        <w:rPr>
          <w:rFonts w:hint="eastAsia" w:ascii="宋体" w:hAnsi="宋体"/>
          <w:szCs w:val="21"/>
        </w:rPr>
        <w:t>6.6.1    承包人应根据《中华人民共和国安全生产法》、《职业健康安全管理体系规范》、《中华人民共和国消防法》、《中华人民共和国道路交通安全法》、《中华人民共和国传染病防治法实施办法》和地方有关的法规，编制一份施工安全措施计划，报送监理人审批。</w:t>
      </w:r>
    </w:p>
    <w:p>
      <w:pPr>
        <w:spacing w:line="360" w:lineRule="auto"/>
        <w:ind w:left="945" w:hanging="945" w:hangingChars="450"/>
        <w:rPr>
          <w:rFonts w:ascii="宋体" w:hAnsi="宋体"/>
          <w:szCs w:val="21"/>
        </w:rPr>
      </w:pPr>
      <w:r>
        <w:rPr>
          <w:rFonts w:hint="eastAsia" w:ascii="宋体" w:hAnsi="宋体"/>
          <w:szCs w:val="21"/>
        </w:rPr>
        <w:t>6.6.2    施工安全措施计划是承包人阐明其安全管理方针、管理体系、安全制度和安全措施等的文件，其内容应当反映现行法律法规规定的和合同条款约定的以及本条上述约定的承包人安全职责，包括但不限于：</w:t>
      </w:r>
      <w:r>
        <w:rPr>
          <w:rFonts w:hint="eastAsia" w:ascii="宋体" w:hAnsi="宋体"/>
          <w:szCs w:val="21"/>
        </w:rPr>
        <w:br w:type="textWrapping"/>
      </w:r>
      <w:r>
        <w:rPr>
          <w:rFonts w:hint="eastAsia" w:ascii="宋体" w:hAnsi="宋体"/>
          <w:szCs w:val="21"/>
        </w:rPr>
        <w:t>(1)施工安全管理机构的设置；</w:t>
      </w:r>
      <w:r>
        <w:rPr>
          <w:rFonts w:ascii="宋体" w:hAnsi="宋体"/>
          <w:szCs w:val="21"/>
        </w:rPr>
        <w:br w:type="textWrapping"/>
      </w:r>
      <w:r>
        <w:rPr>
          <w:rFonts w:hint="eastAsia" w:ascii="宋体" w:hAnsi="宋体"/>
          <w:szCs w:val="21"/>
        </w:rPr>
        <w:t>(2)专职安全管理人员的配备；</w:t>
      </w:r>
      <w:r>
        <w:rPr>
          <w:rFonts w:ascii="宋体" w:hAnsi="宋体"/>
          <w:szCs w:val="21"/>
        </w:rPr>
        <w:br w:type="textWrapping"/>
      </w:r>
      <w:r>
        <w:rPr>
          <w:rFonts w:hint="eastAsia" w:ascii="宋体" w:hAnsi="宋体"/>
          <w:szCs w:val="21"/>
        </w:rPr>
        <w:t>(3)安全责任制度和管理措施；</w:t>
      </w:r>
      <w:r>
        <w:rPr>
          <w:rFonts w:ascii="宋体" w:hAnsi="宋体"/>
          <w:szCs w:val="21"/>
        </w:rPr>
        <w:br w:type="textWrapping"/>
      </w:r>
      <w:r>
        <w:rPr>
          <w:rFonts w:hint="eastAsia" w:ascii="宋体" w:hAnsi="宋体"/>
          <w:szCs w:val="21"/>
        </w:rPr>
        <w:t>(4)安全教育和培训制度及管理措施；</w:t>
      </w:r>
      <w:r>
        <w:rPr>
          <w:rFonts w:ascii="宋体" w:hAnsi="宋体"/>
          <w:szCs w:val="21"/>
        </w:rPr>
        <w:br w:type="textWrapping"/>
      </w:r>
      <w:r>
        <w:rPr>
          <w:rFonts w:hint="eastAsia" w:ascii="宋体" w:hAnsi="宋体"/>
          <w:szCs w:val="21"/>
        </w:rPr>
        <w:t>(5)各项安全生产规章制度和操作规程；</w:t>
      </w:r>
      <w:r>
        <w:rPr>
          <w:rFonts w:ascii="宋体" w:hAnsi="宋体"/>
          <w:szCs w:val="21"/>
        </w:rPr>
        <w:br w:type="textWrapping"/>
      </w:r>
      <w:r>
        <w:rPr>
          <w:rFonts w:hint="eastAsia" w:ascii="宋体" w:hAnsi="宋体"/>
          <w:szCs w:val="21"/>
        </w:rPr>
        <w:t>(6)各项施工安全措施和防护措施；</w:t>
      </w:r>
      <w:r>
        <w:rPr>
          <w:rFonts w:ascii="宋体" w:hAnsi="宋体"/>
          <w:szCs w:val="21"/>
        </w:rPr>
        <w:br w:type="textWrapping"/>
      </w:r>
      <w:r>
        <w:rPr>
          <w:rFonts w:hint="eastAsia" w:ascii="宋体" w:hAnsi="宋体"/>
          <w:szCs w:val="21"/>
        </w:rPr>
        <w:t>(7)危险品管理和使用制度；</w:t>
      </w:r>
      <w:r>
        <w:rPr>
          <w:rFonts w:ascii="宋体" w:hAnsi="宋体"/>
          <w:szCs w:val="21"/>
        </w:rPr>
        <w:br w:type="textWrapping"/>
      </w:r>
      <w:r>
        <w:rPr>
          <w:rFonts w:hint="eastAsia" w:ascii="宋体" w:hAnsi="宋体"/>
          <w:szCs w:val="21"/>
        </w:rPr>
        <w:t>(8)安全设施、设备、器材和劳动保护用品的配置；</w:t>
      </w:r>
      <w:r>
        <w:rPr>
          <w:rFonts w:ascii="宋体" w:hAnsi="宋体"/>
          <w:szCs w:val="21"/>
        </w:rPr>
        <w:br w:type="textWrapping"/>
      </w:r>
      <w:r>
        <w:rPr>
          <w:rFonts w:hint="eastAsia" w:ascii="宋体" w:hAnsi="宋体"/>
          <w:szCs w:val="21"/>
        </w:rPr>
        <w:t>(9)其他：</w:t>
      </w:r>
      <w:bookmarkStart w:id="1061" w:name="EptNR_施工安全措施计划是承包人阐明其安全管理方针、管理体系、安全制度和安全"/>
      <w:bookmarkEnd w:id="1061"/>
      <w:r>
        <w:rPr>
          <w:rFonts w:hint="eastAsia" w:ascii="宋体" w:hAnsi="宋体"/>
          <w:szCs w:val="21"/>
        </w:rPr>
        <w:t>。</w:t>
      </w:r>
    </w:p>
    <w:p>
      <w:pPr>
        <w:spacing w:line="360" w:lineRule="auto"/>
        <w:ind w:left="947" w:firstLine="21" w:firstLineChars="10"/>
        <w:rPr>
          <w:rFonts w:ascii="宋体" w:hAnsi="宋体"/>
          <w:szCs w:val="21"/>
        </w:rPr>
      </w:pPr>
      <w:r>
        <w:rPr>
          <w:rFonts w:hint="eastAsia" w:ascii="宋体" w:hAnsi="宋体"/>
          <w:szCs w:val="21"/>
        </w:rPr>
        <w:t>施工安全措施的项目和范围，应符合国家颁发的《安全技术措施计划的项目总名称表》及其附录H、I、J的规定，即应采取以改善劳动条件，防止工伤事故，预防职业病和职业中毒为目的的一切施工安全措施，以及修建必要的安全设施、配备安全技术开发试验所需的器材、设备和技术资料，并对现场的施工管理及作业人员做好相应的安全宣传教育。</w:t>
      </w:r>
    </w:p>
    <w:p>
      <w:pPr>
        <w:spacing w:line="360" w:lineRule="auto"/>
        <w:ind w:left="945" w:hanging="945" w:hangingChars="450"/>
        <w:rPr>
          <w:rFonts w:ascii="宋体" w:hAnsi="宋体"/>
          <w:szCs w:val="21"/>
        </w:rPr>
      </w:pPr>
      <w:r>
        <w:rPr>
          <w:rFonts w:hint="eastAsia" w:ascii="宋体" w:hAnsi="宋体"/>
          <w:szCs w:val="21"/>
        </w:rPr>
        <w:t>6.6.3    施工安全措施计划应当在约定的期限内报送监理人。承包人应当严格执行经监理人批准的施工安全措施计划，并及时补充、修订和完善施工安全措施计划，确保安全生产。</w:t>
      </w:r>
    </w:p>
    <w:p>
      <w:pPr>
        <w:spacing w:before="62" w:beforeLines="20" w:after="62" w:afterLines="20" w:line="360" w:lineRule="auto"/>
        <w:ind w:left="945" w:hanging="945" w:hangingChars="450"/>
        <w:rPr>
          <w:rFonts w:ascii="黑体" w:hAnsi="宋体" w:eastAsia="黑体"/>
        </w:rPr>
      </w:pPr>
      <w:r>
        <w:rPr>
          <w:rFonts w:hint="eastAsia" w:ascii="黑体" w:hAnsi="宋体" w:eastAsia="黑体"/>
        </w:rPr>
        <w:t>6.7    文明施工</w:t>
      </w:r>
    </w:p>
    <w:p>
      <w:pPr>
        <w:spacing w:line="360" w:lineRule="auto"/>
        <w:ind w:left="945" w:hanging="945" w:hangingChars="450"/>
        <w:rPr>
          <w:rFonts w:ascii="宋体" w:hAnsi="宋体"/>
          <w:szCs w:val="21"/>
        </w:rPr>
      </w:pPr>
      <w:r>
        <w:rPr>
          <w:rFonts w:hint="eastAsia" w:ascii="宋体" w:hAnsi="宋体"/>
          <w:szCs w:val="21"/>
        </w:rPr>
        <w:t>6.7.1    承包人应遵守国家和工程所在地有关法规、规范、规程和标准的规定，履行文明施工义务，确保文明施工专项费用专款专用。</w:t>
      </w:r>
    </w:p>
    <w:p>
      <w:pPr>
        <w:spacing w:line="360" w:lineRule="auto"/>
        <w:ind w:left="945" w:hanging="945" w:hangingChars="450"/>
        <w:rPr>
          <w:rFonts w:ascii="宋体" w:hAnsi="宋体"/>
          <w:szCs w:val="21"/>
        </w:rPr>
      </w:pPr>
      <w:r>
        <w:rPr>
          <w:rFonts w:hint="eastAsia" w:ascii="宋体" w:hAnsi="宋体"/>
          <w:szCs w:val="21"/>
        </w:rPr>
        <w:t>6.7.2     承包人应当规范现场施工秩序，实行标准化管理：</w:t>
      </w:r>
    </w:p>
    <w:p>
      <w:pPr>
        <w:spacing w:line="360" w:lineRule="auto"/>
        <w:ind w:left="1365" w:leftChars="500" w:hanging="315" w:hangingChars="150"/>
        <w:rPr>
          <w:rFonts w:ascii="宋体" w:hAnsi="宋体"/>
          <w:szCs w:val="21"/>
        </w:rPr>
      </w:pPr>
      <w:r>
        <w:rPr>
          <w:rFonts w:hint="eastAsia" w:ascii="宋体" w:hAnsi="宋体"/>
          <w:szCs w:val="21"/>
        </w:rPr>
        <w:t>(1)承包人的施工场地(现场)必须干净整治、做到无积水、无淤泥、无杂物，材料堆放整齐；</w:t>
      </w:r>
    </w:p>
    <w:p>
      <w:pPr>
        <w:spacing w:line="360" w:lineRule="auto"/>
        <w:ind w:left="945" w:leftChars="450" w:right="-174" w:rightChars="-83" w:firstLine="105" w:firstLineChars="50"/>
        <w:rPr>
          <w:rFonts w:ascii="宋体" w:hAnsi="宋体"/>
          <w:szCs w:val="21"/>
        </w:rPr>
      </w:pPr>
      <w:r>
        <w:rPr>
          <w:rFonts w:hint="eastAsia" w:ascii="宋体" w:hAnsi="宋体"/>
          <w:szCs w:val="21"/>
        </w:rPr>
        <w:t>(2)施工场地(现场)应进行硬化处理，定期定时洒水，做好防治扬尘和大气污染工作；</w:t>
      </w:r>
    </w:p>
    <w:p>
      <w:pPr>
        <w:spacing w:line="360" w:lineRule="auto"/>
        <w:ind w:left="945" w:leftChars="450" w:firstLine="105" w:firstLineChars="50"/>
        <w:rPr>
          <w:rFonts w:ascii="宋体" w:hAnsi="宋体"/>
          <w:szCs w:val="21"/>
        </w:rPr>
      </w:pPr>
      <w:r>
        <w:rPr>
          <w:rFonts w:hint="eastAsia" w:ascii="宋体" w:hAnsi="宋体"/>
          <w:szCs w:val="21"/>
        </w:rPr>
        <w:t>(3)严格遵守“工完、料尽、场地净”的原则，不留垃圾、不留剩余施工材料和施工机具，各种设备运转正常；</w:t>
      </w:r>
    </w:p>
    <w:p>
      <w:pPr>
        <w:spacing w:line="360" w:lineRule="auto"/>
        <w:ind w:left="1365" w:leftChars="500" w:hanging="315" w:hangingChars="150"/>
        <w:rPr>
          <w:rFonts w:ascii="宋体" w:hAnsi="宋体"/>
          <w:szCs w:val="21"/>
        </w:rPr>
      </w:pPr>
      <w:r>
        <w:rPr>
          <w:rFonts w:hint="eastAsia" w:ascii="宋体" w:hAnsi="宋体"/>
          <w:szCs w:val="21"/>
        </w:rPr>
        <w:t>(4)承包人修建的施工临时设施应符合监理人批准的施工规划要求，并应满足本节规定的各项安全要求；</w:t>
      </w:r>
    </w:p>
    <w:p>
      <w:pPr>
        <w:spacing w:line="360" w:lineRule="auto"/>
        <w:ind w:left="1365" w:leftChars="500" w:hanging="315" w:hangingChars="150"/>
        <w:rPr>
          <w:rFonts w:ascii="宋体" w:hAnsi="宋体"/>
          <w:szCs w:val="21"/>
        </w:rPr>
      </w:pPr>
      <w:r>
        <w:rPr>
          <w:rFonts w:hint="eastAsia" w:ascii="宋体" w:hAnsi="宋体"/>
          <w:szCs w:val="21"/>
        </w:rPr>
        <w:t>(5)监理人可要求承包人在施工场地(现场)设置各级承包人的安全文明施工责任牌等文明施工警示牌；</w:t>
      </w:r>
    </w:p>
    <w:p>
      <w:pPr>
        <w:spacing w:line="360" w:lineRule="auto"/>
        <w:ind w:left="1365" w:leftChars="500" w:hanging="315" w:hangingChars="150"/>
        <w:rPr>
          <w:rFonts w:ascii="宋体" w:hAnsi="宋体"/>
          <w:szCs w:val="21"/>
        </w:rPr>
      </w:pPr>
      <w:r>
        <w:rPr>
          <w:rFonts w:hint="eastAsia" w:ascii="宋体" w:hAnsi="宋体"/>
          <w:szCs w:val="21"/>
        </w:rPr>
        <w:t>(6)材料进入现场应按指定位置堆放整齐，不得影响现场施工和堵塞施工、消防通道。材料堆放场地应有专职的管理人员；</w:t>
      </w:r>
    </w:p>
    <w:p>
      <w:pPr>
        <w:spacing w:line="360" w:lineRule="auto"/>
        <w:ind w:left="1365" w:leftChars="500" w:hanging="315" w:hangingChars="150"/>
        <w:rPr>
          <w:rFonts w:ascii="宋体" w:hAnsi="宋体"/>
          <w:szCs w:val="21"/>
        </w:rPr>
      </w:pPr>
      <w:r>
        <w:rPr>
          <w:rFonts w:hint="eastAsia" w:ascii="宋体" w:hAnsi="宋体"/>
          <w:szCs w:val="21"/>
        </w:rPr>
        <w:t>(7)施工和安装用的各种扣件、紧固件、绳索具、小型配件、镙钉等应在专设的仓库内装箱放置；</w:t>
      </w:r>
    </w:p>
    <w:p>
      <w:pPr>
        <w:spacing w:line="360" w:lineRule="auto"/>
        <w:ind w:left="1365" w:leftChars="500" w:hanging="315" w:hangingChars="150"/>
        <w:rPr>
          <w:rFonts w:ascii="宋体" w:hAnsi="宋体"/>
          <w:szCs w:val="21"/>
        </w:rPr>
      </w:pPr>
      <w:r>
        <w:rPr>
          <w:rFonts w:hint="eastAsia" w:ascii="宋体" w:hAnsi="宋体"/>
          <w:szCs w:val="21"/>
        </w:rPr>
        <w:t>(8)现场风、水管及照明电线的布置应安全、合理、规范、有序，做到整齐美观。不得随意架设和造成隐患或影响施工。</w:t>
      </w:r>
    </w:p>
    <w:p>
      <w:pPr>
        <w:spacing w:line="360" w:lineRule="auto"/>
        <w:ind w:left="945" w:right="42" w:rightChars="20" w:hanging="945" w:hangingChars="450"/>
        <w:rPr>
          <w:rFonts w:ascii="宋体" w:hAnsi="宋体"/>
          <w:szCs w:val="21"/>
        </w:rPr>
      </w:pPr>
      <w:r>
        <w:rPr>
          <w:rFonts w:hint="eastAsia" w:ascii="宋体" w:hAnsi="宋体"/>
          <w:szCs w:val="21"/>
        </w:rPr>
        <w:t>6.7.3    承包人应为其雇佣的施工工人建立并维护相应的生活宿舍、食堂、浴室、厕所和文化活动室等，其标准应满足政府有关机构的生活标准和卫生标准等的要求。</w:t>
      </w:r>
    </w:p>
    <w:p>
      <w:pPr>
        <w:spacing w:line="360" w:lineRule="auto"/>
        <w:ind w:left="945" w:right="42" w:rightChars="20" w:hanging="945" w:hangingChars="450"/>
        <w:rPr>
          <w:rFonts w:ascii="宋体" w:hAnsi="宋体"/>
          <w:szCs w:val="21"/>
        </w:rPr>
      </w:pPr>
      <w:r>
        <w:rPr>
          <w:rFonts w:hint="eastAsia" w:ascii="宋体" w:hAnsi="宋体"/>
          <w:szCs w:val="21"/>
        </w:rPr>
        <w:t>6.7.4    承包人应为任何已完成的、正在施工的和将要进行的任何永久和临时工程、材料、物品、设备、以及因永久工程施工而暴露的任何毗邻财产提供必要的覆盖和保护措施，以避免恶劣天气影响工程施工和造成损失。保护措施包括必要的冬季供暖、雨季用阻燃防水油布覆盖、额外的临时仓库等等。因承包人措施不得力或不到位而给工程带来的任何损失或损害由承包人自己负责。</w:t>
      </w:r>
    </w:p>
    <w:p>
      <w:pPr>
        <w:spacing w:line="360" w:lineRule="auto"/>
        <w:ind w:left="945" w:right="42" w:rightChars="20" w:hanging="945" w:hangingChars="450"/>
        <w:rPr>
          <w:rFonts w:ascii="宋体" w:hAnsi="宋体"/>
          <w:szCs w:val="21"/>
        </w:rPr>
      </w:pPr>
      <w:r>
        <w:rPr>
          <w:rFonts w:hint="eastAsia" w:ascii="宋体" w:hAnsi="宋体"/>
          <w:szCs w:val="21"/>
        </w:rPr>
        <w:t>6.7.5    在工程施工期间，承包人应始终避免现场出现不必要的障碍物，妥当存放并处置施工设备和多余的材料，及时从现场清除运走任何废料、垃圾或不再需要的临时工程和设施。</w:t>
      </w:r>
    </w:p>
    <w:p>
      <w:pPr>
        <w:spacing w:line="360" w:lineRule="auto"/>
        <w:ind w:left="945" w:right="42" w:rightChars="20" w:hanging="945" w:hangingChars="450"/>
        <w:rPr>
          <w:rFonts w:ascii="宋体" w:hAnsi="宋体"/>
          <w:szCs w:val="21"/>
        </w:rPr>
      </w:pPr>
      <w:r>
        <w:rPr>
          <w:rFonts w:hint="eastAsia" w:ascii="宋体" w:hAnsi="宋体"/>
          <w:szCs w:val="21"/>
        </w:rPr>
        <w:t>6.7.6    承包人应为现场的工人和其他所有工作人员提供符合卫生要求的厕所，厕所应贴有磁砖并带手动或自动冲刷设备和洗手盆；承包人负责支付与该厕所相关的所有费用，并在工程竣工时，从现场拆除。承包人应在工作区域设立必要的临时厕所，并安排专门人员负责看护和定时清理，以确保现场免于随地大小便的污染。</w:t>
      </w:r>
    </w:p>
    <w:p>
      <w:pPr>
        <w:spacing w:line="360" w:lineRule="auto"/>
        <w:ind w:left="945" w:right="42" w:rightChars="20" w:hanging="945" w:hangingChars="450"/>
        <w:rPr>
          <w:rFonts w:ascii="宋体" w:hAnsi="宋体"/>
          <w:szCs w:val="21"/>
        </w:rPr>
      </w:pPr>
      <w:r>
        <w:rPr>
          <w:rFonts w:hint="eastAsia" w:ascii="宋体" w:hAnsi="宋体"/>
          <w:szCs w:val="21"/>
        </w:rPr>
        <w:t>6.7.7    承包人应在现场设立固定的垃圾临时存放点并在各楼层或区域设立必要的垃圾箱；所有垃圾必须在当天清除出现场，并按有关行政管理部门的规定，运送到指定的垃圾消纳场。</w:t>
      </w:r>
    </w:p>
    <w:p>
      <w:pPr>
        <w:spacing w:line="360" w:lineRule="auto"/>
        <w:ind w:left="945" w:right="42" w:rightChars="20" w:hanging="945" w:hangingChars="450"/>
        <w:rPr>
          <w:rFonts w:ascii="宋体" w:hAnsi="宋体"/>
          <w:szCs w:val="21"/>
        </w:rPr>
      </w:pPr>
      <w:r>
        <w:rPr>
          <w:rFonts w:hint="eastAsia" w:ascii="宋体" w:hAnsi="宋体"/>
          <w:szCs w:val="21"/>
        </w:rPr>
        <w:t>6.7.8    承包人应对离场垃圾和所有车辆进行防遗洒和防污染公共道路的处理。承包人在运输任何材料的过程中，应采取一切必要的措施，防止遗洒和污染公共道路；一旦出现上述遗洒或污染现象，承包人应立即采取措施进行清扫，并承担所有费用。承包人在混凝土浇注、材料运输、材料装卸、现场清理等工作中应采取一切必要的措施防止影响公共交通。</w:t>
      </w:r>
    </w:p>
    <w:p>
      <w:pPr>
        <w:spacing w:line="360" w:lineRule="auto"/>
        <w:ind w:left="945" w:right="42" w:rightChars="20" w:hanging="945" w:hangingChars="450"/>
        <w:rPr>
          <w:rFonts w:ascii="宋体" w:hAnsi="宋体"/>
          <w:szCs w:val="21"/>
        </w:rPr>
      </w:pPr>
      <w:r>
        <w:rPr>
          <w:rFonts w:hint="eastAsia" w:ascii="宋体" w:hAnsi="宋体"/>
          <w:szCs w:val="21"/>
        </w:rPr>
        <w:t>6.7.9    承包人应当制订成品保护措施计划，并提供必要的人员、材料和设备用于整个工程的成品保护，包括对已完成的所有分包人和独立承包人(如果有)的工程或工作的保护，防止已完工作遭受任何损坏或破坏。成品保护措施应当合理安排工序，并包括工作面移交制度和责任赔偿制度。成品保护措施计划最迟应当在任何专业分包人或独立承包人进场施工前不少于28天报监理人审批。</w:t>
      </w:r>
    </w:p>
    <w:p>
      <w:pPr>
        <w:spacing w:line="360" w:lineRule="auto"/>
        <w:ind w:left="945" w:right="42" w:rightChars="20" w:hanging="945" w:hangingChars="450"/>
        <w:rPr>
          <w:rFonts w:ascii="宋体" w:hAnsi="宋体"/>
          <w:szCs w:val="21"/>
        </w:rPr>
      </w:pPr>
      <w:r>
        <w:rPr>
          <w:rFonts w:hint="eastAsia" w:ascii="宋体" w:hAnsi="宋体"/>
          <w:szCs w:val="21"/>
        </w:rPr>
        <w:t>6.7.10   文明施工方面的其他要求如下：</w:t>
      </w:r>
    </w:p>
    <w:p>
      <w:pPr>
        <w:spacing w:line="360" w:lineRule="auto"/>
        <w:ind w:left="945" w:right="42" w:rightChars="20" w:hanging="945" w:hangingChars="450"/>
        <w:rPr>
          <w:rFonts w:ascii="宋体" w:hAnsi="宋体"/>
          <w:szCs w:val="21"/>
          <w:u w:val="single"/>
        </w:rPr>
      </w:pPr>
      <w:bookmarkStart w:id="1062" w:name="EptNR_文明施工方面的其他要求"/>
    </w:p>
    <w:bookmarkEnd w:id="1062"/>
    <w:p>
      <w:pPr>
        <w:spacing w:line="360" w:lineRule="auto"/>
        <w:ind w:left="945" w:right="42" w:rightChars="20" w:hanging="945" w:hangingChars="450"/>
        <w:rPr>
          <w:rFonts w:ascii="宋体" w:hAnsi="宋体"/>
          <w:szCs w:val="21"/>
        </w:rPr>
      </w:pPr>
      <w:r>
        <w:rPr>
          <w:rFonts w:hint="eastAsia" w:ascii="宋体" w:hAnsi="宋体"/>
          <w:szCs w:val="21"/>
        </w:rPr>
        <w:t>。</w:t>
      </w:r>
    </w:p>
    <w:p>
      <w:pPr>
        <w:spacing w:line="360" w:lineRule="auto"/>
        <w:ind w:left="949" w:right="42" w:rightChars="20" w:hanging="949" w:hangingChars="450"/>
        <w:rPr>
          <w:rFonts w:ascii="宋体" w:hAnsi="宋体"/>
          <w:b/>
          <w:szCs w:val="21"/>
        </w:rPr>
      </w:pPr>
      <w:r>
        <w:rPr>
          <w:rFonts w:hint="eastAsia" w:ascii="宋体" w:hAnsi="宋体"/>
          <w:b/>
          <w:szCs w:val="21"/>
        </w:rPr>
        <w:t>6.8      环境保护</w:t>
      </w:r>
    </w:p>
    <w:p>
      <w:pPr>
        <w:spacing w:line="360" w:lineRule="auto"/>
        <w:ind w:left="945" w:right="42" w:rightChars="20" w:hanging="945" w:hangingChars="450"/>
        <w:rPr>
          <w:rFonts w:ascii="宋体" w:hAnsi="宋体"/>
          <w:szCs w:val="21"/>
        </w:rPr>
      </w:pPr>
      <w:r>
        <w:rPr>
          <w:rFonts w:hint="eastAsia" w:ascii="宋体" w:hAnsi="宋体"/>
          <w:szCs w:val="21"/>
        </w:rPr>
        <w:t>6.8.1    在工程施工、完工及修补任何缺陷的过程中，承包人应当始终遵守国家和工程所在地有关环境保护、水土保护和污染防治的法律、法规、规章、规范、标准和规程，履行其环境与生态保护职责。</w:t>
      </w:r>
    </w:p>
    <w:p>
      <w:pPr>
        <w:spacing w:line="360" w:lineRule="auto"/>
        <w:ind w:left="945" w:right="42" w:rightChars="20" w:hanging="945" w:hangingChars="450"/>
        <w:rPr>
          <w:rFonts w:ascii="宋体" w:hAnsi="宋体"/>
          <w:szCs w:val="21"/>
        </w:rPr>
      </w:pPr>
      <w:r>
        <w:rPr>
          <w:rFonts w:hint="eastAsia" w:ascii="宋体" w:hAnsi="宋体"/>
          <w:szCs w:val="21"/>
        </w:rPr>
        <w:t>6.8.2    承包人应按合同约定和监理人指示，接受国家和地方环境保护行政主管部门的监督、监测和检查。承包人应对其违反现行法律、法规、规章、规范、标准和规程等以及本合同约定所造成的环境污染、水土流失、人员伤害和财产损失等承担赔偿责任。</w:t>
      </w:r>
    </w:p>
    <w:p>
      <w:pPr>
        <w:spacing w:line="360" w:lineRule="auto"/>
        <w:ind w:left="945" w:right="42" w:rightChars="20" w:hanging="945" w:hangingChars="450"/>
        <w:rPr>
          <w:rFonts w:ascii="宋体" w:hAnsi="宋体"/>
          <w:szCs w:val="21"/>
        </w:rPr>
      </w:pPr>
      <w:r>
        <w:rPr>
          <w:rFonts w:hint="eastAsia" w:ascii="宋体" w:hAnsi="宋体"/>
          <w:szCs w:val="21"/>
        </w:rPr>
        <w:t>6.8.3    承包人制订施工方案和组织措施时应当同步考虑环境和资源保护，包括水土资源保护、噪声、振动和照明污染防治、固体废弃物处理、污水和废气处理、粉尘和扬尘控制、道路污染防治、卫生防疫、禁止有害材料、节能减排以及不可再生资源的循环使用等因素。</w:t>
      </w:r>
    </w:p>
    <w:p>
      <w:pPr>
        <w:spacing w:line="360" w:lineRule="auto"/>
        <w:ind w:left="945" w:right="42" w:rightChars="20" w:hanging="945" w:hangingChars="450"/>
        <w:rPr>
          <w:rFonts w:ascii="宋体" w:hAnsi="宋体"/>
          <w:szCs w:val="21"/>
        </w:rPr>
      </w:pPr>
      <w:r>
        <w:rPr>
          <w:rFonts w:hint="eastAsia" w:ascii="宋体" w:hAnsi="宋体"/>
          <w:szCs w:val="21"/>
        </w:rPr>
        <w:t>6.8.4    承包人应当做好施工场地(现场)范围内各项工程的开挖支护、截水、降水、灌浆、衬砌、挡护结构及排水等工程防护措施。施工场地(现场)内所有边坡应当采取有效的水土流失防治和保持措施。承包人采用的降水方案应当充分考虑对地下水的保护和合理使用，如果国家和(或)地方人民政府有特别规定的，承包人应当遵守有关规定。承包人还应设置完善的排水系统，保持施工场地(现场)始终处于良好的排水状态，防止降雨径流对施工场地(现场)的冲刷。</w:t>
      </w:r>
    </w:p>
    <w:p>
      <w:pPr>
        <w:spacing w:line="360" w:lineRule="auto"/>
        <w:ind w:left="945" w:right="42" w:rightChars="20" w:hanging="945" w:hangingChars="450"/>
        <w:rPr>
          <w:rFonts w:ascii="宋体" w:hAnsi="宋体"/>
          <w:szCs w:val="21"/>
        </w:rPr>
      </w:pPr>
      <w:r>
        <w:rPr>
          <w:rFonts w:hint="eastAsia" w:ascii="宋体" w:hAnsi="宋体"/>
          <w:szCs w:val="21"/>
        </w:rPr>
        <w:t>6.8.5    承包人应当确保其所提供的材料、工程设备、施工设备和其他材料都是绿色环保产品，列入国家强制认证产品名录的，还应当是通过国家强制认证的产品。承包人不得在任何临时和永久性工程中使用任何政府明令禁止使用的对人体有害的任何材料(如放射性材料、石棉制品等)和方法，同时也不得在永久性工程中使用政府虽未明令禁止但会给居住或使用人带来不适感觉或味觉的任何材料和添加剂等；承包人应在其施工环保措施计划中明确防止误用的保证措施；承包人违背此项约定的责任和后果全部由承包人承担。</w:t>
      </w:r>
    </w:p>
    <w:p>
      <w:pPr>
        <w:spacing w:line="360" w:lineRule="auto"/>
        <w:ind w:left="945" w:right="42" w:rightChars="20" w:hanging="945" w:hangingChars="450"/>
        <w:rPr>
          <w:rFonts w:ascii="宋体" w:hAnsi="宋体"/>
          <w:szCs w:val="21"/>
        </w:rPr>
      </w:pPr>
      <w:r>
        <w:rPr>
          <w:rFonts w:hint="eastAsia" w:ascii="宋体" w:hAnsi="宋体"/>
          <w:szCs w:val="21"/>
        </w:rPr>
        <w:t>6.8.6    承包人应为防止进出场的车辆的遗洒和轮胎夹带物等污染周边和公共道路等行为制定并落实必要的措施，这类措施应至少包括在现场出入口设立冲刷池、对现场道路做硬化处理和采用密闭车厢或者对车厢进行必要的覆盖等等。</w:t>
      </w:r>
    </w:p>
    <w:p>
      <w:pPr>
        <w:spacing w:line="360" w:lineRule="auto"/>
        <w:ind w:left="945" w:right="42" w:rightChars="20" w:hanging="945" w:hangingChars="450"/>
        <w:rPr>
          <w:rFonts w:ascii="宋体" w:hAnsi="宋体"/>
          <w:szCs w:val="21"/>
        </w:rPr>
      </w:pPr>
      <w:r>
        <w:rPr>
          <w:rFonts w:hint="eastAsia" w:ascii="宋体" w:hAnsi="宋体"/>
          <w:szCs w:val="21"/>
        </w:rPr>
        <w:t>6.8.7    承包人应当保证施工生产用水和生活用水符合国家有关标准的规定。承包人还应建设、运行和维护施工生产和生活污水收集和处理系统(包括排污口接入)，建立符合排放标准的临时沉淀池和化粪池等，不得将未处理的污水直接或间接排放或造成地表水体、地下水体或生产和生活供水系统的污染。</w:t>
      </w:r>
    </w:p>
    <w:p>
      <w:pPr>
        <w:spacing w:line="360" w:lineRule="auto"/>
        <w:ind w:left="945" w:right="42" w:rightChars="20" w:hanging="945" w:hangingChars="450"/>
        <w:rPr>
          <w:rFonts w:ascii="宋体" w:hAnsi="宋体"/>
          <w:szCs w:val="21"/>
        </w:rPr>
      </w:pPr>
      <w:r>
        <w:rPr>
          <w:rFonts w:hint="eastAsia" w:ascii="宋体" w:hAnsi="宋体"/>
          <w:szCs w:val="21"/>
        </w:rPr>
        <w:t>6.8.8    承包人应当采取有效措施，建立相应的过滤、分离、分解或沉淀等处理系统，不得让有害物质(如燃料、油料、化学品、酸等，以及超过剂量的有害气体和尘埃、污水、泥土或水、弃渣等)污染施工场地(现场)及其周边环境。承包人施工工序、工作时间安排和施工设备的配置应当充分考虑降低噪声和照明等对施工场地 (现场)周边生产和生活的影响，并满足国家和地方政府有关规定的要求。</w:t>
      </w:r>
    </w:p>
    <w:p>
      <w:pPr>
        <w:spacing w:line="360" w:lineRule="auto"/>
        <w:ind w:left="945" w:right="42" w:rightChars="20" w:hanging="945" w:hangingChars="450"/>
        <w:rPr>
          <w:rFonts w:ascii="宋体" w:hAnsi="宋体"/>
          <w:szCs w:val="21"/>
        </w:rPr>
      </w:pPr>
      <w:r>
        <w:rPr>
          <w:rFonts w:hint="eastAsia" w:ascii="宋体" w:hAnsi="宋体"/>
          <w:szCs w:val="21"/>
        </w:rPr>
        <w:t>6.8.9    环境保护方面的其他要求如下：</w:t>
      </w:r>
    </w:p>
    <w:p>
      <w:pPr>
        <w:spacing w:line="360" w:lineRule="auto"/>
        <w:ind w:left="945" w:right="42" w:rightChars="20" w:hanging="945" w:hangingChars="450"/>
        <w:rPr>
          <w:rFonts w:ascii="宋体" w:hAnsi="宋体"/>
          <w:szCs w:val="21"/>
          <w:u w:val="single"/>
        </w:rPr>
      </w:pPr>
      <w:bookmarkStart w:id="1063" w:name="EptNR_环境保护方面的其他要求"/>
    </w:p>
    <w:bookmarkEnd w:id="1063"/>
    <w:p>
      <w:pPr>
        <w:spacing w:line="360" w:lineRule="auto"/>
        <w:ind w:left="945" w:right="42" w:rightChars="20" w:hanging="945" w:hangingChars="450"/>
        <w:rPr>
          <w:rFonts w:ascii="宋体" w:hAnsi="宋体"/>
          <w:szCs w:val="21"/>
        </w:rPr>
      </w:pPr>
      <w:r>
        <w:rPr>
          <w:rFonts w:hint="eastAsia" w:ascii="宋体" w:hAnsi="宋体"/>
          <w:szCs w:val="21"/>
        </w:rPr>
        <w:t>。</w:t>
      </w:r>
    </w:p>
    <w:p>
      <w:pPr>
        <w:spacing w:before="93" w:beforeLines="30" w:after="93" w:afterLines="30" w:line="360" w:lineRule="auto"/>
        <w:ind w:left="945" w:right="42" w:rightChars="20" w:hanging="945" w:hangingChars="450"/>
        <w:rPr>
          <w:rFonts w:ascii="黑体" w:hAnsi="宋体" w:eastAsia="黑体"/>
        </w:rPr>
      </w:pPr>
      <w:r>
        <w:rPr>
          <w:rFonts w:hint="eastAsia" w:ascii="黑体" w:hAnsi="宋体" w:eastAsia="黑体"/>
        </w:rPr>
        <w:t>6.9     施工环保措施计划</w:t>
      </w:r>
    </w:p>
    <w:p>
      <w:pPr>
        <w:spacing w:line="360" w:lineRule="auto"/>
        <w:ind w:left="945" w:right="42" w:rightChars="20" w:hanging="945" w:hangingChars="450"/>
        <w:rPr>
          <w:rFonts w:ascii="宋体" w:hAnsi="宋体"/>
          <w:szCs w:val="21"/>
        </w:rPr>
      </w:pPr>
      <w:r>
        <w:rPr>
          <w:rFonts w:hint="eastAsia" w:ascii="宋体" w:hAnsi="宋体"/>
          <w:szCs w:val="21"/>
        </w:rPr>
        <w:t>6.9.1    施工环保措施计划是承包人阐明环保方针和拟采用的环保措施及方法等的文件，其内容应包括但不限于：</w:t>
      </w:r>
    </w:p>
    <w:p>
      <w:pPr>
        <w:spacing w:line="360" w:lineRule="auto"/>
        <w:ind w:left="945" w:leftChars="450" w:right="42" w:rightChars="20"/>
        <w:rPr>
          <w:rFonts w:ascii="宋体" w:hAnsi="宋体"/>
          <w:szCs w:val="21"/>
        </w:rPr>
      </w:pPr>
      <w:r>
        <w:rPr>
          <w:rFonts w:hint="eastAsia" w:ascii="宋体" w:hAnsi="宋体"/>
          <w:szCs w:val="21"/>
        </w:rPr>
        <w:t>(1)承包人生活区(如果有)的生活用水和生活污水处理措施；</w:t>
      </w:r>
    </w:p>
    <w:p>
      <w:pPr>
        <w:spacing w:line="360" w:lineRule="auto"/>
        <w:ind w:left="945" w:leftChars="450" w:right="42" w:rightChars="20"/>
        <w:rPr>
          <w:rFonts w:ascii="宋体" w:hAnsi="宋体"/>
          <w:szCs w:val="21"/>
        </w:rPr>
      </w:pPr>
      <w:r>
        <w:rPr>
          <w:rFonts w:hint="eastAsia" w:ascii="宋体" w:hAnsi="宋体"/>
          <w:szCs w:val="21"/>
        </w:rPr>
        <w:t>(2)施工生产废水处理措施；</w:t>
      </w:r>
    </w:p>
    <w:p>
      <w:pPr>
        <w:spacing w:line="360" w:lineRule="auto"/>
        <w:ind w:left="945" w:leftChars="450" w:right="42" w:rightChars="20"/>
        <w:rPr>
          <w:rFonts w:ascii="宋体" w:hAnsi="宋体"/>
          <w:szCs w:val="21"/>
        </w:rPr>
      </w:pPr>
      <w:r>
        <w:rPr>
          <w:rFonts w:hint="eastAsia" w:ascii="宋体" w:hAnsi="宋体"/>
          <w:szCs w:val="21"/>
        </w:rPr>
        <w:t>(3)施工扬尘和废气的处理措施；</w:t>
      </w:r>
    </w:p>
    <w:p>
      <w:pPr>
        <w:spacing w:line="360" w:lineRule="auto"/>
        <w:ind w:left="945" w:leftChars="450" w:right="42" w:rightChars="20"/>
        <w:rPr>
          <w:rFonts w:ascii="宋体" w:hAnsi="宋体"/>
          <w:szCs w:val="21"/>
        </w:rPr>
      </w:pPr>
      <w:r>
        <w:rPr>
          <w:rFonts w:hint="eastAsia" w:ascii="宋体" w:hAnsi="宋体"/>
          <w:szCs w:val="21"/>
        </w:rPr>
        <w:t>(4)施工噪声和光污染控制措施；</w:t>
      </w:r>
    </w:p>
    <w:p>
      <w:pPr>
        <w:spacing w:line="360" w:lineRule="auto"/>
        <w:ind w:left="945" w:leftChars="450" w:right="42" w:rightChars="20"/>
        <w:rPr>
          <w:rFonts w:ascii="宋体" w:hAnsi="宋体"/>
          <w:szCs w:val="21"/>
        </w:rPr>
      </w:pPr>
      <w:r>
        <w:rPr>
          <w:rFonts w:hint="eastAsia" w:ascii="宋体" w:hAnsi="宋体"/>
          <w:szCs w:val="21"/>
        </w:rPr>
        <w:t>(5)节能减排措施；</w:t>
      </w:r>
    </w:p>
    <w:p>
      <w:pPr>
        <w:spacing w:line="360" w:lineRule="auto"/>
        <w:ind w:left="945" w:leftChars="450" w:right="42" w:rightChars="20"/>
        <w:rPr>
          <w:rFonts w:ascii="宋体" w:hAnsi="宋体"/>
          <w:szCs w:val="21"/>
        </w:rPr>
      </w:pPr>
      <w:r>
        <w:rPr>
          <w:rFonts w:hint="eastAsia" w:ascii="宋体" w:hAnsi="宋体"/>
          <w:szCs w:val="21"/>
        </w:rPr>
        <w:t>(6)不可再生资源循环利用措施；</w:t>
      </w:r>
    </w:p>
    <w:p>
      <w:pPr>
        <w:spacing w:line="360" w:lineRule="auto"/>
        <w:ind w:left="945" w:leftChars="450" w:right="42" w:rightChars="20"/>
        <w:rPr>
          <w:rFonts w:ascii="宋体" w:hAnsi="宋体"/>
          <w:szCs w:val="21"/>
        </w:rPr>
      </w:pPr>
      <w:r>
        <w:rPr>
          <w:rFonts w:hint="eastAsia" w:ascii="宋体" w:hAnsi="宋体"/>
          <w:szCs w:val="21"/>
        </w:rPr>
        <w:t>(7)固体废弃物处理措施；</w:t>
      </w:r>
    </w:p>
    <w:p>
      <w:pPr>
        <w:spacing w:line="360" w:lineRule="auto"/>
        <w:ind w:left="945" w:leftChars="450" w:right="42" w:rightChars="20"/>
        <w:rPr>
          <w:rFonts w:ascii="宋体" w:hAnsi="宋体"/>
          <w:szCs w:val="21"/>
        </w:rPr>
      </w:pPr>
      <w:r>
        <w:rPr>
          <w:rFonts w:hint="eastAsia" w:ascii="宋体" w:hAnsi="宋体"/>
          <w:szCs w:val="21"/>
        </w:rPr>
        <w:t>(8)人群健康保护和卫生防疫措施；</w:t>
      </w:r>
    </w:p>
    <w:p>
      <w:pPr>
        <w:spacing w:line="360" w:lineRule="auto"/>
        <w:ind w:left="945" w:leftChars="450" w:right="42" w:rightChars="20"/>
        <w:rPr>
          <w:rFonts w:ascii="宋体" w:hAnsi="宋体"/>
          <w:szCs w:val="21"/>
        </w:rPr>
      </w:pPr>
      <w:r>
        <w:rPr>
          <w:rFonts w:hint="eastAsia" w:ascii="宋体" w:hAnsi="宋体"/>
          <w:szCs w:val="21"/>
        </w:rPr>
        <w:t>(9)防止误用有害材料的保证措施；</w:t>
      </w:r>
    </w:p>
    <w:p>
      <w:pPr>
        <w:spacing w:line="360" w:lineRule="auto"/>
        <w:ind w:left="945" w:leftChars="450" w:right="42" w:rightChars="20"/>
        <w:rPr>
          <w:rFonts w:ascii="宋体" w:hAnsi="宋体"/>
          <w:szCs w:val="21"/>
        </w:rPr>
      </w:pPr>
      <w:r>
        <w:rPr>
          <w:rFonts w:hint="eastAsia" w:ascii="宋体" w:hAnsi="宋体"/>
          <w:szCs w:val="21"/>
        </w:rPr>
        <w:t>(10)施工边坡工程的水土流失保护措施；</w:t>
      </w:r>
    </w:p>
    <w:p>
      <w:pPr>
        <w:spacing w:line="360" w:lineRule="auto"/>
        <w:ind w:left="945" w:leftChars="450" w:right="42" w:rightChars="20"/>
        <w:rPr>
          <w:rFonts w:ascii="宋体" w:hAnsi="宋体"/>
          <w:szCs w:val="21"/>
        </w:rPr>
      </w:pPr>
      <w:r>
        <w:rPr>
          <w:rFonts w:hint="eastAsia" w:ascii="宋体" w:hAnsi="宋体"/>
          <w:szCs w:val="21"/>
        </w:rPr>
        <w:t>(11)道路污染防治措施；</w:t>
      </w:r>
    </w:p>
    <w:p>
      <w:pPr>
        <w:spacing w:line="360" w:lineRule="auto"/>
        <w:ind w:left="945" w:leftChars="450" w:right="42" w:rightChars="20"/>
        <w:rPr>
          <w:rFonts w:ascii="宋体" w:hAnsi="宋体"/>
          <w:szCs w:val="21"/>
        </w:rPr>
      </w:pPr>
      <w:r>
        <w:rPr>
          <w:rFonts w:hint="eastAsia" w:ascii="宋体" w:hAnsi="宋体"/>
          <w:szCs w:val="21"/>
        </w:rPr>
        <w:t>(12)完工后场地清理及其植被(如果有)恢复的规划和措施；</w:t>
      </w:r>
    </w:p>
    <w:p>
      <w:pPr>
        <w:spacing w:line="360" w:lineRule="auto"/>
        <w:ind w:left="945" w:leftChars="450" w:right="42" w:rightChars="20"/>
        <w:rPr>
          <w:rFonts w:ascii="宋体" w:hAnsi="宋体"/>
          <w:szCs w:val="21"/>
        </w:rPr>
      </w:pPr>
      <w:r>
        <w:rPr>
          <w:rFonts w:hint="eastAsia" w:ascii="宋体" w:hAnsi="宋体"/>
          <w:szCs w:val="21"/>
        </w:rPr>
        <w:t>(13)其他：</w:t>
      </w:r>
      <w:bookmarkStart w:id="1064" w:name="EptNR_施工环保措施计划是承包人阐明环保方针和拟采用的环保措施及方法等的文件"/>
      <w:bookmarkEnd w:id="1064"/>
      <w:r>
        <w:rPr>
          <w:rFonts w:hint="eastAsia" w:ascii="宋体" w:hAnsi="宋体"/>
          <w:szCs w:val="21"/>
        </w:rPr>
        <w:t>。</w:t>
      </w:r>
    </w:p>
    <w:p>
      <w:pPr>
        <w:spacing w:line="360" w:lineRule="auto"/>
        <w:ind w:left="945" w:right="42" w:rightChars="20" w:hanging="945" w:hangingChars="450"/>
        <w:rPr>
          <w:rFonts w:ascii="宋体" w:hAnsi="宋体"/>
          <w:szCs w:val="21"/>
        </w:rPr>
      </w:pPr>
      <w:r>
        <w:rPr>
          <w:rFonts w:hint="eastAsia" w:ascii="宋体" w:hAnsi="宋体"/>
          <w:szCs w:val="21"/>
        </w:rPr>
        <w:t>6.9.2    施工环保措施计划应当在约定的期限内报送监理人。承包人应当严格执行经监理人批准的施工环保措施计划，并及时补充、修订和完善施工环保措施计划。</w:t>
      </w:r>
    </w:p>
    <w:p>
      <w:pPr>
        <w:rPr>
          <w:rFonts w:ascii="宋体" w:hAnsi="宋体"/>
          <w:b/>
          <w:sz w:val="28"/>
          <w:szCs w:val="28"/>
        </w:rPr>
      </w:pPr>
      <w:bookmarkStart w:id="1065" w:name="_Toc277855104"/>
      <w:r>
        <w:rPr>
          <w:rFonts w:hint="eastAsia" w:ascii="宋体" w:hAnsi="宋体"/>
          <w:b/>
          <w:sz w:val="28"/>
          <w:szCs w:val="28"/>
        </w:rPr>
        <w:t>7. 治安保卫</w:t>
      </w:r>
      <w:bookmarkEnd w:id="1065"/>
    </w:p>
    <w:p>
      <w:pPr>
        <w:spacing w:line="360" w:lineRule="auto"/>
        <w:ind w:left="949" w:hanging="949" w:hangingChars="450"/>
        <w:rPr>
          <w:rFonts w:ascii="宋体" w:hAnsi="宋体"/>
          <w:szCs w:val="21"/>
        </w:rPr>
      </w:pPr>
      <w:r>
        <w:rPr>
          <w:rFonts w:hint="eastAsia" w:ascii="宋体" w:hAnsi="宋体"/>
          <w:b/>
          <w:szCs w:val="21"/>
        </w:rPr>
        <w:t xml:space="preserve">7.1      </w:t>
      </w:r>
      <w:r>
        <w:rPr>
          <w:rFonts w:hint="eastAsia" w:ascii="宋体" w:hAnsi="宋体"/>
          <w:b/>
          <w:spacing w:val="6"/>
          <w:szCs w:val="21"/>
        </w:rPr>
        <w:t>承包人应为施工场地(现场)提供24小时的保安保卫服务，配备足够的保安人员和</w:t>
      </w:r>
      <w:r>
        <w:rPr>
          <w:rFonts w:hint="eastAsia" w:ascii="宋体" w:hAnsi="宋体"/>
          <w:spacing w:val="6"/>
          <w:szCs w:val="21"/>
        </w:rPr>
        <w:t>保安设备，防止未经批准的任何人进入现场，控制人员、材料和设备等的进出场，防止现场材料、设备或其他任何物品的失窃，禁止任何现场内的打架斗殴事件。</w:t>
      </w:r>
    </w:p>
    <w:p>
      <w:pPr>
        <w:spacing w:line="360" w:lineRule="auto"/>
        <w:ind w:left="945" w:hanging="945" w:hangingChars="450"/>
        <w:rPr>
          <w:rFonts w:ascii="宋体" w:hAnsi="宋体"/>
          <w:szCs w:val="21"/>
        </w:rPr>
      </w:pPr>
      <w:r>
        <w:rPr>
          <w:rFonts w:hint="eastAsia" w:ascii="宋体" w:hAnsi="宋体"/>
          <w:szCs w:val="21"/>
        </w:rPr>
        <w:t>7.2      承包人的保安人员应是训练有素的专业保安人员，承包人可以雇佣专业保安公司负责现场保安和保卫；保安保卫制度除规范现场出入大门控制外，还应规定定时和不定时的施工场地(现场)周边和全现场的保安巡逻。</w:t>
      </w:r>
    </w:p>
    <w:p>
      <w:pPr>
        <w:spacing w:line="360" w:lineRule="auto"/>
        <w:ind w:left="945" w:hanging="945" w:hangingChars="450"/>
        <w:rPr>
          <w:rFonts w:ascii="宋体" w:hAnsi="宋体"/>
          <w:szCs w:val="21"/>
        </w:rPr>
      </w:pPr>
      <w:r>
        <w:rPr>
          <w:rFonts w:hint="eastAsia" w:ascii="宋体" w:hAnsi="宋体"/>
          <w:szCs w:val="21"/>
        </w:rPr>
        <w:t>7.3      承包人应制定并实施严格的施工场地(现场)出入制度并报监理人审批；车辆的出入须有出入审批制度，并有指定的专人负责管理；人员进出现场应有出入证，出入证须以经过监理人批准的格式印制。</w:t>
      </w:r>
    </w:p>
    <w:p>
      <w:pPr>
        <w:spacing w:line="360" w:lineRule="auto"/>
        <w:ind w:left="945" w:hanging="945" w:hangingChars="450"/>
        <w:rPr>
          <w:rFonts w:ascii="宋体" w:hAnsi="宋体"/>
          <w:szCs w:val="21"/>
        </w:rPr>
      </w:pPr>
      <w:r>
        <w:rPr>
          <w:rFonts w:hint="eastAsia" w:ascii="宋体" w:hAnsi="宋体"/>
          <w:szCs w:val="21"/>
        </w:rPr>
        <w:t>7.4      承包人应确保任何未经监理人同意的参观人员进入现场；承包人应准备足够数量的专门用于参观人员的安全帽并带明显标志，承包人同时应准备一个参观人员登记簿用于记录所有参观现场人员的姓名、参观目的和参观时间等内容；承包人应确保每个参观现场的人员了解和遵守现场的安全管理规章制度，佩带安全帽，确保所有经发包人和监理人批准的参观人员的人身安全。</w:t>
      </w:r>
    </w:p>
    <w:p>
      <w:pPr>
        <w:spacing w:line="360" w:lineRule="auto"/>
        <w:ind w:left="945" w:hanging="945" w:hangingChars="450"/>
        <w:rPr>
          <w:rFonts w:ascii="宋体" w:hAnsi="宋体"/>
          <w:szCs w:val="21"/>
        </w:rPr>
      </w:pPr>
      <w:r>
        <w:rPr>
          <w:rFonts w:hint="eastAsia" w:ascii="宋体" w:hAnsi="宋体"/>
          <w:szCs w:val="21"/>
        </w:rPr>
        <w:t>7.5      承包人应为施工场地(现场)提供和维护符合建设行政主管部门和市容管理部门规定的临时围墙和其他安全维护，并在工程进度需要时，进行必要的改造。围墙和大门的表面维护应考虑定期的修补和重新刷漆，并应保证所有的乱涂乱画或招贴广告随时被清理。临时围墙和出入大门考虑必要的照明，照明系统要满足现场安全保卫和美观的要求。</w:t>
      </w:r>
    </w:p>
    <w:p>
      <w:pPr>
        <w:spacing w:line="360" w:lineRule="auto"/>
        <w:ind w:left="945" w:hanging="945" w:hangingChars="450"/>
        <w:rPr>
          <w:rFonts w:ascii="宋体" w:hAnsi="宋体"/>
          <w:szCs w:val="21"/>
        </w:rPr>
      </w:pPr>
      <w:r>
        <w:rPr>
          <w:rFonts w:hint="eastAsia" w:ascii="宋体" w:hAnsi="宋体"/>
          <w:szCs w:val="21"/>
        </w:rPr>
        <w:t>7.6      承包人应当保证发包人支付的工程款项仅用于本合同目的，及时和足额地向所雇佣的人员支付劳动报酬，并制定严格的工人工资支付保障措施，确保所有分包人及时支付所雇佣工人的工资，有效防止影响社会安定的群体事件发生，并保障发包人免于因承包人(包括其分包人)拖欠工人工资而可能遭受的任何处罚、索赔、损失和损害等。</w:t>
      </w:r>
    </w:p>
    <w:p>
      <w:pPr>
        <w:spacing w:line="360" w:lineRule="auto"/>
        <w:ind w:left="945" w:hanging="945" w:hangingChars="450"/>
        <w:rPr>
          <w:rFonts w:ascii="宋体" w:hAnsi="宋体"/>
          <w:szCs w:val="21"/>
        </w:rPr>
      </w:pPr>
      <w:r>
        <w:rPr>
          <w:rFonts w:hint="eastAsia" w:ascii="宋体" w:hAnsi="宋体"/>
          <w:szCs w:val="21"/>
        </w:rPr>
        <w:t>7.7      施工场地(现场)治安管理计划的要求：</w:t>
      </w:r>
    </w:p>
    <w:p>
      <w:pPr>
        <w:spacing w:line="360" w:lineRule="auto"/>
        <w:ind w:left="945" w:hanging="945" w:hangingChars="450"/>
        <w:rPr>
          <w:rFonts w:ascii="宋体" w:hAnsi="宋体"/>
          <w:szCs w:val="21"/>
        </w:rPr>
      </w:pPr>
      <w:bookmarkStart w:id="1066" w:name="EptNR_施工场地治安管理计划的要求"/>
      <w:bookmarkEnd w:id="1066"/>
      <w:r>
        <w:rPr>
          <w:rFonts w:hint="eastAsia" w:ascii="宋体" w:hAnsi="宋体"/>
          <w:szCs w:val="21"/>
        </w:rPr>
        <w:t>7.8      突发治安事件紧急预案的要求：</w:t>
      </w:r>
    </w:p>
    <w:p>
      <w:pPr>
        <w:spacing w:line="360" w:lineRule="auto"/>
        <w:ind w:left="945" w:hanging="945" w:hangingChars="450"/>
        <w:rPr>
          <w:rFonts w:ascii="宋体" w:hAnsi="宋体"/>
          <w:szCs w:val="21"/>
        </w:rPr>
      </w:pPr>
      <w:bookmarkStart w:id="1067" w:name="EptNR_突发治安事件紧急预案的要求"/>
      <w:bookmarkEnd w:id="1067"/>
      <w:r>
        <w:rPr>
          <w:rFonts w:hint="eastAsia" w:ascii="宋体" w:hAnsi="宋体"/>
          <w:szCs w:val="21"/>
        </w:rPr>
        <w:t>7.9      治安保卫方面的其他要求如下：</w:t>
      </w:r>
    </w:p>
    <w:p>
      <w:pPr>
        <w:rPr>
          <w:rFonts w:ascii="宋体" w:hAnsi="宋体"/>
          <w:b/>
          <w:sz w:val="28"/>
          <w:szCs w:val="28"/>
        </w:rPr>
      </w:pPr>
      <w:bookmarkStart w:id="1068" w:name="_Toc277855105"/>
      <w:r>
        <w:rPr>
          <w:rFonts w:hint="eastAsia" w:ascii="宋体" w:hAnsi="宋体"/>
          <w:b/>
          <w:sz w:val="28"/>
          <w:szCs w:val="28"/>
        </w:rPr>
        <w:t>8. 地上、地下设施和周边建筑物的临时保护</w:t>
      </w:r>
      <w:bookmarkEnd w:id="1068"/>
    </w:p>
    <w:p>
      <w:pPr>
        <w:spacing w:line="360" w:lineRule="auto"/>
        <w:ind w:left="945" w:hanging="945" w:hangingChars="450"/>
        <w:rPr>
          <w:rFonts w:ascii="宋体" w:hAnsi="宋体"/>
          <w:szCs w:val="21"/>
        </w:rPr>
      </w:pPr>
      <w:r>
        <w:rPr>
          <w:rFonts w:hint="eastAsia" w:ascii="宋体" w:hAnsi="宋体"/>
          <w:szCs w:val="21"/>
        </w:rPr>
        <w:t>8.1      承包人应为施工场地及其周边现有的地上、地下设施和建筑物提供足够的临时保护设施，确保施工过程中这些设施和建筑物不会受到干扰和破坏。</w:t>
      </w:r>
    </w:p>
    <w:p>
      <w:pPr>
        <w:spacing w:line="360" w:lineRule="auto"/>
        <w:ind w:left="945" w:hanging="945" w:hangingChars="450"/>
        <w:rPr>
          <w:rFonts w:ascii="宋体" w:hAnsi="宋体"/>
          <w:szCs w:val="21"/>
        </w:rPr>
      </w:pPr>
      <w:r>
        <w:rPr>
          <w:rFonts w:hint="eastAsia" w:ascii="宋体" w:hAnsi="宋体"/>
          <w:szCs w:val="21"/>
        </w:rPr>
        <w:t>8.2      承包人应当制订现有设施临时保护方案和应急处理方案，并在本工程开工前至少提前7天报送监理人，监理人应在收到现有设施临时保护方案后的3天内批复承包人。承包人应当严格执行经监理人批准的保护方案，并保证在任何可能影响周边现有的地上、地下设施或周边建筑物的施工作业开始前，相应的临时保护设施能够落实到位。</w:t>
      </w:r>
    </w:p>
    <w:p>
      <w:pPr>
        <w:spacing w:line="360" w:lineRule="auto"/>
        <w:ind w:left="945" w:hanging="945" w:hangingChars="450"/>
        <w:rPr>
          <w:rFonts w:ascii="宋体" w:hAnsi="宋体"/>
          <w:szCs w:val="21"/>
        </w:rPr>
      </w:pPr>
      <w:r>
        <w:rPr>
          <w:rFonts w:hint="eastAsia" w:ascii="宋体" w:hAnsi="宋体"/>
          <w:szCs w:val="21"/>
        </w:rPr>
        <w:t>8.3      发包人特别提醒承包人注意以下地上、地下设施和周边建筑物的保护：</w:t>
      </w:r>
    </w:p>
    <w:p>
      <w:pPr>
        <w:spacing w:line="360" w:lineRule="auto"/>
        <w:ind w:left="945" w:hanging="945" w:hangingChars="450"/>
        <w:rPr>
          <w:rFonts w:ascii="宋体" w:hAnsi="宋体"/>
          <w:szCs w:val="21"/>
        </w:rPr>
      </w:pPr>
      <w:r>
        <w:rPr>
          <w:rFonts w:hint="eastAsia" w:ascii="宋体" w:hAnsi="宋体"/>
          <w:szCs w:val="21"/>
        </w:rPr>
        <w:t>8.4     地上、地下设施和周边建筑物的临时保护的其他要求如下</w:t>
      </w:r>
    </w:p>
    <w:p>
      <w:pPr>
        <w:rPr>
          <w:rFonts w:ascii="宋体" w:hAnsi="宋体"/>
          <w:b/>
          <w:sz w:val="28"/>
          <w:szCs w:val="28"/>
        </w:rPr>
      </w:pPr>
      <w:bookmarkStart w:id="1069" w:name="_Toc277855106"/>
      <w:r>
        <w:rPr>
          <w:rFonts w:hint="eastAsia" w:ascii="宋体" w:hAnsi="宋体"/>
          <w:b/>
          <w:sz w:val="28"/>
          <w:szCs w:val="28"/>
        </w:rPr>
        <w:t>9. 样品和材料代换</w:t>
      </w:r>
      <w:bookmarkEnd w:id="1069"/>
    </w:p>
    <w:p>
      <w:pPr>
        <w:spacing w:line="360" w:lineRule="auto"/>
        <w:ind w:left="945" w:hanging="945" w:hangingChars="450"/>
        <w:rPr>
          <w:rFonts w:ascii="宋体" w:hAnsi="宋体"/>
          <w:szCs w:val="21"/>
        </w:rPr>
      </w:pPr>
      <w:r>
        <w:rPr>
          <w:rFonts w:hint="eastAsia" w:ascii="宋体" w:hAnsi="宋体"/>
          <w:szCs w:val="21"/>
        </w:rPr>
        <w:t>9.1      样品</w:t>
      </w:r>
    </w:p>
    <w:p>
      <w:pPr>
        <w:spacing w:line="360" w:lineRule="auto"/>
        <w:ind w:left="945" w:hanging="945" w:hangingChars="450"/>
        <w:rPr>
          <w:rFonts w:ascii="宋体" w:hAnsi="宋体"/>
          <w:szCs w:val="21"/>
        </w:rPr>
      </w:pPr>
      <w:r>
        <w:rPr>
          <w:rFonts w:hint="eastAsia" w:ascii="宋体" w:hAnsi="宋体"/>
          <w:szCs w:val="21"/>
        </w:rPr>
        <w:t>9.1.1    本工程需要承包人提供样品的材料和工程设备如下：</w:t>
      </w:r>
    </w:p>
    <w:p>
      <w:pPr>
        <w:spacing w:line="360" w:lineRule="auto"/>
        <w:ind w:left="945" w:hanging="945" w:hangingChars="450"/>
        <w:rPr>
          <w:rFonts w:ascii="宋体" w:hAnsi="宋体"/>
          <w:szCs w:val="21"/>
        </w:rPr>
      </w:pPr>
      <w:r>
        <w:rPr>
          <w:rFonts w:hint="eastAsia" w:ascii="宋体" w:hAnsi="宋体"/>
          <w:szCs w:val="21"/>
        </w:rPr>
        <w:t>9.1.2    对于本款第9.1.1项约定的材料和工程设备，承包人应按照约定的期限，向监理人提交样品并附上任何必要的说明书、生产(制造)许可证书、出厂合格证明或者证书、出厂检测报告、性能介绍、使用说明等相关资料，同时注明材料和工程设备的供货人及品种、规格、数量和供货时间等，以供检验和审批。样品送达的地点和样品的数量或尺寸应符合监理人和发包人的要求。除合同另有约定外，承包人在报送任何样品时应按监理人同意的格式填写并递交样品报送单。监理人应及时签收样品。</w:t>
      </w:r>
    </w:p>
    <w:p>
      <w:pPr>
        <w:spacing w:line="360" w:lineRule="auto"/>
        <w:ind w:left="945" w:hanging="945" w:hangingChars="450"/>
        <w:rPr>
          <w:rFonts w:ascii="宋体" w:hAnsi="宋体"/>
          <w:szCs w:val="21"/>
        </w:rPr>
      </w:pPr>
      <w:r>
        <w:rPr>
          <w:rFonts w:hint="eastAsia" w:ascii="宋体" w:hAnsi="宋体"/>
          <w:szCs w:val="21"/>
        </w:rPr>
        <w:t>9.1.3    监理人应在收到承包人报送的样品后7天内转呈发包人并附上监理人的书面审批意见。发包人在收到通过监理人转交的样品以及监理人的审批意见后7天内就此样品给出书面批复。监理人应在收到样品后21天内通知承包人他相关样品所做出的决定或指示(同时抄送一份给发包人)。承包人应根据监理人的书面批复和指示相应地进行下一步工作。如果监理人未能在承包人报送样品后21天内给出书面批复，承包人应就此通知监理人，要求尽快批复。如果发包人在收到此类通知后7天内仍未对样品进行批复，则视为监理人和发包人已经批准。</w:t>
      </w:r>
    </w:p>
    <w:p>
      <w:pPr>
        <w:spacing w:line="360" w:lineRule="auto"/>
        <w:ind w:left="945" w:hanging="945" w:hangingChars="450"/>
        <w:rPr>
          <w:rFonts w:ascii="宋体" w:hAnsi="宋体"/>
          <w:szCs w:val="21"/>
        </w:rPr>
      </w:pPr>
      <w:r>
        <w:rPr>
          <w:rFonts w:hint="eastAsia" w:ascii="宋体" w:hAnsi="宋体"/>
          <w:szCs w:val="21"/>
        </w:rPr>
        <w:t>9.1.4    得到批准后的样品由监理人负责存放。但承包人应为保存样品提供适当和固定的场所并保持适当和良好的环境条件。</w:t>
      </w:r>
    </w:p>
    <w:p>
      <w:pPr>
        <w:spacing w:line="360" w:lineRule="auto"/>
        <w:ind w:left="945" w:hanging="945" w:hangingChars="450"/>
        <w:rPr>
          <w:rFonts w:ascii="宋体" w:hAnsi="宋体"/>
          <w:szCs w:val="21"/>
        </w:rPr>
      </w:pPr>
      <w:r>
        <w:rPr>
          <w:rFonts w:hint="eastAsia" w:ascii="宋体" w:hAnsi="宋体"/>
          <w:szCs w:val="21"/>
        </w:rPr>
        <w:t>9.1.5    提供样品和提供存放样品场所的费用由承包人承担。</w:t>
      </w:r>
    </w:p>
    <w:p>
      <w:pPr>
        <w:spacing w:before="156" w:beforeLines="50" w:after="156" w:afterLines="50" w:line="360" w:lineRule="auto"/>
        <w:ind w:left="945" w:hanging="945" w:hangingChars="450"/>
        <w:rPr>
          <w:rFonts w:ascii="黑体" w:hAnsi="宋体" w:eastAsia="黑体"/>
        </w:rPr>
      </w:pPr>
      <w:r>
        <w:rPr>
          <w:rFonts w:hint="eastAsia" w:ascii="黑体" w:hAnsi="宋体" w:eastAsia="黑体"/>
        </w:rPr>
        <w:t>9.2     材料代换</w:t>
      </w:r>
    </w:p>
    <w:p>
      <w:pPr>
        <w:spacing w:line="360" w:lineRule="auto"/>
        <w:ind w:left="945" w:hanging="945" w:hangingChars="450"/>
        <w:rPr>
          <w:rFonts w:ascii="宋体" w:hAnsi="宋体"/>
          <w:szCs w:val="21"/>
        </w:rPr>
      </w:pPr>
      <w:r>
        <w:rPr>
          <w:rFonts w:hint="eastAsia" w:ascii="宋体" w:hAnsi="宋体"/>
          <w:szCs w:val="21"/>
        </w:rPr>
        <w:t>9.2.1    如果任何后继法律、法规、规章、规范、标准和规程等等禁止使用合同中约定的材料和工程设备，承包人应当按本款约定的程序使用其他替代品来实施工程或修补缺陷。监理人对使用替代品的批准以及承包人据此使用替代品不应减免合同约定的承包人的任何责任和义务。</w:t>
      </w:r>
    </w:p>
    <w:p>
      <w:pPr>
        <w:spacing w:line="360" w:lineRule="auto"/>
        <w:ind w:left="945" w:hanging="945" w:hangingChars="450"/>
        <w:rPr>
          <w:rFonts w:ascii="宋体" w:hAnsi="宋体"/>
          <w:szCs w:val="21"/>
        </w:rPr>
      </w:pPr>
      <w:r>
        <w:rPr>
          <w:rFonts w:hint="eastAsia" w:ascii="宋体" w:hAnsi="宋体"/>
          <w:szCs w:val="21"/>
        </w:rPr>
        <w:t>9.2.2    如果使用替代品，承包人应至少在被替代品按批准的进度计划用于永久工程前56天以书面形式通知监理人并随此通知提交下列文件：</w:t>
      </w:r>
    </w:p>
    <w:p>
      <w:pPr>
        <w:spacing w:line="360" w:lineRule="auto"/>
        <w:ind w:left="1155" w:leftChars="400" w:hanging="315" w:hangingChars="150"/>
        <w:rPr>
          <w:rFonts w:ascii="宋体" w:hAnsi="宋体"/>
          <w:szCs w:val="21"/>
        </w:rPr>
      </w:pPr>
      <w:r>
        <w:rPr>
          <w:rFonts w:hint="eastAsia" w:ascii="宋体" w:hAnsi="宋体"/>
          <w:szCs w:val="21"/>
        </w:rPr>
        <w:t>(1)拟被替代的合同约定的材料和工程设备的名称、数量、规格、型号、品牌、性能、价格及其他任何详细资料；</w:t>
      </w:r>
    </w:p>
    <w:p>
      <w:pPr>
        <w:spacing w:line="360" w:lineRule="auto"/>
        <w:ind w:left="1155" w:leftChars="400" w:hanging="315" w:hangingChars="150"/>
        <w:rPr>
          <w:rFonts w:ascii="宋体" w:hAnsi="宋体"/>
          <w:szCs w:val="21"/>
        </w:rPr>
      </w:pPr>
      <w:r>
        <w:rPr>
          <w:rFonts w:hint="eastAsia" w:ascii="宋体" w:hAnsi="宋体"/>
          <w:szCs w:val="21"/>
        </w:rPr>
        <w:t>(2)拟采用的替代品的名称、数量、规格、型号、品牌、性能、价格及其他任何必要的详细资料；</w:t>
      </w:r>
    </w:p>
    <w:p>
      <w:pPr>
        <w:spacing w:line="360" w:lineRule="auto"/>
        <w:ind w:left="1155" w:leftChars="400" w:hanging="315" w:hangingChars="150"/>
        <w:rPr>
          <w:rFonts w:ascii="宋体" w:hAnsi="宋体"/>
          <w:szCs w:val="21"/>
        </w:rPr>
      </w:pPr>
      <w:r>
        <w:rPr>
          <w:rFonts w:hint="eastAsia" w:ascii="宋体" w:hAnsi="宋体"/>
          <w:szCs w:val="21"/>
        </w:rPr>
        <w:t>(3)替代品使用的工程部位；</w:t>
      </w:r>
    </w:p>
    <w:p>
      <w:pPr>
        <w:spacing w:line="360" w:lineRule="auto"/>
        <w:ind w:left="1155" w:leftChars="400" w:hanging="315" w:hangingChars="150"/>
        <w:rPr>
          <w:rFonts w:ascii="宋体" w:hAnsi="宋体"/>
          <w:szCs w:val="21"/>
        </w:rPr>
      </w:pPr>
      <w:r>
        <w:rPr>
          <w:rFonts w:hint="eastAsia" w:ascii="宋体" w:hAnsi="宋体"/>
          <w:szCs w:val="21"/>
        </w:rPr>
        <w:t>(4)采用替代品的理由和原因说明；</w:t>
      </w:r>
    </w:p>
    <w:p>
      <w:pPr>
        <w:spacing w:line="360" w:lineRule="auto"/>
        <w:ind w:left="1155" w:leftChars="400" w:hanging="315" w:hangingChars="150"/>
        <w:rPr>
          <w:rFonts w:ascii="宋体" w:hAnsi="宋体"/>
          <w:szCs w:val="21"/>
        </w:rPr>
      </w:pPr>
      <w:r>
        <w:rPr>
          <w:rFonts w:hint="eastAsia" w:ascii="宋体" w:hAnsi="宋体"/>
          <w:szCs w:val="21"/>
        </w:rPr>
        <w:t>(5)替代品与合同中约定的产品之间的差异以及使用替代品后可能对工程产生的任何影响；</w:t>
      </w:r>
    </w:p>
    <w:p>
      <w:pPr>
        <w:spacing w:line="360" w:lineRule="auto"/>
        <w:ind w:left="1155" w:leftChars="400" w:hanging="315" w:hangingChars="150"/>
        <w:rPr>
          <w:rFonts w:ascii="宋体" w:hAnsi="宋体"/>
          <w:szCs w:val="21"/>
        </w:rPr>
      </w:pPr>
      <w:r>
        <w:rPr>
          <w:rFonts w:hint="eastAsia" w:ascii="宋体" w:hAnsi="宋体"/>
          <w:szCs w:val="21"/>
        </w:rPr>
        <w:t>(6)价格上的差异；</w:t>
      </w:r>
    </w:p>
    <w:p>
      <w:pPr>
        <w:spacing w:line="360" w:lineRule="auto"/>
        <w:ind w:left="1155" w:leftChars="400" w:hanging="315" w:hangingChars="150"/>
        <w:rPr>
          <w:rFonts w:ascii="宋体" w:hAnsi="宋体"/>
          <w:szCs w:val="21"/>
        </w:rPr>
      </w:pPr>
      <w:r>
        <w:rPr>
          <w:rFonts w:hint="eastAsia" w:ascii="宋体" w:hAnsi="宋体"/>
          <w:szCs w:val="21"/>
        </w:rPr>
        <w:t>(7)监理人为做出适当的决定而随时要求承包人提供的任何其他文件。</w:t>
      </w:r>
    </w:p>
    <w:p>
      <w:pPr>
        <w:spacing w:line="360" w:lineRule="auto"/>
        <w:ind w:left="798" w:leftChars="380" w:firstLine="462" w:firstLineChars="220"/>
        <w:rPr>
          <w:rFonts w:ascii="宋体" w:hAnsi="宋体"/>
          <w:szCs w:val="21"/>
        </w:rPr>
      </w:pPr>
      <w:r>
        <w:rPr>
          <w:rFonts w:hint="eastAsia" w:ascii="宋体" w:hAnsi="宋体"/>
          <w:szCs w:val="21"/>
        </w:rPr>
        <w:t>监理人在收到此类通知及上述文件后，应在28天内向承包人给出书面指示。如果28天内监理人未给出书面指示，应视为监理人和发包人已经批准使用上述替代品，承包人可以据此使用替代品。</w:t>
      </w:r>
    </w:p>
    <w:p>
      <w:pPr>
        <w:spacing w:line="360" w:lineRule="auto"/>
        <w:ind w:left="945" w:hanging="945" w:hangingChars="450"/>
        <w:rPr>
          <w:rFonts w:ascii="宋体" w:hAnsi="宋体"/>
          <w:szCs w:val="21"/>
        </w:rPr>
      </w:pPr>
      <w:r>
        <w:rPr>
          <w:rFonts w:hint="eastAsia" w:ascii="宋体" w:hAnsi="宋体"/>
          <w:szCs w:val="21"/>
        </w:rPr>
        <w:t>9.2.3    任何情况下，替代品都应遵守本合同中对相关材料和工程设备的要求。</w:t>
      </w:r>
    </w:p>
    <w:p>
      <w:pPr>
        <w:spacing w:line="360" w:lineRule="auto"/>
        <w:ind w:left="945" w:hanging="945" w:hangingChars="450"/>
        <w:rPr>
          <w:rFonts w:ascii="宋体" w:hAnsi="宋体"/>
          <w:szCs w:val="21"/>
        </w:rPr>
      </w:pPr>
      <w:r>
        <w:rPr>
          <w:rFonts w:hint="eastAsia" w:ascii="宋体" w:hAnsi="宋体"/>
          <w:szCs w:val="21"/>
        </w:rPr>
        <w:t>9.2.4  如果承包人根据本条约定使用了替代品，监理人应与承包人适当协商之后并在合理的期限内确定替代材料和工程设备与合同中约定的材料和工程设备之间的价值差值，并决定：</w:t>
      </w:r>
    </w:p>
    <w:p>
      <w:pPr>
        <w:spacing w:line="360" w:lineRule="auto"/>
        <w:ind w:left="1155" w:leftChars="400" w:hanging="315" w:hangingChars="150"/>
        <w:rPr>
          <w:rFonts w:ascii="宋体" w:hAnsi="宋体"/>
          <w:szCs w:val="21"/>
        </w:rPr>
      </w:pPr>
      <w:r>
        <w:rPr>
          <w:rFonts w:hint="eastAsia" w:ascii="宋体" w:hAnsi="宋体"/>
          <w:szCs w:val="21"/>
        </w:rPr>
        <w:t>(1)如果替代材料和工程设备的价值高于合同中约定的材料和工程设备的价值，则将高出部分的价值追加到合同价格中并相应地通知承包人；</w:t>
      </w:r>
    </w:p>
    <w:p>
      <w:pPr>
        <w:spacing w:line="360" w:lineRule="auto"/>
        <w:ind w:left="1155" w:leftChars="400" w:hanging="315" w:hangingChars="150"/>
        <w:rPr>
          <w:rFonts w:ascii="宋体" w:hAnsi="宋体"/>
          <w:szCs w:val="21"/>
        </w:rPr>
      </w:pPr>
      <w:r>
        <w:rPr>
          <w:rFonts w:hint="eastAsia" w:ascii="宋体" w:hAnsi="宋体"/>
          <w:szCs w:val="21"/>
        </w:rPr>
        <w:t>(2)(2)如果替代材料和工程设备的价值低于合同中约定的材料和工程设备的价值，则将节余部分的价值从合同价格中扣除并相应地通知承包人。</w:t>
      </w:r>
    </w:p>
    <w:p>
      <w:pPr>
        <w:rPr>
          <w:rFonts w:ascii="宋体" w:hAnsi="宋体"/>
          <w:b/>
          <w:sz w:val="28"/>
          <w:szCs w:val="28"/>
        </w:rPr>
      </w:pPr>
      <w:bookmarkStart w:id="1070" w:name="_Toc277855107"/>
      <w:r>
        <w:rPr>
          <w:rFonts w:hint="eastAsia" w:ascii="宋体" w:hAnsi="宋体"/>
          <w:b/>
          <w:sz w:val="28"/>
          <w:szCs w:val="28"/>
        </w:rPr>
        <w:t>10. 进口材料和工程设备</w:t>
      </w:r>
      <w:bookmarkEnd w:id="1070"/>
    </w:p>
    <w:p>
      <w:pPr>
        <w:spacing w:line="360" w:lineRule="auto"/>
        <w:rPr>
          <w:rFonts w:ascii="宋体" w:hAnsi="宋体"/>
          <w:szCs w:val="21"/>
        </w:rPr>
      </w:pPr>
      <w:r>
        <w:rPr>
          <w:rFonts w:hint="eastAsia" w:ascii="宋体" w:hAnsi="宋体"/>
          <w:szCs w:val="21"/>
        </w:rPr>
        <w:t>10.1    本工程需要进口的材料和工程设备如下：</w:t>
      </w:r>
    </w:p>
    <w:p>
      <w:pPr>
        <w:spacing w:line="360" w:lineRule="auto"/>
        <w:rPr>
          <w:rFonts w:ascii="宋体" w:hAnsi="宋体"/>
          <w:szCs w:val="21"/>
        </w:rPr>
      </w:pPr>
    </w:p>
    <w:p>
      <w:pPr>
        <w:spacing w:line="360" w:lineRule="auto"/>
        <w:ind w:left="945" w:hanging="945" w:hangingChars="450"/>
        <w:rPr>
          <w:rFonts w:ascii="宋体" w:hAnsi="宋体"/>
          <w:szCs w:val="21"/>
        </w:rPr>
      </w:pPr>
      <w:r>
        <w:rPr>
          <w:rFonts w:hint="eastAsia" w:ascii="宋体" w:hAnsi="宋体"/>
          <w:szCs w:val="21"/>
        </w:rPr>
        <w:t>10.2    上述进口材料和工程设备采购、进口、报关、清关、商检、境内运输(包括保险)、保管的责任以及费用承担方式划分如下：</w:t>
      </w:r>
    </w:p>
    <w:p>
      <w:pPr>
        <w:rPr>
          <w:rFonts w:ascii="宋体" w:hAnsi="宋体"/>
          <w:b/>
          <w:sz w:val="28"/>
          <w:szCs w:val="28"/>
        </w:rPr>
      </w:pPr>
      <w:bookmarkStart w:id="1071" w:name="_Toc277855108"/>
      <w:r>
        <w:rPr>
          <w:rFonts w:hint="eastAsia" w:ascii="宋体" w:hAnsi="宋体"/>
          <w:b/>
          <w:sz w:val="28"/>
          <w:szCs w:val="28"/>
        </w:rPr>
        <w:t>11. 进度报告和进度例会</w:t>
      </w:r>
      <w:bookmarkEnd w:id="1071"/>
    </w:p>
    <w:p>
      <w:pPr>
        <w:spacing w:line="360" w:lineRule="auto"/>
        <w:ind w:left="945" w:hanging="945" w:hangingChars="450"/>
        <w:jc w:val="left"/>
        <w:rPr>
          <w:rFonts w:ascii="宋体" w:hAnsi="宋体"/>
          <w:szCs w:val="21"/>
        </w:rPr>
      </w:pPr>
      <w:r>
        <w:rPr>
          <w:rFonts w:hint="eastAsia" w:ascii="宋体" w:hAnsi="宋体"/>
          <w:szCs w:val="21"/>
        </w:rPr>
        <w:t>11.1     进度报告</w:t>
      </w:r>
    </w:p>
    <w:p>
      <w:pPr>
        <w:spacing w:line="360" w:lineRule="auto"/>
        <w:ind w:left="945" w:hanging="945" w:hangingChars="450"/>
        <w:jc w:val="left"/>
        <w:rPr>
          <w:rFonts w:ascii="宋体" w:hAnsi="宋体"/>
          <w:szCs w:val="21"/>
        </w:rPr>
      </w:pPr>
      <w:r>
        <w:rPr>
          <w:rFonts w:hint="eastAsia" w:ascii="宋体" w:hAnsi="宋体"/>
          <w:szCs w:val="21"/>
        </w:rPr>
        <w:t>11.1.1   施工过程中，承包人应向监理人指定的代表呈递一份，月进度报表、合同条款第约定的进度付款申请单。</w:t>
      </w:r>
    </w:p>
    <w:p>
      <w:pPr>
        <w:spacing w:line="360" w:lineRule="auto"/>
        <w:ind w:left="945" w:hanging="945" w:hangingChars="450"/>
        <w:jc w:val="left"/>
        <w:rPr>
          <w:rFonts w:ascii="宋体" w:hAnsi="宋体"/>
          <w:szCs w:val="21"/>
        </w:rPr>
      </w:pPr>
      <w:r>
        <w:rPr>
          <w:rFonts w:hint="eastAsia" w:ascii="宋体" w:hAnsi="宋体"/>
          <w:szCs w:val="21"/>
        </w:rPr>
        <w:t>11.1.2   月进度报表应当反映月完成工程量和累计完成工程量(包括永久工程和临时工程)、材料实际进货、消耗和库存量、现场施工设备的投运数量和运行状况、工程设备的到货情况、劳动力数量(本月及预计未来三个月劳动力的数量)、当前影响施工进度计划的因素和采取的改进措施、进度计划调整及其说明、质量事故和质量缺陷处理纪录、质量状况评价、安全施工措施计划实施情况、安全事故以及人员伤亡和财产损失情况(如果有)、环境保护措施实施和文明施工措施实施情况。</w:t>
      </w:r>
    </w:p>
    <w:p>
      <w:pPr>
        <w:spacing w:line="360" w:lineRule="auto"/>
        <w:ind w:left="924" w:leftChars="-10" w:hanging="945" w:hangingChars="450"/>
        <w:jc w:val="left"/>
        <w:rPr>
          <w:rFonts w:ascii="宋体" w:hAnsi="宋体"/>
          <w:szCs w:val="21"/>
        </w:rPr>
      </w:pPr>
      <w:r>
        <w:rPr>
          <w:rFonts w:hint="eastAsia" w:ascii="宋体" w:hAnsi="宋体"/>
          <w:szCs w:val="21"/>
        </w:rPr>
        <w:t>11.1.3   月进度报告还应附有一组充分显示工程形象进度的定点摄影照片。照片应当在经监理人批准的不同位置定期拍摄，每张照片都应标上相应的拍摄日期和简要文字说明，且应用经发包人和监理人批准的标准或格式装裱后呈交。</w:t>
      </w:r>
    </w:p>
    <w:p>
      <w:pPr>
        <w:spacing w:line="360" w:lineRule="auto"/>
        <w:ind w:left="945" w:hanging="945" w:hangingChars="450"/>
        <w:jc w:val="left"/>
        <w:rPr>
          <w:rFonts w:ascii="宋体" w:hAnsi="宋体"/>
          <w:szCs w:val="21"/>
        </w:rPr>
      </w:pPr>
      <w:r>
        <w:rPr>
          <w:rFonts w:hint="eastAsia" w:ascii="宋体" w:hAnsi="宋体"/>
          <w:szCs w:val="21"/>
        </w:rPr>
        <w:t>11.1.4  各个进度报表的格式和内容需经过监理人的审批。进度报表应如实填写，由承包人授权代表签名，并报监理人的指定代表签名确认后再行分发。</w:t>
      </w:r>
    </w:p>
    <w:p>
      <w:pPr>
        <w:spacing w:line="360" w:lineRule="auto"/>
        <w:ind w:left="945" w:hanging="945" w:hangingChars="450"/>
        <w:jc w:val="left"/>
        <w:rPr>
          <w:rFonts w:ascii="宋体" w:hAnsi="宋体"/>
          <w:szCs w:val="21"/>
        </w:rPr>
      </w:pPr>
      <w:r>
        <w:rPr>
          <w:rFonts w:hint="eastAsia" w:ascii="宋体" w:hAnsi="宋体"/>
          <w:szCs w:val="21"/>
        </w:rPr>
        <w:t>11.1.5  如果监理人认为必要，进度报告和进度照片应同时以存储在磁盘或光盘中的数据文件的形式递交给发包人和监理人。数据文件采用的应用软件及其版本需经过监理人的审批。</w:t>
      </w:r>
    </w:p>
    <w:p>
      <w:pPr>
        <w:spacing w:line="360" w:lineRule="auto"/>
        <w:ind w:left="945" w:hanging="945" w:hangingChars="450"/>
        <w:jc w:val="left"/>
        <w:rPr>
          <w:rFonts w:ascii="宋体" w:hAnsi="宋体"/>
          <w:szCs w:val="21"/>
        </w:rPr>
      </w:pPr>
      <w:r>
        <w:rPr>
          <w:rFonts w:hint="eastAsia" w:ascii="宋体" w:hAnsi="宋体"/>
          <w:szCs w:val="21"/>
        </w:rPr>
        <w:t>11.1.6  有关进度报告的其他要求：</w:t>
      </w:r>
    </w:p>
    <w:p>
      <w:pPr>
        <w:spacing w:line="360" w:lineRule="auto"/>
        <w:ind w:left="945" w:hanging="945" w:hangingChars="450"/>
        <w:jc w:val="left"/>
        <w:rPr>
          <w:rFonts w:ascii="黑体" w:hAnsi="宋体" w:eastAsia="黑体"/>
        </w:rPr>
      </w:pPr>
      <w:r>
        <w:rPr>
          <w:rFonts w:hint="eastAsia" w:ascii="黑体" w:hAnsi="宋体" w:eastAsia="黑体"/>
        </w:rPr>
        <w:t>11.2     进度例会</w:t>
      </w:r>
    </w:p>
    <w:p>
      <w:pPr>
        <w:spacing w:line="360" w:lineRule="auto"/>
        <w:ind w:left="945" w:hanging="945" w:hangingChars="450"/>
        <w:jc w:val="left"/>
        <w:rPr>
          <w:rFonts w:ascii="宋体" w:hAnsi="宋体"/>
          <w:szCs w:val="21"/>
        </w:rPr>
      </w:pPr>
      <w:r>
        <w:rPr>
          <w:rFonts w:hint="eastAsia" w:ascii="宋体" w:hAnsi="宋体"/>
          <w:szCs w:val="21"/>
        </w:rPr>
        <w:t>11.2.1   监理人将主持召开有发包人、承包人、独立承包人和主要分包人等与本工程建设有关各方出席的每周一次的进度例会。必要时，监理人可随时召集所有上述各方或其中部分单位参加的会议。承包人应保证能代表其当场作出决定的高级管理人员出席会议。</w:t>
      </w:r>
    </w:p>
    <w:p>
      <w:pPr>
        <w:spacing w:line="360" w:lineRule="auto"/>
        <w:ind w:left="945" w:hanging="945" w:hangingChars="450"/>
        <w:jc w:val="left"/>
        <w:rPr>
          <w:rFonts w:ascii="宋体" w:hAnsi="宋体"/>
          <w:szCs w:val="21"/>
        </w:rPr>
      </w:pPr>
      <w:r>
        <w:rPr>
          <w:rFonts w:hint="eastAsia" w:ascii="宋体" w:hAnsi="宋体"/>
          <w:szCs w:val="21"/>
        </w:rPr>
        <w:t>11.2.2   进度例会的内容将涉及合同管理、进度协调和工程管理的各个方面，由监理人准备的会议议题将随会议通知在会议召开前至少24小时发给各参会方。</w:t>
      </w:r>
    </w:p>
    <w:p>
      <w:pPr>
        <w:spacing w:line="360" w:lineRule="auto"/>
        <w:ind w:left="945" w:hanging="945" w:hangingChars="450"/>
        <w:jc w:val="left"/>
        <w:rPr>
          <w:rFonts w:ascii="宋体" w:hAnsi="宋体"/>
          <w:szCs w:val="21"/>
        </w:rPr>
      </w:pPr>
      <w:r>
        <w:rPr>
          <w:rFonts w:hint="eastAsia" w:ascii="宋体" w:hAnsi="宋体"/>
          <w:szCs w:val="21"/>
        </w:rPr>
        <w:t>11.2.3   监理人应当做好会议记录，并在会议结束时由与会各方签字确认。监理人应根据会议记录整理出会议纪要，并在相应会议后24小时内分发给出席会议的各方。会议纪要应当如实反映会议记录的内容，包括任何决定、存在的问题、责任方、有关工作的时间目标等等。各方在收到会议纪要后24小时内给予签字确认，如有任何异议，应将有关异议以书面形式通知监理人，由监理人与有异议一方或各方共同核对会议记录，有异议的一方或者各方对与会议记录内容一致的会议纪要必须给予签字确认，否则监理人可以用会议记录作为会议纪要。经参会各方签字认可的会议纪要对各方有合同约束力。</w:t>
      </w:r>
    </w:p>
    <w:p>
      <w:pPr>
        <w:spacing w:line="360" w:lineRule="auto"/>
        <w:ind w:left="945" w:hanging="945" w:hangingChars="450"/>
        <w:jc w:val="left"/>
        <w:rPr>
          <w:rFonts w:ascii="宋体" w:hAnsi="宋体"/>
          <w:szCs w:val="21"/>
        </w:rPr>
      </w:pPr>
      <w:r>
        <w:rPr>
          <w:rFonts w:hint="eastAsia" w:ascii="宋体" w:hAnsi="宋体"/>
          <w:szCs w:val="21"/>
        </w:rPr>
        <w:t>11.2.4   有关进度例会的其他要求：</w:t>
      </w:r>
    </w:p>
    <w:p>
      <w:pPr>
        <w:rPr>
          <w:rFonts w:ascii="宋体" w:hAnsi="宋体"/>
          <w:b/>
          <w:sz w:val="28"/>
          <w:szCs w:val="28"/>
        </w:rPr>
      </w:pPr>
      <w:bookmarkStart w:id="1072" w:name="_Toc277855109"/>
      <w:r>
        <w:rPr>
          <w:rFonts w:hint="eastAsia" w:ascii="宋体" w:hAnsi="宋体"/>
          <w:b/>
          <w:sz w:val="28"/>
          <w:szCs w:val="28"/>
        </w:rPr>
        <w:t>12. 试验和检验</w:t>
      </w:r>
      <w:bookmarkEnd w:id="1072"/>
    </w:p>
    <w:p>
      <w:pPr>
        <w:spacing w:line="360" w:lineRule="auto"/>
        <w:ind w:left="945" w:hanging="945" w:hangingChars="450"/>
        <w:jc w:val="left"/>
        <w:rPr>
          <w:rFonts w:ascii="宋体" w:hAnsi="宋体"/>
          <w:szCs w:val="21"/>
        </w:rPr>
      </w:pPr>
      <w:r>
        <w:rPr>
          <w:rFonts w:hint="eastAsia" w:ascii="宋体" w:hAnsi="宋体"/>
          <w:szCs w:val="21"/>
        </w:rPr>
        <w:t>12.1     承包人应当按照工程施工验收规范和标准的规定对用于永久工程的主要材料、半成品、成品、建筑构配件、工程设备等进行试验和检验。</w:t>
      </w:r>
    </w:p>
    <w:p>
      <w:pPr>
        <w:spacing w:line="360" w:lineRule="auto"/>
        <w:ind w:left="945" w:hanging="945" w:hangingChars="450"/>
        <w:jc w:val="left"/>
        <w:rPr>
          <w:rFonts w:ascii="宋体" w:hAnsi="宋体"/>
          <w:szCs w:val="21"/>
        </w:rPr>
      </w:pPr>
      <w:r>
        <w:rPr>
          <w:rFonts w:hint="eastAsia" w:ascii="宋体" w:hAnsi="宋体"/>
          <w:szCs w:val="21"/>
        </w:rPr>
        <w:t>12.2     本工程需要承包人进行试验和检验的材料、工程设备和工艺如下：</w:t>
      </w:r>
      <w:bookmarkStart w:id="1073" w:name="EptNR_本工程需要承包人进行试验和检验的材料、工程设备和工艺"/>
    </w:p>
    <w:bookmarkEnd w:id="1073"/>
    <w:p>
      <w:pPr>
        <w:spacing w:line="360" w:lineRule="auto"/>
        <w:ind w:left="945" w:hanging="945" w:hangingChars="450"/>
        <w:jc w:val="left"/>
        <w:rPr>
          <w:rFonts w:ascii="宋体" w:hAnsi="宋体"/>
          <w:szCs w:val="21"/>
        </w:rPr>
      </w:pPr>
      <w:r>
        <w:rPr>
          <w:rFonts w:hint="eastAsia" w:ascii="宋体" w:hAnsi="宋体"/>
          <w:szCs w:val="21"/>
        </w:rPr>
        <w:t>。监理人可以根据工程需要，指示承包人进行其他现场材料和工艺的试验和检验。</w:t>
      </w:r>
    </w:p>
    <w:p>
      <w:pPr>
        <w:spacing w:line="360" w:lineRule="auto"/>
        <w:ind w:left="945" w:hanging="945" w:hangingChars="450"/>
        <w:jc w:val="left"/>
        <w:rPr>
          <w:rFonts w:ascii="宋体" w:hAnsi="宋体"/>
          <w:szCs w:val="21"/>
        </w:rPr>
      </w:pPr>
      <w:r>
        <w:rPr>
          <w:rFonts w:hint="eastAsia" w:ascii="宋体" w:hAnsi="宋体"/>
          <w:szCs w:val="21"/>
        </w:rPr>
        <w:t xml:space="preserve">12.3     </w:t>
      </w:r>
      <w:r>
        <w:rPr>
          <w:rFonts w:hint="eastAsia" w:ascii="宋体" w:hAnsi="宋体"/>
          <w:spacing w:val="4"/>
          <w:szCs w:val="21"/>
        </w:rPr>
        <w:t>本工程需要由监理人和承包人共同进行试验和检验的材料、工程设备和工艺如下：</w:t>
      </w:r>
    </w:p>
    <w:p>
      <w:pPr>
        <w:spacing w:line="360" w:lineRule="auto"/>
        <w:ind w:left="945" w:hanging="945" w:hangingChars="450"/>
        <w:jc w:val="left"/>
        <w:rPr>
          <w:rFonts w:ascii="宋体" w:hAnsi="宋体"/>
          <w:szCs w:val="21"/>
        </w:rPr>
      </w:pPr>
      <w:r>
        <w:rPr>
          <w:rFonts w:hint="eastAsia" w:ascii="宋体" w:hAnsi="宋体"/>
          <w:szCs w:val="21"/>
        </w:rPr>
        <w:t>12.4     本条上述约定需要进行检验的材料、工程设备和工艺在经过检验并获得监理人批准以前，不得用于任何永久工程。</w:t>
      </w:r>
    </w:p>
    <w:p>
      <w:pPr>
        <w:spacing w:line="360" w:lineRule="auto"/>
        <w:ind w:left="945" w:hanging="945" w:hangingChars="450"/>
        <w:jc w:val="left"/>
        <w:rPr>
          <w:rFonts w:ascii="宋体" w:hAnsi="宋体"/>
          <w:szCs w:val="21"/>
        </w:rPr>
      </w:pPr>
      <w:r>
        <w:rPr>
          <w:rFonts w:hint="eastAsia" w:ascii="宋体" w:hAnsi="宋体"/>
          <w:szCs w:val="21"/>
        </w:rPr>
        <w:t>12.5     承包人应为任何材料、工程设备和工艺的检查、检测和检验提供劳务、电力、燃料、备用品、设备和仪器以及必要的协助。监理人及其任何授权人员应能够在任何时候进入现场及正在为工程制造、装配、准备材料和(或)工程设备的车间和场所进行任何必要的检查。无论这些车间和场所是否属于承包人，承包人都应提供一切便利，并协助其取得相应的权力和(或)许可。</w:t>
      </w:r>
    </w:p>
    <w:p>
      <w:pPr>
        <w:spacing w:line="360" w:lineRule="auto"/>
        <w:ind w:left="945" w:hanging="945" w:hangingChars="450"/>
        <w:jc w:val="left"/>
        <w:rPr>
          <w:rFonts w:ascii="宋体" w:hAnsi="宋体"/>
          <w:szCs w:val="21"/>
        </w:rPr>
      </w:pPr>
      <w:r>
        <w:rPr>
          <w:rFonts w:hint="eastAsia" w:ascii="宋体" w:hAnsi="宋体"/>
          <w:szCs w:val="21"/>
        </w:rPr>
        <w:t>12.6     如果检查、检测、检验或试验的结果表明，材料、工程设备和工艺有缺陷或不符合合同约定，监理人和发包人可拒收此类材料、工程设备和工艺，并应立即通知承包人同时说明理由。承包人应立即修复上述缺陷并保证其符合合同约定。若监理人或发包人要求对此类工程设备、材料、设计或工艺重新进行检验，则此类检验应按相同条款和条件重新进行。如果此类拒收和重新检验致使发包人产生了额外费用，则此类费用应由承包人支付给发包人，或从发包人应支付给承包人的款项中扣除。</w:t>
      </w:r>
    </w:p>
    <w:p>
      <w:pPr>
        <w:spacing w:line="360" w:lineRule="auto"/>
        <w:ind w:left="945" w:hanging="945" w:hangingChars="450"/>
        <w:jc w:val="left"/>
        <w:rPr>
          <w:rFonts w:ascii="宋体" w:hAnsi="宋体"/>
          <w:szCs w:val="21"/>
        </w:rPr>
      </w:pPr>
      <w:r>
        <w:rPr>
          <w:rFonts w:hint="eastAsia" w:ascii="宋体" w:hAnsi="宋体"/>
          <w:szCs w:val="21"/>
        </w:rPr>
        <w:t>12.7     承包人应在监理人的监督下，对涉及结构安全的试块、试件以及有关材料进行现场取样，并送</w:t>
      </w:r>
      <w:bookmarkStart w:id="1074" w:name="EptNR_承包人应在监理人的监督下，对涉及结构安全的试块、试件以及有关材料进行"/>
      <w:bookmarkEnd w:id="1074"/>
      <w:r>
        <w:rPr>
          <w:rFonts w:hint="eastAsia" w:ascii="宋体" w:hAnsi="宋体"/>
          <w:szCs w:val="21"/>
        </w:rPr>
        <w:t>质量检测单位进行检测。</w:t>
      </w:r>
    </w:p>
    <w:p>
      <w:pPr>
        <w:spacing w:line="360" w:lineRule="auto"/>
        <w:ind w:left="945" w:hanging="945" w:hangingChars="450"/>
        <w:jc w:val="left"/>
        <w:rPr>
          <w:rFonts w:ascii="宋体" w:hAnsi="宋体"/>
          <w:szCs w:val="21"/>
        </w:rPr>
      </w:pPr>
      <w:r>
        <w:rPr>
          <w:rFonts w:hint="eastAsia" w:ascii="宋体" w:hAnsi="宋体"/>
          <w:szCs w:val="21"/>
        </w:rPr>
        <w:t>12.8     除合同另有约定外，承包人应负担本合同项下的所有材料、工程设备和工艺检验的费用。</w:t>
      </w:r>
    </w:p>
    <w:p>
      <w:pPr>
        <w:rPr>
          <w:rFonts w:ascii="宋体" w:hAnsi="宋体"/>
          <w:b/>
          <w:sz w:val="28"/>
          <w:szCs w:val="28"/>
        </w:rPr>
      </w:pPr>
      <w:bookmarkStart w:id="1075" w:name="_Toc277855110"/>
      <w:r>
        <w:rPr>
          <w:rFonts w:hint="eastAsia" w:ascii="宋体" w:hAnsi="宋体"/>
          <w:b/>
          <w:sz w:val="28"/>
          <w:szCs w:val="28"/>
        </w:rPr>
        <w:t>13. 计日工</w:t>
      </w:r>
      <w:bookmarkEnd w:id="1075"/>
    </w:p>
    <w:p>
      <w:pPr>
        <w:spacing w:line="360" w:lineRule="auto"/>
        <w:ind w:left="945" w:hanging="945" w:hangingChars="450"/>
        <w:jc w:val="left"/>
        <w:rPr>
          <w:rFonts w:ascii="宋体" w:hAnsi="宋体"/>
          <w:szCs w:val="21"/>
        </w:rPr>
      </w:pPr>
      <w:r>
        <w:rPr>
          <w:rFonts w:hint="eastAsia" w:ascii="宋体" w:hAnsi="宋体"/>
          <w:szCs w:val="21"/>
        </w:rPr>
        <w:t>13.1     计日工，一般适用于合同约定之外的或者因变更而产生的、工程量清单中没有设立相应子目或者即便有相应子目但因工作条件发生变化而无法适用的额外工作，尤其是那些时间不允许事先商定价格的额外工作。计日工在发包人认为必要时，由监理人通知承包人按计日工的方式实施变更的零星工作，其标价按已列入标价的工程量清单中的计价子目及单价执行。</w:t>
      </w:r>
    </w:p>
    <w:p>
      <w:pPr>
        <w:spacing w:line="360" w:lineRule="auto"/>
        <w:ind w:left="945" w:hanging="945" w:hangingChars="450"/>
        <w:jc w:val="left"/>
        <w:rPr>
          <w:rFonts w:ascii="宋体" w:hAnsi="宋体"/>
          <w:szCs w:val="21"/>
        </w:rPr>
      </w:pPr>
      <w:r>
        <w:rPr>
          <w:rFonts w:hint="eastAsia" w:ascii="宋体" w:hAnsi="宋体"/>
          <w:szCs w:val="21"/>
        </w:rPr>
        <w:t>13.2     在工程实际开工后14天内，承包人应当编制计日工报表内容，准备一份计日工日报表的格式，报送监理人审批，监理人应当在收到之日后7天内给予批复或提出修改意见。</w:t>
      </w:r>
    </w:p>
    <w:p>
      <w:pPr>
        <w:spacing w:line="360" w:lineRule="auto"/>
        <w:ind w:left="945" w:hanging="945" w:hangingChars="450"/>
        <w:jc w:val="left"/>
        <w:rPr>
          <w:rFonts w:ascii="宋体" w:hAnsi="宋体"/>
          <w:szCs w:val="21"/>
        </w:rPr>
      </w:pPr>
      <w:r>
        <w:rPr>
          <w:rFonts w:hint="eastAsia" w:ascii="宋体" w:hAnsi="宋体"/>
          <w:szCs w:val="21"/>
        </w:rPr>
        <w:t>13.3     按计日工实施相关变更的过程中，承包人应当按经监理人批准的计日工日报表格式，每天提交计日工报表和有关凭证，报送监理人审批，监理人应当在收到相关报表和凭证后24小时内给予批复。</w:t>
      </w:r>
    </w:p>
    <w:p>
      <w:pPr>
        <w:spacing w:line="360" w:lineRule="auto"/>
        <w:ind w:left="945" w:hanging="945" w:hangingChars="450"/>
        <w:jc w:val="left"/>
        <w:rPr>
          <w:rFonts w:ascii="宋体" w:hAnsi="宋体"/>
          <w:szCs w:val="21"/>
        </w:rPr>
      </w:pPr>
      <w:r>
        <w:rPr>
          <w:rFonts w:hint="eastAsia" w:ascii="宋体" w:hAnsi="宋体"/>
          <w:szCs w:val="21"/>
        </w:rPr>
        <w:t>13.4     计日工劳务按工日(8小时)计量，单次4小时以内按0.5个工日，单次4小时至8小时按1个工日，加班时间按照国家劳动法律法规的规定办理。实施计日工的劳务人员仅应包括直接从事计日工工作的工人和班组长(如果有)，不应包括工长及其以上管理人员。</w:t>
      </w:r>
    </w:p>
    <w:p>
      <w:pPr>
        <w:spacing w:line="360" w:lineRule="auto"/>
        <w:ind w:left="945" w:hanging="945" w:hangingChars="450"/>
        <w:jc w:val="left"/>
        <w:rPr>
          <w:rFonts w:ascii="宋体" w:hAnsi="宋体"/>
          <w:szCs w:val="21"/>
        </w:rPr>
      </w:pPr>
      <w:r>
        <w:rPr>
          <w:rFonts w:hint="eastAsia" w:ascii="宋体" w:hAnsi="宋体"/>
          <w:szCs w:val="21"/>
        </w:rPr>
        <w:t>13.5     已标价工程量清单计日工材料表中未列出的材料，实际发生于计日工时，其价格按照经监理人事先审批的材料运到现场的价格或有关材料采购的发票票面价格(运到现场价)，另计一个在计日工材料表中填写的包括承包人企业管理费、利润在内的一个固定百分比，规费和税金另计。</w:t>
      </w:r>
    </w:p>
    <w:p>
      <w:pPr>
        <w:spacing w:line="360" w:lineRule="auto"/>
        <w:ind w:left="945" w:hanging="945" w:hangingChars="450"/>
        <w:jc w:val="left"/>
        <w:rPr>
          <w:rFonts w:ascii="宋体" w:hAnsi="宋体"/>
          <w:szCs w:val="21"/>
        </w:rPr>
      </w:pPr>
      <w:r>
        <w:rPr>
          <w:rFonts w:hint="eastAsia" w:ascii="宋体" w:hAnsi="宋体"/>
          <w:szCs w:val="21"/>
        </w:rPr>
        <w:t>13.6     施工机械按台班计量(8小时)，单次4小时以内按0.5个台班，单次4小时至8小时按1个台班，操作人员加班时间按照国家劳动法律法规的规定办理。计日工如果需要使用场外施工机械，台班费用和进出场费用按市场平均价格，由承包人事后报监理人审批。</w:t>
      </w:r>
    </w:p>
    <w:p>
      <w:pPr>
        <w:spacing w:line="360" w:lineRule="auto"/>
        <w:ind w:left="945" w:hanging="945" w:hangingChars="450"/>
        <w:jc w:val="left"/>
        <w:rPr>
          <w:rFonts w:ascii="宋体" w:hAnsi="宋体"/>
          <w:szCs w:val="21"/>
        </w:rPr>
      </w:pPr>
      <w:r>
        <w:rPr>
          <w:rFonts w:hint="eastAsia" w:ascii="宋体" w:hAnsi="宋体"/>
          <w:szCs w:val="21"/>
        </w:rPr>
        <w:t>13.7     关于计日工的其他约定：</w:t>
      </w:r>
    </w:p>
    <w:p>
      <w:pPr>
        <w:spacing w:line="360" w:lineRule="auto"/>
        <w:ind w:left="945" w:hanging="945" w:hangingChars="450"/>
        <w:jc w:val="left"/>
        <w:rPr>
          <w:rFonts w:ascii="宋体" w:hAnsi="宋体"/>
          <w:szCs w:val="21"/>
        </w:rPr>
      </w:pPr>
      <w:bookmarkStart w:id="1076" w:name="EptNR_关于计日工的其他约定"/>
      <w:bookmarkEnd w:id="1076"/>
      <w:r>
        <w:rPr>
          <w:rFonts w:hint="eastAsia" w:ascii="宋体" w:hAnsi="宋体"/>
          <w:szCs w:val="21"/>
        </w:rPr>
        <w:t>。</w:t>
      </w:r>
    </w:p>
    <w:p>
      <w:pPr>
        <w:rPr>
          <w:rFonts w:ascii="宋体" w:hAnsi="宋体"/>
          <w:b/>
          <w:sz w:val="28"/>
          <w:szCs w:val="28"/>
        </w:rPr>
      </w:pPr>
      <w:bookmarkStart w:id="1077" w:name="_Toc277855111"/>
      <w:r>
        <w:rPr>
          <w:rFonts w:hint="eastAsia" w:ascii="宋体" w:hAnsi="宋体"/>
          <w:b/>
          <w:sz w:val="28"/>
          <w:szCs w:val="28"/>
        </w:rPr>
        <w:t>14. 合同价款与支付</w:t>
      </w:r>
      <w:bookmarkEnd w:id="1077"/>
    </w:p>
    <w:p>
      <w:pPr>
        <w:spacing w:line="360" w:lineRule="auto"/>
        <w:ind w:left="945" w:hanging="945" w:hangingChars="450"/>
        <w:jc w:val="left"/>
        <w:rPr>
          <w:rFonts w:ascii="黑体" w:hAnsi="宋体" w:eastAsia="黑体"/>
        </w:rPr>
      </w:pPr>
      <w:r>
        <w:rPr>
          <w:rFonts w:hint="eastAsia" w:ascii="黑体" w:hAnsi="宋体" w:eastAsia="黑体"/>
        </w:rPr>
        <w:t>14.1    付款申请单</w:t>
      </w:r>
    </w:p>
    <w:p>
      <w:pPr>
        <w:spacing w:line="360" w:lineRule="auto"/>
        <w:ind w:left="945" w:hanging="945" w:hangingChars="450"/>
        <w:jc w:val="left"/>
        <w:rPr>
          <w:rFonts w:ascii="宋体" w:hAnsi="宋体"/>
          <w:szCs w:val="21"/>
        </w:rPr>
      </w:pPr>
      <w:r>
        <w:rPr>
          <w:rFonts w:hint="eastAsia" w:ascii="宋体" w:hAnsi="宋体"/>
          <w:szCs w:val="21"/>
        </w:rPr>
        <w:t>14.1.1   合同价款与调整、工程量付款、工程量确认、进度款支付除按合同通用条款规定外，应按专用合同条款约定的办法执行。</w:t>
      </w:r>
    </w:p>
    <w:p>
      <w:pPr>
        <w:spacing w:line="360" w:lineRule="auto"/>
        <w:ind w:left="945" w:hanging="945" w:hangingChars="450"/>
        <w:jc w:val="left"/>
        <w:rPr>
          <w:rFonts w:ascii="宋体" w:hAnsi="宋体"/>
          <w:szCs w:val="21"/>
        </w:rPr>
      </w:pPr>
      <w:r>
        <w:rPr>
          <w:rFonts w:hint="eastAsia" w:ascii="宋体" w:hAnsi="宋体"/>
          <w:szCs w:val="21"/>
        </w:rPr>
        <w:t>14.1.2   竣工结算总价(合同价格)应当按以下内容梳理：</w:t>
      </w:r>
    </w:p>
    <w:p>
      <w:pPr>
        <w:spacing w:line="360" w:lineRule="auto"/>
        <w:ind w:left="945" w:leftChars="450"/>
        <w:jc w:val="left"/>
        <w:rPr>
          <w:rFonts w:ascii="宋体" w:hAnsi="宋体"/>
          <w:szCs w:val="21"/>
        </w:rPr>
      </w:pPr>
      <w:r>
        <w:rPr>
          <w:rFonts w:hint="eastAsia" w:ascii="宋体" w:hAnsi="宋体"/>
          <w:szCs w:val="21"/>
        </w:rPr>
        <w:t>(1)签约合同价；</w:t>
      </w:r>
    </w:p>
    <w:p>
      <w:pPr>
        <w:spacing w:line="360" w:lineRule="auto"/>
        <w:ind w:left="945" w:leftChars="450"/>
        <w:jc w:val="left"/>
        <w:rPr>
          <w:rFonts w:ascii="宋体" w:hAnsi="宋体"/>
          <w:szCs w:val="21"/>
        </w:rPr>
      </w:pPr>
      <w:r>
        <w:rPr>
          <w:rFonts w:hint="eastAsia" w:ascii="宋体" w:hAnsi="宋体"/>
          <w:szCs w:val="21"/>
        </w:rPr>
        <w:t>(2)应当扣减的项目；</w:t>
      </w:r>
    </w:p>
    <w:p>
      <w:pPr>
        <w:spacing w:line="360" w:lineRule="auto"/>
        <w:ind w:firstLine="1260" w:firstLineChars="600"/>
        <w:jc w:val="left"/>
        <w:rPr>
          <w:rFonts w:ascii="宋体" w:hAnsi="宋体"/>
          <w:szCs w:val="21"/>
        </w:rPr>
      </w:pPr>
      <w:r>
        <w:rPr>
          <w:rFonts w:hint="eastAsia" w:ascii="宋体" w:hAnsi="宋体"/>
          <w:szCs w:val="21"/>
        </w:rPr>
        <w:t>1)所有暂列金额；</w:t>
      </w:r>
    </w:p>
    <w:p>
      <w:pPr>
        <w:spacing w:line="360" w:lineRule="auto"/>
        <w:ind w:firstLine="1260" w:firstLineChars="600"/>
        <w:jc w:val="left"/>
        <w:rPr>
          <w:rFonts w:ascii="宋体" w:hAnsi="宋体"/>
          <w:szCs w:val="21"/>
        </w:rPr>
      </w:pPr>
      <w:r>
        <w:rPr>
          <w:rFonts w:hint="eastAsia" w:ascii="宋体" w:hAnsi="宋体"/>
          <w:szCs w:val="21"/>
        </w:rPr>
        <w:t>2)所有暂估价；</w:t>
      </w:r>
    </w:p>
    <w:p>
      <w:pPr>
        <w:spacing w:line="360" w:lineRule="auto"/>
        <w:ind w:firstLine="1260" w:firstLineChars="600"/>
        <w:jc w:val="left"/>
        <w:rPr>
          <w:rFonts w:ascii="宋体" w:hAnsi="宋体"/>
          <w:szCs w:val="21"/>
        </w:rPr>
      </w:pPr>
      <w:r>
        <w:rPr>
          <w:rFonts w:hint="eastAsia" w:ascii="宋体" w:hAnsi="宋体"/>
          <w:szCs w:val="21"/>
        </w:rPr>
        <w:t>3)应扣减的变更金额；</w:t>
      </w:r>
    </w:p>
    <w:p>
      <w:pPr>
        <w:spacing w:line="360" w:lineRule="auto"/>
        <w:ind w:firstLine="1260" w:firstLineChars="600"/>
        <w:jc w:val="left"/>
        <w:rPr>
          <w:rFonts w:ascii="宋体" w:hAnsi="宋体"/>
          <w:szCs w:val="21"/>
        </w:rPr>
      </w:pPr>
      <w:r>
        <w:rPr>
          <w:rFonts w:hint="eastAsia" w:ascii="宋体" w:hAnsi="宋体"/>
          <w:szCs w:val="21"/>
        </w:rPr>
        <w:t>4)应扣减的价格调整(下调部分)；</w:t>
      </w:r>
    </w:p>
    <w:p>
      <w:pPr>
        <w:spacing w:line="360" w:lineRule="auto"/>
        <w:ind w:firstLine="1260" w:firstLineChars="600"/>
        <w:jc w:val="left"/>
        <w:rPr>
          <w:rFonts w:ascii="宋体" w:hAnsi="宋体"/>
          <w:szCs w:val="21"/>
        </w:rPr>
      </w:pPr>
      <w:r>
        <w:rPr>
          <w:rFonts w:hint="eastAsia" w:ascii="宋体" w:hAnsi="宋体"/>
          <w:szCs w:val="21"/>
        </w:rPr>
        <w:t>5)应扣减的发包人索赔金额；</w:t>
      </w:r>
    </w:p>
    <w:p>
      <w:pPr>
        <w:spacing w:line="360" w:lineRule="auto"/>
        <w:ind w:firstLine="1260" w:firstLineChars="600"/>
        <w:jc w:val="left"/>
        <w:rPr>
          <w:rFonts w:ascii="宋体" w:hAnsi="宋体"/>
          <w:szCs w:val="21"/>
        </w:rPr>
      </w:pPr>
      <w:r>
        <w:rPr>
          <w:rFonts w:hint="eastAsia" w:ascii="宋体" w:hAnsi="宋体"/>
          <w:szCs w:val="21"/>
        </w:rPr>
        <w:t>6)甩项工程的合同价值(如果有)；</w:t>
      </w:r>
    </w:p>
    <w:p>
      <w:pPr>
        <w:spacing w:line="360" w:lineRule="auto"/>
        <w:ind w:firstLine="1260" w:firstLineChars="600"/>
        <w:jc w:val="left"/>
        <w:rPr>
          <w:rFonts w:ascii="宋体" w:hAnsi="宋体"/>
          <w:szCs w:val="21"/>
        </w:rPr>
      </w:pPr>
      <w:r>
        <w:rPr>
          <w:rFonts w:hint="eastAsia" w:ascii="宋体" w:hAnsi="宋体"/>
          <w:szCs w:val="21"/>
        </w:rPr>
        <w:t>7)发包人应扣减的其他金额。</w:t>
      </w:r>
    </w:p>
    <w:p>
      <w:pPr>
        <w:spacing w:line="360" w:lineRule="auto"/>
        <w:ind w:firstLine="945" w:firstLineChars="450"/>
        <w:jc w:val="left"/>
        <w:rPr>
          <w:rFonts w:ascii="宋体" w:hAnsi="宋体"/>
          <w:szCs w:val="21"/>
        </w:rPr>
      </w:pPr>
      <w:r>
        <w:rPr>
          <w:rFonts w:hint="eastAsia" w:ascii="宋体" w:hAnsi="宋体"/>
          <w:szCs w:val="21"/>
        </w:rPr>
        <w:t>(3)应当增加的项目；</w:t>
      </w:r>
    </w:p>
    <w:p>
      <w:pPr>
        <w:spacing w:line="360" w:lineRule="auto"/>
        <w:ind w:firstLine="1260" w:firstLineChars="600"/>
        <w:jc w:val="left"/>
        <w:rPr>
          <w:rFonts w:ascii="宋体" w:hAnsi="宋体"/>
          <w:szCs w:val="21"/>
        </w:rPr>
      </w:pPr>
      <w:r>
        <w:rPr>
          <w:rFonts w:hint="eastAsia" w:ascii="宋体" w:hAnsi="宋体"/>
          <w:szCs w:val="21"/>
        </w:rPr>
        <w:t>1)实际发生的暂列金额(包括计日工)；</w:t>
      </w:r>
    </w:p>
    <w:p>
      <w:pPr>
        <w:spacing w:line="360" w:lineRule="auto"/>
        <w:ind w:firstLine="1260" w:firstLineChars="600"/>
        <w:jc w:val="left"/>
        <w:rPr>
          <w:rFonts w:ascii="宋体" w:hAnsi="宋体"/>
          <w:szCs w:val="21"/>
        </w:rPr>
      </w:pPr>
      <w:r>
        <w:rPr>
          <w:rFonts w:hint="eastAsia" w:ascii="宋体" w:hAnsi="宋体"/>
          <w:szCs w:val="21"/>
        </w:rPr>
        <w:t>2)实际发生的暂估价；</w:t>
      </w:r>
    </w:p>
    <w:p>
      <w:pPr>
        <w:spacing w:line="360" w:lineRule="auto"/>
        <w:ind w:firstLine="1260" w:firstLineChars="600"/>
        <w:jc w:val="left"/>
        <w:rPr>
          <w:rFonts w:ascii="宋体" w:hAnsi="宋体"/>
          <w:szCs w:val="21"/>
        </w:rPr>
      </w:pPr>
      <w:r>
        <w:rPr>
          <w:rFonts w:hint="eastAsia" w:ascii="宋体" w:hAnsi="宋体"/>
          <w:szCs w:val="21"/>
        </w:rPr>
        <w:t>3)应增加的变更金额；</w:t>
      </w:r>
    </w:p>
    <w:p>
      <w:pPr>
        <w:spacing w:line="360" w:lineRule="auto"/>
        <w:ind w:firstLine="1260" w:firstLineChars="600"/>
        <w:jc w:val="left"/>
        <w:rPr>
          <w:rFonts w:ascii="宋体" w:hAnsi="宋体"/>
          <w:szCs w:val="21"/>
        </w:rPr>
      </w:pPr>
      <w:r>
        <w:rPr>
          <w:rFonts w:hint="eastAsia" w:ascii="宋体" w:hAnsi="宋体"/>
          <w:szCs w:val="21"/>
        </w:rPr>
        <w:t>4)应增加的价格调整(上调部分)；</w:t>
      </w:r>
    </w:p>
    <w:p>
      <w:pPr>
        <w:spacing w:line="360" w:lineRule="auto"/>
        <w:ind w:firstLine="1260" w:firstLineChars="600"/>
        <w:jc w:val="left"/>
        <w:rPr>
          <w:rFonts w:ascii="宋体" w:hAnsi="宋体"/>
          <w:szCs w:val="21"/>
        </w:rPr>
      </w:pPr>
      <w:r>
        <w:rPr>
          <w:rFonts w:hint="eastAsia" w:ascii="宋体" w:hAnsi="宋体"/>
          <w:szCs w:val="21"/>
        </w:rPr>
        <w:t>5)应增加的承包人索赔金额；</w:t>
      </w:r>
    </w:p>
    <w:p>
      <w:pPr>
        <w:spacing w:line="360" w:lineRule="auto"/>
        <w:ind w:firstLine="1260" w:firstLineChars="600"/>
        <w:jc w:val="left"/>
        <w:rPr>
          <w:rFonts w:ascii="宋体" w:hAnsi="宋体"/>
          <w:szCs w:val="21"/>
        </w:rPr>
      </w:pPr>
      <w:r>
        <w:rPr>
          <w:rFonts w:hint="eastAsia" w:ascii="宋体" w:hAnsi="宋体"/>
          <w:szCs w:val="21"/>
        </w:rPr>
        <w:t>6)根据合同约定承包人应当得到的其他金额。</w:t>
      </w:r>
    </w:p>
    <w:p>
      <w:pPr>
        <w:spacing w:line="360" w:lineRule="auto"/>
        <w:ind w:firstLine="945" w:firstLineChars="450"/>
        <w:jc w:val="left"/>
        <w:rPr>
          <w:rFonts w:ascii="宋体" w:hAnsi="宋体"/>
          <w:szCs w:val="21"/>
        </w:rPr>
      </w:pPr>
      <w:r>
        <w:rPr>
          <w:rFonts w:hint="eastAsia" w:ascii="宋体" w:hAnsi="宋体"/>
          <w:szCs w:val="21"/>
        </w:rPr>
        <w:t>(4)规费和税金差额部分。</w:t>
      </w:r>
    </w:p>
    <w:p>
      <w:pPr>
        <w:spacing w:line="360" w:lineRule="auto"/>
        <w:jc w:val="left"/>
        <w:rPr>
          <w:rFonts w:ascii="宋体" w:hAnsi="宋体"/>
          <w:szCs w:val="21"/>
        </w:rPr>
      </w:pPr>
      <w:r>
        <w:rPr>
          <w:rFonts w:hint="eastAsia" w:ascii="宋体" w:hAnsi="宋体"/>
          <w:szCs w:val="21"/>
        </w:rPr>
        <w:t>14.1.5   最终结清申请单的应付金额应当按下列内容梳理：</w:t>
      </w:r>
    </w:p>
    <w:p>
      <w:pPr>
        <w:spacing w:line="360" w:lineRule="auto"/>
        <w:ind w:firstLine="840" w:firstLineChars="400"/>
        <w:jc w:val="left"/>
        <w:rPr>
          <w:rFonts w:ascii="宋体" w:hAnsi="宋体"/>
          <w:szCs w:val="21"/>
        </w:rPr>
      </w:pPr>
      <w:r>
        <w:rPr>
          <w:rFonts w:hint="eastAsia" w:ascii="宋体" w:hAnsi="宋体"/>
          <w:szCs w:val="21"/>
        </w:rPr>
        <w:t>(1)按合同约定扣留的质量保证金；</w:t>
      </w:r>
    </w:p>
    <w:p>
      <w:pPr>
        <w:spacing w:line="360" w:lineRule="auto"/>
        <w:ind w:firstLine="840" w:firstLineChars="400"/>
        <w:jc w:val="left"/>
        <w:rPr>
          <w:rFonts w:ascii="宋体" w:hAnsi="宋体"/>
          <w:szCs w:val="21"/>
        </w:rPr>
      </w:pPr>
      <w:r>
        <w:rPr>
          <w:rFonts w:hint="eastAsia" w:ascii="宋体" w:hAnsi="宋体"/>
          <w:szCs w:val="21"/>
        </w:rPr>
        <w:t>(2)应当扣除的金额：</w:t>
      </w:r>
    </w:p>
    <w:p>
      <w:pPr>
        <w:spacing w:line="360" w:lineRule="auto"/>
        <w:ind w:firstLine="1155" w:firstLineChars="550"/>
        <w:jc w:val="left"/>
        <w:rPr>
          <w:rFonts w:ascii="宋体" w:hAnsi="宋体"/>
          <w:szCs w:val="21"/>
        </w:rPr>
      </w:pPr>
      <w:r>
        <w:rPr>
          <w:rFonts w:hint="eastAsia" w:ascii="宋体" w:hAnsi="宋体"/>
          <w:szCs w:val="21"/>
        </w:rPr>
        <w:t>1)承包人没有完成缺陷责任的，发包人扣留的质量保证金；</w:t>
      </w:r>
    </w:p>
    <w:p>
      <w:pPr>
        <w:spacing w:line="360" w:lineRule="auto"/>
        <w:ind w:firstLine="1155" w:firstLineChars="550"/>
        <w:jc w:val="left"/>
        <w:rPr>
          <w:rFonts w:ascii="宋体" w:hAnsi="宋体"/>
          <w:szCs w:val="21"/>
        </w:rPr>
      </w:pPr>
      <w:r>
        <w:rPr>
          <w:rFonts w:hint="eastAsia" w:ascii="宋体" w:hAnsi="宋体"/>
          <w:szCs w:val="21"/>
        </w:rPr>
        <w:t>2) 承包人不能完成缺陷责任的，发包人扣除的质量保证金；</w:t>
      </w:r>
    </w:p>
    <w:p>
      <w:pPr>
        <w:spacing w:line="360" w:lineRule="auto"/>
        <w:ind w:firstLine="1155" w:firstLineChars="550"/>
        <w:jc w:val="left"/>
        <w:rPr>
          <w:rFonts w:ascii="宋体" w:hAnsi="宋体"/>
          <w:szCs w:val="21"/>
        </w:rPr>
      </w:pPr>
      <w:r>
        <w:rPr>
          <w:rFonts w:hint="eastAsia" w:ascii="宋体" w:hAnsi="宋体"/>
          <w:szCs w:val="21"/>
        </w:rPr>
        <w:t>3)根据合同约定应扣减的其他金额。</w:t>
      </w:r>
    </w:p>
    <w:p>
      <w:pPr>
        <w:spacing w:line="360" w:lineRule="auto"/>
        <w:ind w:firstLine="840" w:firstLineChars="400"/>
        <w:jc w:val="left"/>
        <w:rPr>
          <w:rFonts w:ascii="宋体" w:hAnsi="宋体"/>
          <w:szCs w:val="21"/>
        </w:rPr>
      </w:pPr>
      <w:r>
        <w:rPr>
          <w:rFonts w:hint="eastAsia" w:ascii="宋体" w:hAnsi="宋体"/>
          <w:szCs w:val="21"/>
        </w:rPr>
        <w:t>(3)应当增加的金额：</w:t>
      </w:r>
    </w:p>
    <w:p>
      <w:pPr>
        <w:spacing w:line="360" w:lineRule="auto"/>
        <w:ind w:firstLine="1155" w:firstLineChars="550"/>
        <w:jc w:val="left"/>
        <w:rPr>
          <w:rFonts w:ascii="宋体" w:hAnsi="宋体"/>
          <w:szCs w:val="21"/>
        </w:rPr>
      </w:pPr>
      <w:r>
        <w:rPr>
          <w:rFonts w:hint="eastAsia" w:ascii="宋体" w:hAnsi="宋体"/>
          <w:szCs w:val="21"/>
        </w:rPr>
        <w:t>1)已完且符合合同约定的甩项工程的价值；</w:t>
      </w:r>
    </w:p>
    <w:p>
      <w:pPr>
        <w:spacing w:line="360" w:lineRule="auto"/>
        <w:ind w:firstLine="1155" w:firstLineChars="550"/>
        <w:jc w:val="left"/>
        <w:rPr>
          <w:rFonts w:ascii="宋体" w:hAnsi="宋体"/>
          <w:szCs w:val="21"/>
        </w:rPr>
      </w:pPr>
      <w:r>
        <w:rPr>
          <w:rFonts w:hint="eastAsia" w:ascii="宋体" w:hAnsi="宋体"/>
          <w:szCs w:val="21"/>
        </w:rPr>
        <w:t>2)由承包人修复的发包人原因造成的缺陷的价值；</w:t>
      </w:r>
    </w:p>
    <w:p>
      <w:pPr>
        <w:spacing w:line="360" w:lineRule="auto"/>
        <w:ind w:firstLine="1155" w:firstLineChars="550"/>
        <w:jc w:val="left"/>
        <w:rPr>
          <w:rFonts w:ascii="宋体" w:hAnsi="宋体"/>
          <w:szCs w:val="21"/>
        </w:rPr>
      </w:pPr>
      <w:r>
        <w:rPr>
          <w:rFonts w:hint="eastAsia" w:ascii="宋体" w:hAnsi="宋体"/>
          <w:szCs w:val="21"/>
        </w:rPr>
        <w:t>3)缺陷责任期内发生的承包人索赔金额；</w:t>
      </w:r>
    </w:p>
    <w:p>
      <w:pPr>
        <w:spacing w:line="360" w:lineRule="auto"/>
        <w:ind w:firstLine="1155" w:firstLineChars="550"/>
        <w:jc w:val="left"/>
        <w:rPr>
          <w:rFonts w:ascii="宋体" w:hAnsi="宋体"/>
          <w:szCs w:val="21"/>
        </w:rPr>
      </w:pPr>
      <w:r>
        <w:rPr>
          <w:rFonts w:hint="eastAsia" w:ascii="宋体" w:hAnsi="宋体"/>
          <w:szCs w:val="21"/>
        </w:rPr>
        <w:t>4)根据合同约定承包人应当得到的其他金额。</w:t>
      </w:r>
    </w:p>
    <w:p>
      <w:pPr>
        <w:spacing w:line="360" w:lineRule="auto"/>
        <w:ind w:firstLine="945" w:firstLineChars="450"/>
        <w:jc w:val="left"/>
        <w:rPr>
          <w:rFonts w:ascii="宋体" w:hAnsi="宋体"/>
          <w:szCs w:val="21"/>
        </w:rPr>
      </w:pPr>
      <w:r>
        <w:rPr>
          <w:rFonts w:hint="eastAsia" w:ascii="宋体" w:hAnsi="宋体"/>
          <w:szCs w:val="21"/>
        </w:rPr>
        <w:t>最终结清应当由发包人和承包人按照“多退少补”的原则办理。</w:t>
      </w:r>
    </w:p>
    <w:p>
      <w:pPr>
        <w:spacing w:before="93" w:beforeLines="30" w:after="93" w:afterLines="30" w:line="360" w:lineRule="auto"/>
        <w:jc w:val="left"/>
        <w:rPr>
          <w:rFonts w:ascii="黑体" w:hAnsi="宋体" w:eastAsia="黑体"/>
        </w:rPr>
      </w:pPr>
      <w:r>
        <w:rPr>
          <w:rFonts w:hint="eastAsia" w:ascii="黑体" w:hAnsi="宋体" w:eastAsia="黑体"/>
        </w:rPr>
        <w:t>14.2    其他约定</w:t>
      </w:r>
    </w:p>
    <w:p>
      <w:pPr>
        <w:spacing w:line="360" w:lineRule="auto"/>
        <w:ind w:firstLine="945" w:firstLineChars="450"/>
        <w:jc w:val="left"/>
        <w:rPr>
          <w:rFonts w:ascii="宋体" w:hAnsi="宋体"/>
          <w:szCs w:val="21"/>
        </w:rPr>
      </w:pPr>
      <w:r>
        <w:rPr>
          <w:rFonts w:hint="eastAsia" w:ascii="宋体" w:hAnsi="宋体"/>
          <w:szCs w:val="21"/>
        </w:rPr>
        <w:t>其他约定内容：</w:t>
      </w:r>
    </w:p>
    <w:p>
      <w:pPr>
        <w:spacing w:line="360" w:lineRule="auto"/>
        <w:jc w:val="left"/>
        <w:rPr>
          <w:rFonts w:ascii="宋体" w:hAnsi="宋体"/>
          <w:szCs w:val="21"/>
        </w:rPr>
      </w:pPr>
      <w:bookmarkStart w:id="1078" w:name="EptNR_其他约定内容"/>
    </w:p>
    <w:bookmarkEnd w:id="1078"/>
    <w:p>
      <w:pPr>
        <w:spacing w:line="360" w:lineRule="auto"/>
        <w:jc w:val="left"/>
        <w:rPr>
          <w:rFonts w:ascii="宋体" w:hAnsi="宋体"/>
          <w:szCs w:val="21"/>
        </w:rPr>
      </w:pPr>
      <w:r>
        <w:rPr>
          <w:rFonts w:hint="eastAsia" w:ascii="宋体" w:hAnsi="宋体"/>
          <w:szCs w:val="21"/>
        </w:rPr>
        <w:t>。</w:t>
      </w:r>
    </w:p>
    <w:p>
      <w:pPr>
        <w:rPr>
          <w:rFonts w:ascii="宋体" w:hAnsi="宋体"/>
          <w:b/>
          <w:sz w:val="28"/>
          <w:szCs w:val="28"/>
        </w:rPr>
      </w:pPr>
      <w:bookmarkStart w:id="1079" w:name="_Toc277855112"/>
      <w:r>
        <w:rPr>
          <w:rFonts w:hint="eastAsia" w:ascii="宋体" w:hAnsi="宋体"/>
          <w:b/>
          <w:sz w:val="28"/>
          <w:szCs w:val="28"/>
        </w:rPr>
        <w:t>15. 竣工验收和工程移交</w:t>
      </w:r>
      <w:bookmarkEnd w:id="1079"/>
    </w:p>
    <w:p>
      <w:pPr>
        <w:spacing w:line="360" w:lineRule="auto"/>
        <w:jc w:val="left"/>
        <w:rPr>
          <w:rFonts w:ascii="黑体" w:hAnsi="宋体" w:eastAsia="黑体"/>
        </w:rPr>
      </w:pPr>
      <w:r>
        <w:rPr>
          <w:rFonts w:hint="eastAsia" w:ascii="黑体" w:hAnsi="宋体" w:eastAsia="黑体"/>
        </w:rPr>
        <w:t>15.1   竣工验收前的清理</w:t>
      </w:r>
    </w:p>
    <w:p>
      <w:pPr>
        <w:spacing w:line="360" w:lineRule="auto"/>
        <w:ind w:left="945" w:hanging="945" w:hangingChars="450"/>
        <w:jc w:val="left"/>
        <w:rPr>
          <w:rFonts w:ascii="宋体" w:hAnsi="宋体"/>
          <w:szCs w:val="21"/>
        </w:rPr>
      </w:pPr>
      <w:r>
        <w:rPr>
          <w:rFonts w:hint="eastAsia" w:ascii="宋体" w:hAnsi="宋体"/>
          <w:szCs w:val="21"/>
        </w:rPr>
        <w:t>15.1.1   在向监理人提交竣工验收申请报告前，承包人应当完成竣工验收前的清理工作，包括但不限于：</w:t>
      </w:r>
    </w:p>
    <w:p>
      <w:pPr>
        <w:spacing w:line="360" w:lineRule="auto"/>
        <w:ind w:left="945" w:leftChars="450"/>
        <w:jc w:val="left"/>
        <w:rPr>
          <w:rFonts w:ascii="宋体" w:hAnsi="宋体"/>
          <w:szCs w:val="21"/>
        </w:rPr>
      </w:pPr>
      <w:r>
        <w:rPr>
          <w:rFonts w:hint="eastAsia" w:ascii="宋体" w:hAnsi="宋体"/>
          <w:szCs w:val="21"/>
        </w:rPr>
        <w:t>(1)从永久工程内清除所有剩余材料、杂物、垃圾等等；</w:t>
      </w:r>
    </w:p>
    <w:p>
      <w:pPr>
        <w:spacing w:line="360" w:lineRule="auto"/>
        <w:ind w:left="945" w:leftChars="450"/>
        <w:jc w:val="left"/>
        <w:rPr>
          <w:rFonts w:ascii="宋体" w:hAnsi="宋体"/>
          <w:szCs w:val="21"/>
        </w:rPr>
      </w:pPr>
      <w:r>
        <w:rPr>
          <w:rFonts w:hint="eastAsia" w:ascii="宋体" w:hAnsi="宋体"/>
          <w:szCs w:val="21"/>
        </w:rPr>
        <w:t>(2)清洗工程的所有地面、墙面、楼面、路面等表面；</w:t>
      </w:r>
    </w:p>
    <w:p>
      <w:pPr>
        <w:spacing w:line="360" w:lineRule="auto"/>
        <w:ind w:left="945" w:leftChars="450"/>
        <w:jc w:val="left"/>
        <w:rPr>
          <w:rFonts w:ascii="宋体" w:hAnsi="宋体"/>
          <w:szCs w:val="21"/>
        </w:rPr>
      </w:pPr>
      <w:r>
        <w:rPr>
          <w:rFonts w:hint="eastAsia" w:ascii="宋体" w:hAnsi="宋体"/>
          <w:szCs w:val="21"/>
        </w:rPr>
        <w:t>(3)清洗和擦洗所有玻璃、磁砖、石材和所有金属面；</w:t>
      </w:r>
    </w:p>
    <w:p>
      <w:pPr>
        <w:spacing w:line="360" w:lineRule="auto"/>
        <w:ind w:left="945" w:leftChars="450"/>
        <w:jc w:val="left"/>
        <w:rPr>
          <w:rFonts w:ascii="宋体" w:hAnsi="宋体"/>
          <w:szCs w:val="21"/>
        </w:rPr>
      </w:pPr>
      <w:r>
        <w:rPr>
          <w:rFonts w:hint="eastAsia" w:ascii="宋体" w:hAnsi="宋体"/>
          <w:szCs w:val="21"/>
        </w:rPr>
        <w:t>(4)修缮所有损坏、清除所有污迹、替换所有需更换的材料；</w:t>
      </w:r>
    </w:p>
    <w:p>
      <w:pPr>
        <w:spacing w:line="360" w:lineRule="auto"/>
        <w:ind w:left="945" w:leftChars="450"/>
        <w:jc w:val="left"/>
        <w:rPr>
          <w:rFonts w:ascii="宋体" w:hAnsi="宋体"/>
          <w:szCs w:val="21"/>
        </w:rPr>
      </w:pPr>
      <w:r>
        <w:rPr>
          <w:rFonts w:hint="eastAsia" w:ascii="宋体" w:hAnsi="宋体"/>
          <w:szCs w:val="21"/>
        </w:rPr>
        <w:t>(5)所有表面完成约定的装修和装饰；</w:t>
      </w:r>
    </w:p>
    <w:p>
      <w:pPr>
        <w:spacing w:line="360" w:lineRule="auto"/>
        <w:ind w:left="945" w:leftChars="450"/>
        <w:jc w:val="left"/>
        <w:rPr>
          <w:rFonts w:ascii="宋体" w:hAnsi="宋体"/>
          <w:szCs w:val="21"/>
        </w:rPr>
      </w:pPr>
      <w:r>
        <w:rPr>
          <w:rFonts w:hint="eastAsia" w:ascii="宋体" w:hAnsi="宋体"/>
          <w:szCs w:val="21"/>
        </w:rPr>
        <w:t>(6)检查和调试所有的门、窗、抽屉等以确保他们开启的顺畅；</w:t>
      </w:r>
    </w:p>
    <w:p>
      <w:pPr>
        <w:spacing w:line="360" w:lineRule="auto"/>
        <w:ind w:left="945" w:leftChars="450"/>
        <w:jc w:val="left"/>
        <w:rPr>
          <w:rFonts w:ascii="宋体" w:hAnsi="宋体"/>
          <w:szCs w:val="21"/>
        </w:rPr>
      </w:pPr>
      <w:r>
        <w:rPr>
          <w:rFonts w:hint="eastAsia" w:ascii="宋体" w:hAnsi="宋体"/>
          <w:szCs w:val="21"/>
        </w:rPr>
        <w:t>(7)检查和调试所有的五金件并上油；</w:t>
      </w:r>
    </w:p>
    <w:p>
      <w:pPr>
        <w:spacing w:line="360" w:lineRule="auto"/>
        <w:ind w:left="945" w:leftChars="450"/>
        <w:jc w:val="left"/>
        <w:rPr>
          <w:rFonts w:ascii="宋体" w:hAnsi="宋体"/>
          <w:szCs w:val="21"/>
        </w:rPr>
      </w:pPr>
      <w:r>
        <w:rPr>
          <w:rFonts w:hint="eastAsia" w:ascii="宋体" w:hAnsi="宋体"/>
          <w:szCs w:val="21"/>
        </w:rPr>
        <w:t>(8)检查、测试和确保所有服务系统、设施和设备达到良好的运行状态和效果；</w:t>
      </w:r>
    </w:p>
    <w:p>
      <w:pPr>
        <w:spacing w:line="360" w:lineRule="auto"/>
        <w:ind w:left="945" w:leftChars="450"/>
        <w:jc w:val="left"/>
        <w:rPr>
          <w:rFonts w:ascii="宋体" w:hAnsi="宋体"/>
          <w:szCs w:val="21"/>
        </w:rPr>
      </w:pPr>
      <w:r>
        <w:rPr>
          <w:rFonts w:hint="eastAsia" w:ascii="宋体" w:hAnsi="宋体"/>
          <w:szCs w:val="21"/>
        </w:rPr>
        <w:t>(9)所有钥匙(如果有)贴上标签并固定到钥匙排上随时可以交给监理人。</w:t>
      </w:r>
    </w:p>
    <w:p>
      <w:pPr>
        <w:spacing w:line="360" w:lineRule="auto"/>
        <w:jc w:val="left"/>
        <w:rPr>
          <w:rFonts w:ascii="宋体" w:hAnsi="宋体"/>
          <w:szCs w:val="21"/>
        </w:rPr>
      </w:pPr>
      <w:r>
        <w:rPr>
          <w:rFonts w:hint="eastAsia" w:ascii="宋体" w:hAnsi="宋体"/>
          <w:szCs w:val="21"/>
        </w:rPr>
        <w:t>15.1.2   清理工作所需费用由承包人承担。</w:t>
      </w:r>
    </w:p>
    <w:p>
      <w:pPr>
        <w:spacing w:before="78" w:beforeLines="25" w:after="62" w:afterLines="20" w:line="360" w:lineRule="auto"/>
        <w:jc w:val="left"/>
        <w:rPr>
          <w:rFonts w:ascii="黑体" w:hAnsi="宋体" w:eastAsia="黑体"/>
        </w:rPr>
      </w:pPr>
      <w:r>
        <w:rPr>
          <w:rFonts w:hint="eastAsia" w:ascii="黑体" w:hAnsi="宋体" w:eastAsia="黑体"/>
        </w:rPr>
        <w:t>15.2     竣工验收申请报告</w:t>
      </w:r>
    </w:p>
    <w:p>
      <w:pPr>
        <w:spacing w:line="360" w:lineRule="auto"/>
        <w:ind w:left="945" w:hanging="945" w:hangingChars="450"/>
        <w:jc w:val="left"/>
        <w:rPr>
          <w:rFonts w:ascii="宋体" w:hAnsi="宋体"/>
          <w:szCs w:val="21"/>
        </w:rPr>
      </w:pPr>
      <w:r>
        <w:rPr>
          <w:rFonts w:hint="eastAsia" w:ascii="宋体" w:hAnsi="宋体"/>
          <w:szCs w:val="21"/>
        </w:rPr>
        <w:t>15.2.1   竣工验收申请报告，也称竣工验收报告，是承包人完成合同约定的工作内容后，按照国家有关施工质量验收标准的规定，经其自行检查，证明已经完成合同工作内容并符合合同约定，达到竣工验收标准，而向监理人或发包人提交的请求发包人组织进行合同工程竣工验收的一份书面申请函，合同约定的竣工验收资料和其他文件一般作为竣工验收申请报告的附件，是竣工验收申请报告的组成部分。</w:t>
      </w:r>
    </w:p>
    <w:p>
      <w:pPr>
        <w:spacing w:line="360" w:lineRule="auto"/>
        <w:ind w:left="945" w:hanging="945" w:hangingChars="450"/>
        <w:jc w:val="left"/>
        <w:rPr>
          <w:rFonts w:ascii="宋体" w:hAnsi="宋体"/>
          <w:szCs w:val="21"/>
        </w:rPr>
      </w:pPr>
      <w:r>
        <w:rPr>
          <w:rFonts w:hint="eastAsia" w:ascii="宋体" w:hAnsi="宋体"/>
          <w:szCs w:val="21"/>
        </w:rPr>
        <w:t>15.2.2   竣工验收申请报告一般应当包括工程概况说明，承包范围，分包工程情况，主要材料、设备供应情况，采用的主要施工方法，新材料、新技术和新工艺采用情况，自检质量情况等的说明。竣工验收申请报告的格式和应当包括的内容应事先经过监理人的审批。</w:t>
      </w:r>
    </w:p>
    <w:p>
      <w:pPr>
        <w:spacing w:line="360" w:lineRule="auto"/>
        <w:ind w:left="945" w:hanging="945" w:hangingChars="450"/>
        <w:jc w:val="left"/>
        <w:rPr>
          <w:rFonts w:ascii="宋体" w:hAnsi="宋体"/>
          <w:szCs w:val="21"/>
        </w:rPr>
      </w:pPr>
      <w:r>
        <w:rPr>
          <w:rFonts w:hint="eastAsia" w:ascii="宋体" w:hAnsi="宋体"/>
          <w:szCs w:val="21"/>
        </w:rPr>
        <w:t>15.2.3   竣工验收申请报告应当包括下列内容：</w:t>
      </w:r>
    </w:p>
    <w:p>
      <w:pPr>
        <w:spacing w:line="360" w:lineRule="auto"/>
        <w:ind w:left="1290" w:leftChars="450" w:hanging="345" w:hangingChars="150"/>
        <w:jc w:val="left"/>
        <w:rPr>
          <w:rFonts w:ascii="宋体" w:hAnsi="宋体"/>
          <w:spacing w:val="10"/>
          <w:szCs w:val="21"/>
        </w:rPr>
      </w:pPr>
      <w:r>
        <w:rPr>
          <w:rFonts w:hint="eastAsia" w:ascii="宋体" w:hAnsi="宋体"/>
          <w:spacing w:val="10"/>
          <w:szCs w:val="21"/>
        </w:rPr>
        <w:t>(1)承包人的自行检查和评定记录文件，即除监理人同意列入缺陷责任期内完成的尾工(甩项)工程和缺陷修补工作外，合同范围内的全部单位工程以及有关工作，包括合同要求的试验、试运行以及检验和验收均已完成，并符合合同要求；</w:t>
      </w:r>
    </w:p>
    <w:p>
      <w:pPr>
        <w:spacing w:line="360" w:lineRule="auto"/>
        <w:ind w:left="945" w:leftChars="450"/>
        <w:jc w:val="left"/>
        <w:rPr>
          <w:rFonts w:ascii="宋体" w:hAnsi="宋体"/>
          <w:szCs w:val="21"/>
        </w:rPr>
      </w:pPr>
      <w:r>
        <w:rPr>
          <w:rFonts w:hint="eastAsia" w:ascii="宋体" w:hAnsi="宋体"/>
          <w:szCs w:val="21"/>
        </w:rPr>
        <w:t>(2)按合同约定的内容和份数备齐符合要求的竣工资料；</w:t>
      </w:r>
    </w:p>
    <w:p>
      <w:pPr>
        <w:spacing w:line="360" w:lineRule="auto"/>
        <w:ind w:left="1470" w:leftChars="450" w:hanging="525" w:hangingChars="250"/>
        <w:jc w:val="left"/>
        <w:rPr>
          <w:rFonts w:ascii="宋体" w:hAnsi="宋体"/>
          <w:szCs w:val="21"/>
        </w:rPr>
      </w:pPr>
      <w:r>
        <w:rPr>
          <w:rFonts w:hint="eastAsia" w:ascii="宋体" w:hAnsi="宋体"/>
          <w:szCs w:val="21"/>
        </w:rPr>
        <w:t>(3)按监理人的要求编制了在缺陷责任期内完成的尾工(甩项)工程和缺陷修补工作清单以及相应施工计划；</w:t>
      </w:r>
    </w:p>
    <w:p>
      <w:pPr>
        <w:spacing w:line="360" w:lineRule="auto"/>
        <w:ind w:left="1470" w:leftChars="450" w:hanging="525" w:hangingChars="250"/>
        <w:jc w:val="left"/>
        <w:rPr>
          <w:rFonts w:ascii="宋体" w:hAnsi="宋体"/>
          <w:szCs w:val="21"/>
        </w:rPr>
      </w:pPr>
      <w:r>
        <w:rPr>
          <w:rFonts w:hint="eastAsia" w:ascii="宋体" w:hAnsi="宋体"/>
          <w:szCs w:val="21"/>
        </w:rPr>
        <w:t>(4)监理人要求在竣工验收前应完成的其他工作的证明材料；</w:t>
      </w:r>
    </w:p>
    <w:p>
      <w:pPr>
        <w:spacing w:line="360" w:lineRule="auto"/>
        <w:ind w:left="1470" w:leftChars="450" w:hanging="525" w:hangingChars="250"/>
        <w:jc w:val="left"/>
        <w:rPr>
          <w:rFonts w:ascii="宋体" w:hAnsi="宋体"/>
          <w:szCs w:val="21"/>
        </w:rPr>
      </w:pPr>
      <w:r>
        <w:rPr>
          <w:rFonts w:hint="eastAsia" w:ascii="宋体" w:hAnsi="宋体"/>
          <w:szCs w:val="21"/>
        </w:rPr>
        <w:t>(5)监理人要求提交的竣工验收资料清单；</w:t>
      </w:r>
    </w:p>
    <w:p>
      <w:pPr>
        <w:spacing w:line="360" w:lineRule="auto"/>
        <w:ind w:left="945" w:leftChars="450"/>
        <w:jc w:val="left"/>
        <w:rPr>
          <w:rFonts w:ascii="宋体" w:hAnsi="宋体"/>
          <w:szCs w:val="21"/>
        </w:rPr>
      </w:pPr>
      <w:r>
        <w:rPr>
          <w:rFonts w:hint="eastAsia" w:ascii="宋体" w:hAnsi="宋体"/>
          <w:szCs w:val="21"/>
        </w:rPr>
        <w:t>(6)单位工程竣工验收成果和结论作为全部竣工验收申请报告的附件。</w:t>
      </w:r>
    </w:p>
    <w:p>
      <w:pPr>
        <w:spacing w:line="360" w:lineRule="auto"/>
        <w:ind w:left="945" w:leftChars="450"/>
        <w:jc w:val="left"/>
        <w:rPr>
          <w:rFonts w:ascii="宋体" w:hAnsi="宋体"/>
          <w:szCs w:val="21"/>
        </w:rPr>
      </w:pPr>
      <w:r>
        <w:rPr>
          <w:rFonts w:hint="eastAsia" w:ascii="宋体" w:hAnsi="宋体"/>
          <w:szCs w:val="21"/>
        </w:rPr>
        <w:t>(7)专用合同条款第19.7款约定的质量保修书(此前已经提交的不再提交)；</w:t>
      </w:r>
    </w:p>
    <w:p>
      <w:pPr>
        <w:spacing w:line="360" w:lineRule="auto"/>
        <w:ind w:left="945" w:leftChars="450"/>
        <w:jc w:val="left"/>
        <w:rPr>
          <w:rFonts w:ascii="宋体" w:hAnsi="宋体"/>
          <w:szCs w:val="21"/>
        </w:rPr>
      </w:pPr>
      <w:r>
        <w:rPr>
          <w:rFonts w:hint="eastAsia" w:ascii="宋体" w:hAnsi="宋体"/>
          <w:szCs w:val="21"/>
        </w:rPr>
        <w:t>(8)其他：</w:t>
      </w:r>
      <w:bookmarkStart w:id="1080" w:name="EptNR_竣工验收申请报告应当包括下列内容"/>
      <w:bookmarkEnd w:id="1080"/>
      <w:r>
        <w:rPr>
          <w:rFonts w:hint="eastAsia" w:ascii="宋体" w:hAnsi="宋体"/>
          <w:szCs w:val="21"/>
        </w:rPr>
        <w:t>。</w:t>
      </w:r>
    </w:p>
    <w:p>
      <w:pPr>
        <w:spacing w:line="360" w:lineRule="auto"/>
        <w:jc w:val="left"/>
        <w:rPr>
          <w:rFonts w:ascii="黑体" w:hAnsi="宋体" w:eastAsia="黑体"/>
        </w:rPr>
      </w:pPr>
      <w:r>
        <w:rPr>
          <w:rFonts w:hint="eastAsia" w:ascii="黑体" w:hAnsi="宋体" w:eastAsia="黑体"/>
        </w:rPr>
        <w:t>15.3    竣工清场</w:t>
      </w:r>
    </w:p>
    <w:p>
      <w:pPr>
        <w:spacing w:line="360" w:lineRule="auto"/>
        <w:ind w:left="945" w:hanging="945" w:hangingChars="450"/>
        <w:jc w:val="left"/>
        <w:rPr>
          <w:rFonts w:ascii="宋体" w:hAnsi="宋体"/>
          <w:szCs w:val="21"/>
        </w:rPr>
      </w:pPr>
      <w:r>
        <w:rPr>
          <w:rFonts w:hint="eastAsia" w:ascii="宋体" w:hAnsi="宋体"/>
          <w:szCs w:val="21"/>
        </w:rPr>
        <w:t>15.3.1   监理人颁发(出具)工程接收证书后，承包人应在56天内按以下要求对施工场地(现场)进行清理：</w:t>
      </w:r>
    </w:p>
    <w:p>
      <w:pPr>
        <w:spacing w:line="360" w:lineRule="auto"/>
        <w:ind w:firstLine="945" w:firstLineChars="450"/>
        <w:jc w:val="left"/>
        <w:rPr>
          <w:rFonts w:ascii="宋体" w:hAnsi="宋体"/>
          <w:szCs w:val="21"/>
        </w:rPr>
      </w:pPr>
      <w:r>
        <w:rPr>
          <w:rFonts w:hint="eastAsia" w:ascii="宋体" w:hAnsi="宋体"/>
          <w:szCs w:val="21"/>
        </w:rPr>
        <w:t>(1)从施工场地(现场)清除所有杂物和垃圾等等；</w:t>
      </w:r>
    </w:p>
    <w:p>
      <w:pPr>
        <w:spacing w:line="360" w:lineRule="auto"/>
        <w:ind w:left="1260" w:leftChars="450" w:hanging="315" w:hangingChars="150"/>
        <w:jc w:val="left"/>
        <w:rPr>
          <w:rFonts w:ascii="宋体" w:hAnsi="宋体"/>
          <w:szCs w:val="21"/>
        </w:rPr>
      </w:pPr>
      <w:r>
        <w:rPr>
          <w:rFonts w:hint="eastAsia" w:ascii="宋体" w:hAnsi="宋体"/>
          <w:szCs w:val="21"/>
        </w:rPr>
        <w:t>(2)从施工场地现场拆除所有的临时工程和临时设施并恢复地面原状，但经监理人批准的护坡桩、锚杆、塔吊基础和无法拆除的埋入式模板等无法拆除的临时设施除外；</w:t>
      </w:r>
    </w:p>
    <w:p>
      <w:pPr>
        <w:spacing w:line="360" w:lineRule="auto"/>
        <w:ind w:left="1395" w:leftChars="450" w:hanging="450"/>
        <w:jc w:val="left"/>
        <w:rPr>
          <w:rFonts w:ascii="宋体" w:hAnsi="宋体"/>
          <w:szCs w:val="21"/>
        </w:rPr>
      </w:pPr>
      <w:r>
        <w:rPr>
          <w:rFonts w:hint="eastAsia" w:ascii="宋体" w:hAnsi="宋体"/>
          <w:szCs w:val="21"/>
        </w:rPr>
        <w:t>(3)撤离所有承包人施工设备和剩余材料(经监理人同意需在缺陷责任期内继续使用的除外)；</w:t>
      </w:r>
    </w:p>
    <w:p>
      <w:pPr>
        <w:spacing w:line="360" w:lineRule="auto"/>
        <w:ind w:left="1395" w:leftChars="450" w:hanging="450"/>
        <w:jc w:val="left"/>
        <w:rPr>
          <w:rFonts w:ascii="宋体" w:hAnsi="宋体"/>
          <w:szCs w:val="21"/>
        </w:rPr>
      </w:pPr>
      <w:r>
        <w:rPr>
          <w:rFonts w:hint="eastAsia" w:ascii="宋体" w:hAnsi="宋体"/>
          <w:szCs w:val="21"/>
        </w:rPr>
        <w:t>(4)监理人指示的其他清场工作。</w:t>
      </w:r>
    </w:p>
    <w:p>
      <w:pPr>
        <w:widowControl/>
        <w:jc w:val="left"/>
        <w:rPr>
          <w:rFonts w:ascii="宋体" w:hAnsi="宋体"/>
          <w:szCs w:val="21"/>
        </w:rPr>
      </w:pPr>
      <w:r>
        <w:rPr>
          <w:rFonts w:ascii="宋体" w:hAnsi="宋体"/>
          <w:szCs w:val="21"/>
        </w:rPr>
        <w:br w:type="page"/>
      </w:r>
    </w:p>
    <w:p>
      <w:pPr>
        <w:spacing w:line="360" w:lineRule="auto"/>
        <w:ind w:left="1395" w:leftChars="450" w:hanging="450"/>
        <w:jc w:val="left"/>
        <w:rPr>
          <w:rFonts w:ascii="宋体" w:hAnsi="宋体"/>
          <w:szCs w:val="21"/>
        </w:rPr>
      </w:pPr>
    </w:p>
    <w:p>
      <w:pPr>
        <w:rPr>
          <w:rFonts w:ascii="宋体" w:hAnsi="宋体"/>
          <w:b/>
          <w:sz w:val="28"/>
          <w:szCs w:val="28"/>
        </w:rPr>
      </w:pPr>
      <w:bookmarkStart w:id="1081" w:name="_Toc277855113"/>
      <w:r>
        <w:rPr>
          <w:rFonts w:hint="eastAsia" w:ascii="宋体" w:hAnsi="宋体"/>
          <w:b/>
          <w:sz w:val="28"/>
          <w:szCs w:val="28"/>
        </w:rPr>
        <w:t>16. 其他要求</w:t>
      </w:r>
      <w:bookmarkEnd w:id="1081"/>
      <w:bookmarkStart w:id="1082" w:name="_Toc277855114"/>
      <w:r>
        <w:rPr>
          <w:rFonts w:hint="eastAsia"/>
        </w:rPr>
        <w:t>第二节特殊技术标准和要求</w:t>
      </w:r>
      <w:bookmarkEnd w:id="1082"/>
    </w:p>
    <w:p>
      <w:pPr>
        <w:rPr>
          <w:rFonts w:ascii="宋体" w:hAnsi="宋体"/>
          <w:b/>
          <w:sz w:val="28"/>
          <w:szCs w:val="28"/>
        </w:rPr>
      </w:pPr>
      <w:bookmarkStart w:id="1083" w:name="_Toc277855115"/>
      <w:r>
        <w:rPr>
          <w:rFonts w:hint="eastAsia" w:ascii="宋体" w:hAnsi="宋体"/>
          <w:b/>
          <w:sz w:val="28"/>
          <w:szCs w:val="28"/>
        </w:rPr>
        <w:t>1. 材料和工程设备技术要求</w:t>
      </w:r>
      <w:bookmarkEnd w:id="1083"/>
    </w:p>
    <w:p>
      <w:pPr>
        <w:spacing w:line="360" w:lineRule="auto"/>
        <w:jc w:val="left"/>
        <w:rPr>
          <w:rFonts w:ascii="宋体" w:hAnsi="宋体"/>
          <w:szCs w:val="21"/>
        </w:rPr>
      </w:pPr>
      <w:r>
        <w:rPr>
          <w:rFonts w:hint="eastAsia" w:ascii="宋体" w:hAnsi="宋体"/>
          <w:szCs w:val="21"/>
        </w:rPr>
        <w:t>1.1      承包人自行施工范围内的部分材料和工程设备技术要求如下：</w:t>
      </w:r>
    </w:p>
    <w:p>
      <w:pPr>
        <w:spacing w:line="360" w:lineRule="auto"/>
        <w:jc w:val="left"/>
        <w:rPr>
          <w:rFonts w:ascii="宋体" w:hAnsi="宋体"/>
          <w:szCs w:val="21"/>
          <w:u w:val="single"/>
        </w:rPr>
      </w:pPr>
      <w:bookmarkStart w:id="1084" w:name="EptNR_承包人自行施工范围内的部分材料和工程设备技术要求"/>
    </w:p>
    <w:bookmarkEnd w:id="1084"/>
    <w:p>
      <w:pPr>
        <w:spacing w:line="360" w:lineRule="auto"/>
        <w:ind w:left="945" w:leftChars="450"/>
        <w:jc w:val="left"/>
        <w:rPr>
          <w:rFonts w:ascii="宋体" w:hAnsi="宋体"/>
          <w:szCs w:val="21"/>
        </w:rPr>
      </w:pPr>
      <w:r>
        <w:rPr>
          <w:rFonts w:hint="eastAsia" w:ascii="宋体" w:hAnsi="宋体"/>
          <w:szCs w:val="21"/>
        </w:rPr>
        <w:t>上述材料和工程设备技术要求中如果出现了参考品牌或规格型号，其目的是为了方便承包人直观和准确地把握相应材料和工程设备的技术标准，不具指定或唯一的意思表示，承包人应当参考所列品牌的材料和工程设备，采购相当于或高于所列品牌技术标准的材料和工程设备。</w:t>
      </w:r>
    </w:p>
    <w:p>
      <w:pPr>
        <w:spacing w:line="500" w:lineRule="exact"/>
        <w:jc w:val="left"/>
        <w:rPr>
          <w:rFonts w:ascii="宋体" w:hAnsi="宋体"/>
          <w:szCs w:val="21"/>
        </w:rPr>
      </w:pPr>
      <w:r>
        <w:rPr>
          <w:rFonts w:hint="eastAsia" w:ascii="宋体" w:hAnsi="宋体"/>
          <w:szCs w:val="21"/>
        </w:rPr>
        <w:t xml:space="preserve">    1.2      承包人自行施工范围内的材料和工程设备选型允许的偏离如下：</w:t>
      </w:r>
    </w:p>
    <w:tbl>
      <w:tblPr>
        <w:tblStyle w:val="4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2067"/>
        <w:gridCol w:w="1703"/>
        <w:gridCol w:w="1703"/>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346" w:type="dxa"/>
            <w:vAlign w:val="center"/>
          </w:tcPr>
          <w:p>
            <w:pPr>
              <w:jc w:val="center"/>
              <w:rPr>
                <w:rFonts w:ascii="宋体" w:hAnsi="宋体"/>
                <w:szCs w:val="21"/>
              </w:rPr>
            </w:pPr>
            <w:r>
              <w:rPr>
                <w:rFonts w:hint="eastAsia" w:ascii="宋体" w:hAnsi="宋体"/>
                <w:szCs w:val="21"/>
              </w:rPr>
              <w:t>序号</w:t>
            </w:r>
          </w:p>
        </w:tc>
        <w:tc>
          <w:tcPr>
            <w:tcW w:w="2067" w:type="dxa"/>
            <w:vAlign w:val="center"/>
          </w:tcPr>
          <w:p>
            <w:pPr>
              <w:jc w:val="center"/>
              <w:rPr>
                <w:rFonts w:ascii="宋体" w:hAnsi="宋体"/>
                <w:szCs w:val="21"/>
              </w:rPr>
            </w:pPr>
            <w:r>
              <w:rPr>
                <w:rFonts w:hint="eastAsia" w:ascii="宋体" w:hAnsi="宋体"/>
                <w:szCs w:val="21"/>
              </w:rPr>
              <w:t>材料和工程设备</w:t>
            </w:r>
          </w:p>
          <w:p>
            <w:pPr>
              <w:jc w:val="center"/>
              <w:rPr>
                <w:rFonts w:ascii="宋体" w:hAnsi="宋体"/>
                <w:szCs w:val="21"/>
              </w:rPr>
            </w:pPr>
            <w:r>
              <w:rPr>
                <w:rFonts w:hint="eastAsia" w:ascii="宋体" w:hAnsi="宋体"/>
                <w:szCs w:val="21"/>
              </w:rPr>
              <w:t>名称</w:t>
            </w:r>
          </w:p>
        </w:tc>
        <w:tc>
          <w:tcPr>
            <w:tcW w:w="1703" w:type="dxa"/>
            <w:vAlign w:val="center"/>
          </w:tcPr>
          <w:p>
            <w:pPr>
              <w:jc w:val="center"/>
              <w:rPr>
                <w:rFonts w:ascii="宋体" w:hAnsi="宋体"/>
                <w:szCs w:val="21"/>
              </w:rPr>
            </w:pPr>
            <w:r>
              <w:rPr>
                <w:rFonts w:hint="eastAsia" w:ascii="宋体" w:hAnsi="宋体"/>
                <w:szCs w:val="21"/>
              </w:rPr>
              <w:t>技术指标</w:t>
            </w:r>
          </w:p>
        </w:tc>
        <w:tc>
          <w:tcPr>
            <w:tcW w:w="1703" w:type="dxa"/>
            <w:vAlign w:val="center"/>
          </w:tcPr>
          <w:p>
            <w:pPr>
              <w:jc w:val="center"/>
              <w:rPr>
                <w:rFonts w:ascii="宋体" w:hAnsi="宋体"/>
                <w:szCs w:val="21"/>
              </w:rPr>
            </w:pPr>
            <w:r>
              <w:rPr>
                <w:rFonts w:hint="eastAsia" w:ascii="宋体" w:hAnsi="宋体"/>
                <w:szCs w:val="21"/>
              </w:rPr>
              <w:t>允许偏离范围</w:t>
            </w:r>
          </w:p>
        </w:tc>
        <w:tc>
          <w:tcPr>
            <w:tcW w:w="1703" w:type="dxa"/>
            <w:vAlign w:val="center"/>
          </w:tcPr>
          <w:p>
            <w:pPr>
              <w:jc w:val="center"/>
              <w:rPr>
                <w:rFonts w:ascii="宋体" w:hAnsi="宋体"/>
                <w:szCs w:val="21"/>
              </w:rPr>
            </w:pPr>
            <w:r>
              <w:rPr>
                <w:rFonts w:hint="eastAsia" w:ascii="宋体" w:hAnsi="宋体"/>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6" w:type="dxa"/>
            <w:vAlign w:val="center"/>
          </w:tcPr>
          <w:p>
            <w:pPr>
              <w:jc w:val="center"/>
              <w:rPr>
                <w:rFonts w:ascii="宋体" w:hAnsi="宋体"/>
                <w:szCs w:val="21"/>
              </w:rPr>
            </w:pPr>
            <w:r>
              <w:rPr>
                <w:rFonts w:hint="eastAsia" w:ascii="宋体" w:hAnsi="宋体"/>
                <w:szCs w:val="21"/>
              </w:rPr>
              <w:t>1</w:t>
            </w:r>
          </w:p>
        </w:tc>
        <w:tc>
          <w:tcPr>
            <w:tcW w:w="2067" w:type="dxa"/>
            <w:vAlign w:val="center"/>
          </w:tcPr>
          <w:p>
            <w:pPr>
              <w:jc w:val="center"/>
              <w:rPr>
                <w:rFonts w:ascii="宋体" w:hAnsi="宋体"/>
                <w:szCs w:val="21"/>
              </w:rPr>
            </w:pPr>
          </w:p>
        </w:tc>
        <w:tc>
          <w:tcPr>
            <w:tcW w:w="1703" w:type="dxa"/>
            <w:vAlign w:val="center"/>
          </w:tcPr>
          <w:p>
            <w:pPr>
              <w:jc w:val="center"/>
              <w:rPr>
                <w:rFonts w:ascii="宋体" w:hAnsi="宋体"/>
                <w:szCs w:val="21"/>
              </w:rPr>
            </w:pPr>
          </w:p>
        </w:tc>
        <w:tc>
          <w:tcPr>
            <w:tcW w:w="1703" w:type="dxa"/>
            <w:vAlign w:val="center"/>
          </w:tcPr>
          <w:p>
            <w:pPr>
              <w:jc w:val="center"/>
              <w:rPr>
                <w:rFonts w:ascii="宋体" w:hAnsi="宋体"/>
                <w:szCs w:val="21"/>
              </w:rPr>
            </w:pPr>
          </w:p>
        </w:tc>
        <w:tc>
          <w:tcPr>
            <w:tcW w:w="170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6" w:type="dxa"/>
            <w:vAlign w:val="center"/>
          </w:tcPr>
          <w:p>
            <w:pPr>
              <w:jc w:val="center"/>
              <w:rPr>
                <w:rFonts w:ascii="宋体" w:hAnsi="宋体"/>
                <w:szCs w:val="21"/>
              </w:rPr>
            </w:pPr>
            <w:r>
              <w:rPr>
                <w:rFonts w:hint="eastAsia" w:ascii="宋体" w:hAnsi="宋体"/>
                <w:szCs w:val="21"/>
              </w:rPr>
              <w:t>2</w:t>
            </w:r>
          </w:p>
        </w:tc>
        <w:tc>
          <w:tcPr>
            <w:tcW w:w="2067" w:type="dxa"/>
            <w:vAlign w:val="center"/>
          </w:tcPr>
          <w:p>
            <w:pPr>
              <w:jc w:val="center"/>
              <w:rPr>
                <w:rFonts w:ascii="宋体" w:hAnsi="宋体"/>
                <w:szCs w:val="21"/>
              </w:rPr>
            </w:pPr>
          </w:p>
        </w:tc>
        <w:tc>
          <w:tcPr>
            <w:tcW w:w="1703" w:type="dxa"/>
            <w:vAlign w:val="center"/>
          </w:tcPr>
          <w:p>
            <w:pPr>
              <w:jc w:val="center"/>
              <w:rPr>
                <w:rFonts w:ascii="宋体" w:hAnsi="宋体"/>
                <w:szCs w:val="21"/>
              </w:rPr>
            </w:pPr>
          </w:p>
        </w:tc>
        <w:tc>
          <w:tcPr>
            <w:tcW w:w="1703" w:type="dxa"/>
            <w:vAlign w:val="center"/>
          </w:tcPr>
          <w:p>
            <w:pPr>
              <w:jc w:val="center"/>
              <w:rPr>
                <w:rFonts w:ascii="宋体" w:hAnsi="宋体"/>
                <w:szCs w:val="21"/>
              </w:rPr>
            </w:pPr>
          </w:p>
        </w:tc>
        <w:tc>
          <w:tcPr>
            <w:tcW w:w="170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6" w:type="dxa"/>
            <w:vAlign w:val="center"/>
          </w:tcPr>
          <w:p>
            <w:pPr>
              <w:jc w:val="center"/>
              <w:rPr>
                <w:rFonts w:ascii="宋体" w:hAnsi="宋体"/>
                <w:szCs w:val="21"/>
              </w:rPr>
            </w:pPr>
            <w:r>
              <w:rPr>
                <w:rFonts w:hint="eastAsia" w:ascii="宋体" w:hAnsi="宋体"/>
                <w:szCs w:val="21"/>
              </w:rPr>
              <w:t>……</w:t>
            </w:r>
          </w:p>
        </w:tc>
        <w:tc>
          <w:tcPr>
            <w:tcW w:w="2067" w:type="dxa"/>
            <w:vAlign w:val="center"/>
          </w:tcPr>
          <w:p>
            <w:pPr>
              <w:jc w:val="center"/>
              <w:rPr>
                <w:rFonts w:ascii="宋体" w:hAnsi="宋体"/>
                <w:szCs w:val="21"/>
              </w:rPr>
            </w:pPr>
          </w:p>
        </w:tc>
        <w:tc>
          <w:tcPr>
            <w:tcW w:w="1703" w:type="dxa"/>
            <w:vAlign w:val="center"/>
          </w:tcPr>
          <w:p>
            <w:pPr>
              <w:jc w:val="center"/>
              <w:rPr>
                <w:rFonts w:ascii="宋体" w:hAnsi="宋体"/>
                <w:szCs w:val="21"/>
              </w:rPr>
            </w:pPr>
          </w:p>
        </w:tc>
        <w:tc>
          <w:tcPr>
            <w:tcW w:w="1703" w:type="dxa"/>
            <w:vAlign w:val="center"/>
          </w:tcPr>
          <w:p>
            <w:pPr>
              <w:jc w:val="center"/>
              <w:rPr>
                <w:rFonts w:ascii="宋体" w:hAnsi="宋体"/>
                <w:szCs w:val="21"/>
              </w:rPr>
            </w:pPr>
          </w:p>
        </w:tc>
        <w:tc>
          <w:tcPr>
            <w:tcW w:w="1703"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46" w:type="dxa"/>
            <w:vAlign w:val="center"/>
          </w:tcPr>
          <w:p>
            <w:pPr>
              <w:jc w:val="center"/>
              <w:rPr>
                <w:rFonts w:ascii="宋体" w:hAnsi="宋体"/>
                <w:szCs w:val="21"/>
              </w:rPr>
            </w:pPr>
          </w:p>
        </w:tc>
        <w:tc>
          <w:tcPr>
            <w:tcW w:w="2067" w:type="dxa"/>
            <w:vAlign w:val="center"/>
          </w:tcPr>
          <w:p>
            <w:pPr>
              <w:jc w:val="center"/>
              <w:rPr>
                <w:rFonts w:ascii="宋体" w:hAnsi="宋体"/>
                <w:szCs w:val="21"/>
              </w:rPr>
            </w:pPr>
          </w:p>
        </w:tc>
        <w:tc>
          <w:tcPr>
            <w:tcW w:w="1703" w:type="dxa"/>
            <w:vAlign w:val="center"/>
          </w:tcPr>
          <w:p>
            <w:pPr>
              <w:jc w:val="center"/>
              <w:rPr>
                <w:rFonts w:ascii="宋体" w:hAnsi="宋体"/>
                <w:szCs w:val="21"/>
              </w:rPr>
            </w:pPr>
          </w:p>
        </w:tc>
        <w:tc>
          <w:tcPr>
            <w:tcW w:w="1703" w:type="dxa"/>
            <w:vAlign w:val="center"/>
          </w:tcPr>
          <w:p>
            <w:pPr>
              <w:jc w:val="center"/>
              <w:rPr>
                <w:rFonts w:ascii="宋体" w:hAnsi="宋体"/>
                <w:szCs w:val="21"/>
              </w:rPr>
            </w:pPr>
          </w:p>
        </w:tc>
        <w:tc>
          <w:tcPr>
            <w:tcW w:w="1703" w:type="dxa"/>
            <w:vAlign w:val="center"/>
          </w:tcPr>
          <w:p>
            <w:pPr>
              <w:jc w:val="center"/>
              <w:rPr>
                <w:rFonts w:ascii="宋体" w:hAnsi="宋体"/>
                <w:szCs w:val="21"/>
              </w:rPr>
            </w:pPr>
          </w:p>
        </w:tc>
      </w:tr>
    </w:tbl>
    <w:p>
      <w:pPr>
        <w:spacing w:line="360" w:lineRule="auto"/>
        <w:jc w:val="left"/>
        <w:rPr>
          <w:rFonts w:ascii="宋体" w:hAnsi="宋体"/>
          <w:szCs w:val="21"/>
        </w:rPr>
      </w:pPr>
      <w:r>
        <w:rPr>
          <w:rFonts w:hint="eastAsia" w:ascii="宋体" w:hAnsi="宋体"/>
          <w:szCs w:val="21"/>
        </w:rPr>
        <w:t>1.3      本工程施工现场所用混凝土或砂浆的供应方式为</w:t>
      </w:r>
      <w:bookmarkStart w:id="1085" w:name="EptNR_本工程施工现场所用混凝土或砂浆的供应方式"/>
      <w:bookmarkEnd w:id="1085"/>
      <w:r>
        <w:rPr>
          <w:rFonts w:hint="eastAsia" w:ascii="宋体" w:hAnsi="宋体"/>
          <w:szCs w:val="21"/>
        </w:rPr>
        <w:t>。</w:t>
      </w:r>
    </w:p>
    <w:p>
      <w:pPr>
        <w:rPr>
          <w:rFonts w:ascii="宋体" w:hAnsi="宋体"/>
          <w:b/>
          <w:sz w:val="28"/>
          <w:szCs w:val="28"/>
        </w:rPr>
      </w:pPr>
      <w:bookmarkStart w:id="1086" w:name="_Toc277855116"/>
      <w:r>
        <w:rPr>
          <w:rFonts w:hint="eastAsia" w:ascii="宋体" w:hAnsi="宋体"/>
          <w:b/>
          <w:sz w:val="28"/>
          <w:szCs w:val="28"/>
        </w:rPr>
        <w:t>2. 特殊技术要求</w:t>
      </w:r>
      <w:bookmarkEnd w:id="1086"/>
    </w:p>
    <w:p>
      <w:pPr>
        <w:spacing w:line="360" w:lineRule="auto"/>
        <w:jc w:val="left"/>
        <w:rPr>
          <w:rFonts w:ascii="宋体" w:hAnsi="宋体"/>
          <w:szCs w:val="21"/>
        </w:rPr>
      </w:pPr>
      <w:r>
        <w:rPr>
          <w:rFonts w:hint="eastAsia" w:ascii="宋体" w:hAnsi="宋体"/>
          <w:szCs w:val="21"/>
        </w:rPr>
        <w:t>2.1       除合同约定的技术要求外，本工程的特殊技术要求如下：</w:t>
      </w:r>
    </w:p>
    <w:p>
      <w:pPr>
        <w:spacing w:line="360" w:lineRule="auto"/>
        <w:jc w:val="left"/>
        <w:rPr>
          <w:rFonts w:ascii="宋体" w:hAnsi="宋体"/>
          <w:szCs w:val="21"/>
          <w:u w:val="single"/>
        </w:rPr>
      </w:pPr>
      <w:bookmarkStart w:id="1087" w:name="EptNR_除合同约定的技术要求外，本工程的特殊技术要求"/>
    </w:p>
    <w:bookmarkEnd w:id="1087"/>
    <w:p>
      <w:pPr>
        <w:spacing w:line="360" w:lineRule="auto"/>
        <w:jc w:val="left"/>
        <w:rPr>
          <w:rFonts w:ascii="宋体" w:hAnsi="宋体"/>
          <w:szCs w:val="21"/>
        </w:rPr>
      </w:pPr>
      <w:r>
        <w:rPr>
          <w:rFonts w:hint="eastAsia" w:ascii="宋体" w:hAnsi="宋体"/>
          <w:szCs w:val="21"/>
        </w:rPr>
        <w:t>。</w:t>
      </w:r>
    </w:p>
    <w:p>
      <w:bookmarkStart w:id="1088" w:name="_Toc277855117"/>
      <w:r>
        <w:rPr>
          <w:rFonts w:hint="eastAsia"/>
        </w:rPr>
        <w:t>3. 新技术、新工艺和新材料</w:t>
      </w:r>
      <w:bookmarkEnd w:id="1088"/>
    </w:p>
    <w:p>
      <w:pPr>
        <w:spacing w:line="360" w:lineRule="auto"/>
        <w:jc w:val="left"/>
        <w:rPr>
          <w:rFonts w:ascii="黑体" w:hAnsi="宋体" w:eastAsia="黑体"/>
        </w:rPr>
      </w:pPr>
      <w:r>
        <w:rPr>
          <w:rFonts w:hint="eastAsia" w:ascii="黑体" w:hAnsi="宋体" w:eastAsia="黑体"/>
        </w:rPr>
        <w:t>3.1      本工程涉及的新技术、新工艺和新材料及相应使用和操作说明如下：</w:t>
      </w:r>
    </w:p>
    <w:p>
      <w:pPr>
        <w:spacing w:line="360" w:lineRule="auto"/>
        <w:jc w:val="left"/>
        <w:rPr>
          <w:rFonts w:ascii="宋体" w:hAnsi="宋体"/>
          <w:szCs w:val="21"/>
          <w:u w:val="single"/>
        </w:rPr>
      </w:pPr>
      <w:bookmarkStart w:id="1089" w:name="EptNR_本工程涉及的新技术、新工艺和新材料及相应使用和操作说明"/>
    </w:p>
    <w:bookmarkEnd w:id="1089"/>
    <w:p>
      <w:pPr>
        <w:spacing w:line="360" w:lineRule="auto"/>
        <w:jc w:val="left"/>
        <w:rPr>
          <w:rFonts w:ascii="宋体" w:hAnsi="宋体"/>
          <w:b/>
          <w:szCs w:val="21"/>
        </w:rPr>
      </w:pPr>
      <w:r>
        <w:rPr>
          <w:rFonts w:hint="eastAsia" w:ascii="宋体" w:hAnsi="宋体"/>
          <w:szCs w:val="21"/>
        </w:rPr>
        <w:t>。</w:t>
      </w:r>
    </w:p>
    <w:p>
      <w:bookmarkStart w:id="1090" w:name="_Toc277855118"/>
      <w:r>
        <w:rPr>
          <w:rFonts w:hint="eastAsia"/>
        </w:rPr>
        <w:t>4. 其他特殊技术标准和要求</w:t>
      </w:r>
      <w:bookmarkEnd w:id="1090"/>
    </w:p>
    <w:p>
      <w:pPr>
        <w:spacing w:line="360" w:lineRule="auto"/>
        <w:jc w:val="left"/>
        <w:rPr>
          <w:rFonts w:ascii="宋体" w:hAnsi="宋体"/>
          <w:szCs w:val="21"/>
          <w:u w:val="single"/>
        </w:rPr>
      </w:pPr>
      <w:bookmarkStart w:id="1091" w:name="EptNR_其他特殊技术标准和要求"/>
    </w:p>
    <w:bookmarkEnd w:id="1091"/>
    <w:p>
      <w:pPr>
        <w:spacing w:line="360" w:lineRule="auto"/>
        <w:jc w:val="left"/>
        <w:rPr>
          <w:rFonts w:ascii="宋体" w:hAnsi="宋体"/>
          <w:szCs w:val="21"/>
        </w:rPr>
      </w:pPr>
    </w:p>
    <w:p>
      <w:pPr>
        <w:pStyle w:val="4"/>
      </w:pPr>
      <w:bookmarkStart w:id="1092" w:name="_Toc277855119"/>
      <w:bookmarkStart w:id="1093" w:name="_Toc907"/>
      <w:r>
        <w:rPr>
          <w:rFonts w:hint="eastAsia"/>
        </w:rPr>
        <w:t>第三节  适用的国家、行业以及地方规范、标准和规程</w:t>
      </w:r>
      <w:bookmarkEnd w:id="1092"/>
      <w:bookmarkEnd w:id="1093"/>
    </w:p>
    <w:p>
      <w:pPr>
        <w:spacing w:line="360" w:lineRule="auto"/>
        <w:ind w:firstLine="413" w:firstLineChars="196"/>
        <w:jc w:val="left"/>
        <w:rPr>
          <w:rFonts w:ascii="宋体" w:hAnsi="宋体"/>
          <w:szCs w:val="21"/>
        </w:rPr>
      </w:pPr>
      <w:r>
        <w:rPr>
          <w:rFonts w:hint="eastAsia" w:ascii="黑体" w:hAnsi="宋体" w:eastAsia="黑体"/>
          <w:b/>
          <w:szCs w:val="21"/>
        </w:rPr>
        <w:t>说明：</w:t>
      </w:r>
      <w:r>
        <w:rPr>
          <w:rFonts w:hint="eastAsia" w:ascii="宋体" w:hAnsi="宋体"/>
          <w:szCs w:val="21"/>
        </w:rPr>
        <w:t>本节内容只需列出规范、标准、规程等的名称、编号等内容。本节由招标人根据国家、行业和地方现行标准、规范和规程等，以及项目具体情况摘录。</w:t>
      </w:r>
    </w:p>
    <w:p>
      <w:r>
        <w:rPr>
          <w:rFonts w:ascii="宋体" w:hAnsi="宋体"/>
          <w:szCs w:val="21"/>
        </w:rPr>
        <w:br w:type="page"/>
      </w:r>
    </w:p>
    <w:p>
      <w:r>
        <w:rPr>
          <w:rFonts w:hint="eastAsia"/>
        </w:rPr>
        <w:t>附件A：施工现场现状平面图</w:t>
      </w:r>
      <w:bookmarkEnd w:id="1042"/>
    </w:p>
    <w:p>
      <w:pPr>
        <w:spacing w:line="360" w:lineRule="auto"/>
        <w:ind w:firstLine="420" w:firstLineChars="200"/>
        <w:jc w:val="left"/>
        <w:rPr>
          <w:rFonts w:ascii="宋体" w:hAnsi="宋体"/>
          <w:szCs w:val="21"/>
        </w:rPr>
      </w:pPr>
      <w:r>
        <w:rPr>
          <w:rFonts w:hint="eastAsia" w:ascii="黑体" w:hAnsi="宋体" w:eastAsia="黑体"/>
          <w:szCs w:val="21"/>
        </w:rPr>
        <w:t>说明：</w:t>
      </w:r>
      <w:r>
        <w:rPr>
          <w:rFonts w:hint="eastAsia" w:ascii="宋体" w:hAnsi="宋体"/>
          <w:szCs w:val="21"/>
        </w:rPr>
        <w:t>该图由招标人准备，并作为招标文件本章的组成内容提供给投标人。图中应当标示本章第一节第1.2.1项规定的内容，并做必要的文字说明。</w:t>
      </w:r>
    </w:p>
    <w:p>
      <w:pPr>
        <w:spacing w:line="360" w:lineRule="auto"/>
        <w:jc w:val="left"/>
      </w:pPr>
    </w:p>
    <w:p>
      <w:pPr>
        <w:widowControl/>
        <w:jc w:val="left"/>
        <w:rPr>
          <w:rFonts w:ascii="宋体" w:hAnsi="宋体"/>
          <w:b/>
          <w:bCs/>
          <w:sz w:val="32"/>
          <w:szCs w:val="32"/>
        </w:rPr>
      </w:pPr>
      <w:bookmarkStart w:id="1094" w:name="bt特殊标准和技术规范"/>
      <w:bookmarkEnd w:id="1094"/>
      <w:bookmarkStart w:id="1095" w:name="Bookmark33"/>
      <w:bookmarkEnd w:id="1095"/>
      <w:r>
        <w:br w:type="page"/>
      </w:r>
    </w:p>
    <w:p>
      <w:pPr>
        <w:pStyle w:val="2"/>
        <w:ind w:firstLine="420"/>
        <w:jc w:val="center"/>
      </w:pPr>
      <w:bookmarkStart w:id="1096" w:name="_Toc32628"/>
      <w:r>
        <w:rPr>
          <w:rFonts w:hint="eastAsia"/>
        </w:rPr>
        <w:t>第八章  投标文件格式</w:t>
      </w:r>
      <w:bookmarkEnd w:id="1096"/>
    </w:p>
    <w:p>
      <w:pPr>
        <w:spacing w:line="360" w:lineRule="auto"/>
        <w:jc w:val="center"/>
        <w:rPr>
          <w:rFonts w:ascii="黑体" w:eastAsia="黑体"/>
          <w:sz w:val="32"/>
          <w:szCs w:val="32"/>
        </w:rPr>
      </w:pPr>
      <w:r>
        <w:rPr>
          <w:rFonts w:ascii="黑体" w:eastAsia="黑体"/>
          <w:sz w:val="32"/>
          <w:szCs w:val="32"/>
        </w:rPr>
        <w:br w:type="page"/>
      </w:r>
    </w:p>
    <w:p>
      <w:pPr>
        <w:spacing w:line="360" w:lineRule="auto"/>
        <w:jc w:val="center"/>
        <w:rPr>
          <w:rFonts w:ascii="黑体" w:eastAsia="黑体"/>
          <w:sz w:val="28"/>
          <w:szCs w:val="28"/>
        </w:rPr>
      </w:pPr>
      <w:r>
        <w:rPr>
          <w:rFonts w:hint="eastAsia" w:ascii="宋体" w:hAnsi="宋体"/>
          <w:sz w:val="28"/>
          <w:szCs w:val="28"/>
        </w:rPr>
        <w:t>(项目名称)</w:t>
      </w:r>
      <w:r>
        <w:rPr>
          <w:rFonts w:hint="eastAsia" w:ascii="黑体" w:eastAsia="黑体"/>
          <w:sz w:val="28"/>
          <w:szCs w:val="28"/>
        </w:rPr>
        <w:t>标段施工招标</w:t>
      </w:r>
    </w:p>
    <w:p>
      <w:pPr>
        <w:spacing w:before="312" w:beforeLines="100" w:line="360" w:lineRule="auto"/>
        <w:jc w:val="center"/>
        <w:rPr>
          <w:rFonts w:ascii="黑体" w:eastAsia="黑体"/>
          <w:sz w:val="44"/>
          <w:szCs w:val="44"/>
        </w:rPr>
      </w:pPr>
      <w:r>
        <w:rPr>
          <w:rFonts w:hint="eastAsia" w:ascii="黑体" w:eastAsia="黑体"/>
          <w:sz w:val="44"/>
          <w:szCs w:val="44"/>
        </w:rPr>
        <w:t>投  标  文  件</w:t>
      </w:r>
    </w:p>
    <w:p>
      <w:pPr>
        <w:spacing w:line="360" w:lineRule="auto"/>
        <w:jc w:val="center"/>
        <w:rPr>
          <w:rFonts w:ascii="黑体" w:eastAsia="黑体"/>
          <w:sz w:val="32"/>
          <w:szCs w:val="32"/>
        </w:rPr>
      </w:pPr>
    </w:p>
    <w:p>
      <w:pPr>
        <w:spacing w:line="360" w:lineRule="auto"/>
        <w:jc w:val="center"/>
        <w:rPr>
          <w:rFonts w:ascii="黑体" w:eastAsia="黑体"/>
          <w:sz w:val="32"/>
          <w:szCs w:val="32"/>
        </w:rPr>
      </w:pPr>
    </w:p>
    <w:p>
      <w:pPr>
        <w:spacing w:line="360" w:lineRule="auto"/>
        <w:jc w:val="center"/>
        <w:rPr>
          <w:rFonts w:ascii="黑体" w:eastAsia="黑体"/>
          <w:sz w:val="32"/>
          <w:szCs w:val="32"/>
        </w:rPr>
      </w:pPr>
    </w:p>
    <w:p>
      <w:pPr>
        <w:spacing w:line="360" w:lineRule="auto"/>
        <w:jc w:val="center"/>
        <w:rPr>
          <w:rFonts w:ascii="黑体" w:eastAsia="黑体"/>
          <w:sz w:val="32"/>
          <w:szCs w:val="32"/>
        </w:rPr>
      </w:pPr>
    </w:p>
    <w:p>
      <w:pPr>
        <w:spacing w:line="360" w:lineRule="auto"/>
        <w:jc w:val="center"/>
        <w:rPr>
          <w:rFonts w:ascii="黑体" w:eastAsia="黑体"/>
          <w:sz w:val="32"/>
          <w:szCs w:val="32"/>
        </w:rPr>
      </w:pPr>
    </w:p>
    <w:p>
      <w:pPr>
        <w:spacing w:line="360" w:lineRule="auto"/>
        <w:jc w:val="center"/>
        <w:rPr>
          <w:rFonts w:ascii="黑体" w:eastAsia="黑体"/>
          <w:sz w:val="32"/>
          <w:szCs w:val="32"/>
        </w:rPr>
      </w:pPr>
    </w:p>
    <w:p>
      <w:pPr>
        <w:spacing w:line="360" w:lineRule="auto"/>
        <w:jc w:val="center"/>
        <w:rPr>
          <w:rFonts w:ascii="黑体" w:eastAsia="黑体"/>
          <w:sz w:val="32"/>
          <w:szCs w:val="32"/>
        </w:rPr>
      </w:pPr>
    </w:p>
    <w:p>
      <w:pPr>
        <w:spacing w:line="360" w:lineRule="auto"/>
        <w:jc w:val="center"/>
        <w:rPr>
          <w:rFonts w:ascii="黑体" w:eastAsia="黑体"/>
          <w:sz w:val="32"/>
          <w:szCs w:val="32"/>
        </w:rPr>
      </w:pPr>
    </w:p>
    <w:p>
      <w:pPr>
        <w:spacing w:line="360" w:lineRule="auto"/>
        <w:jc w:val="center"/>
        <w:rPr>
          <w:rFonts w:ascii="黑体" w:eastAsia="黑体"/>
          <w:sz w:val="32"/>
          <w:szCs w:val="32"/>
        </w:rPr>
      </w:pPr>
    </w:p>
    <w:p>
      <w:pPr>
        <w:spacing w:line="360" w:lineRule="auto"/>
        <w:jc w:val="center"/>
        <w:rPr>
          <w:rFonts w:ascii="黑体" w:eastAsia="黑体"/>
          <w:sz w:val="32"/>
          <w:szCs w:val="32"/>
        </w:rPr>
      </w:pPr>
    </w:p>
    <w:p>
      <w:pPr>
        <w:spacing w:line="360" w:lineRule="auto"/>
        <w:jc w:val="center"/>
        <w:rPr>
          <w:rFonts w:ascii="黑体" w:eastAsia="黑体"/>
          <w:sz w:val="32"/>
          <w:szCs w:val="32"/>
        </w:rPr>
      </w:pPr>
    </w:p>
    <w:p>
      <w:pPr>
        <w:spacing w:line="360" w:lineRule="auto"/>
        <w:jc w:val="center"/>
        <w:rPr>
          <w:rFonts w:ascii="黑体" w:eastAsia="黑体"/>
          <w:sz w:val="32"/>
          <w:szCs w:val="32"/>
        </w:rPr>
      </w:pPr>
    </w:p>
    <w:p>
      <w:pPr>
        <w:spacing w:line="360" w:lineRule="auto"/>
        <w:jc w:val="center"/>
        <w:rPr>
          <w:rFonts w:ascii="黑体" w:eastAsia="黑体"/>
          <w:sz w:val="32"/>
          <w:szCs w:val="32"/>
        </w:rPr>
      </w:pPr>
    </w:p>
    <w:p>
      <w:pPr>
        <w:spacing w:line="360" w:lineRule="auto"/>
        <w:jc w:val="center"/>
        <w:rPr>
          <w:rFonts w:ascii="黑体" w:eastAsia="黑体"/>
          <w:sz w:val="28"/>
          <w:szCs w:val="28"/>
        </w:rPr>
      </w:pPr>
      <w:r>
        <w:rPr>
          <w:rFonts w:hint="eastAsia" w:ascii="黑体" w:eastAsia="黑体"/>
          <w:sz w:val="28"/>
          <w:szCs w:val="28"/>
        </w:rPr>
        <w:t>投标人：(单位电子签章)</w:t>
      </w:r>
    </w:p>
    <w:p>
      <w:pPr>
        <w:spacing w:line="360" w:lineRule="auto"/>
        <w:jc w:val="center"/>
        <w:rPr>
          <w:rFonts w:ascii="黑体" w:eastAsia="黑体"/>
          <w:sz w:val="28"/>
          <w:szCs w:val="28"/>
        </w:rPr>
      </w:pPr>
      <w:r>
        <w:rPr>
          <w:rFonts w:hint="eastAsia" w:ascii="黑体" w:eastAsia="黑体"/>
          <w:sz w:val="28"/>
          <w:szCs w:val="28"/>
        </w:rPr>
        <w:t>法定代表人：(法定代表人电子签名)</w:t>
      </w:r>
    </w:p>
    <w:p>
      <w:pPr>
        <w:spacing w:line="360" w:lineRule="auto"/>
        <w:jc w:val="center"/>
        <w:rPr>
          <w:rFonts w:ascii="黑体" w:eastAsia="黑体"/>
          <w:sz w:val="28"/>
          <w:szCs w:val="28"/>
        </w:rPr>
      </w:pPr>
    </w:p>
    <w:p>
      <w:pPr>
        <w:spacing w:line="360" w:lineRule="auto"/>
        <w:jc w:val="center"/>
        <w:rPr>
          <w:rFonts w:ascii="黑体" w:eastAsia="黑体"/>
          <w:sz w:val="28"/>
          <w:szCs w:val="28"/>
        </w:rPr>
      </w:pPr>
      <w:r>
        <w:rPr>
          <w:rFonts w:hint="eastAsia" w:ascii="黑体" w:eastAsia="黑体"/>
          <w:sz w:val="28"/>
          <w:szCs w:val="28"/>
        </w:rPr>
        <w:t>年月日</w:t>
      </w:r>
    </w:p>
    <w:p>
      <w:pPr>
        <w:spacing w:line="360" w:lineRule="auto"/>
        <w:jc w:val="center"/>
        <w:rPr>
          <w:rFonts w:ascii="黑体" w:eastAsia="黑体"/>
          <w:sz w:val="28"/>
          <w:szCs w:val="28"/>
        </w:rPr>
      </w:pPr>
    </w:p>
    <w:p>
      <w:pPr>
        <w:spacing w:line="360" w:lineRule="auto"/>
        <w:ind w:firstLine="420" w:firstLineChars="200"/>
        <w:jc w:val="center"/>
        <w:rPr>
          <w:b/>
          <w:color w:val="000000" w:themeColor="text1"/>
          <w:sz w:val="36"/>
          <w:szCs w:val="36"/>
        </w:rPr>
      </w:pPr>
      <w:r>
        <w:br w:type="page"/>
      </w:r>
      <w:bookmarkStart w:id="1097" w:name="_Toc273437375"/>
      <w:r>
        <w:rPr>
          <w:rFonts w:hint="eastAsia"/>
          <w:b/>
          <w:color w:val="000000" w:themeColor="text1"/>
          <w:sz w:val="36"/>
          <w:szCs w:val="36"/>
        </w:rPr>
        <w:t>目录</w:t>
      </w:r>
    </w:p>
    <w:p>
      <w:pPr>
        <w:spacing w:line="360" w:lineRule="auto"/>
        <w:rPr>
          <w:color w:val="000000" w:themeColor="text1"/>
        </w:rPr>
      </w:pPr>
      <w:r>
        <w:rPr>
          <w:rFonts w:hint="eastAsia"/>
          <w:color w:val="000000" w:themeColor="text1"/>
        </w:rPr>
        <w:t>一、法定代表人申明</w:t>
      </w:r>
    </w:p>
    <w:p>
      <w:pPr>
        <w:spacing w:line="360" w:lineRule="auto"/>
        <w:rPr>
          <w:color w:val="000000" w:themeColor="text1"/>
        </w:rPr>
      </w:pPr>
      <w:r>
        <w:rPr>
          <w:rFonts w:hint="eastAsia"/>
          <w:color w:val="000000" w:themeColor="text1"/>
        </w:rPr>
        <w:t>二、资格审查申请书</w:t>
      </w:r>
    </w:p>
    <w:p>
      <w:pPr>
        <w:spacing w:line="360" w:lineRule="auto"/>
        <w:ind w:firstLine="420" w:firstLineChars="200"/>
        <w:rPr>
          <w:color w:val="000000" w:themeColor="text1"/>
        </w:rPr>
      </w:pPr>
      <w:r>
        <w:rPr>
          <w:rFonts w:hint="eastAsia"/>
          <w:color w:val="000000" w:themeColor="text1"/>
        </w:rPr>
        <w:t>(一)法定代表人身份证明</w:t>
      </w:r>
    </w:p>
    <w:p>
      <w:pPr>
        <w:spacing w:line="360" w:lineRule="auto"/>
        <w:ind w:firstLine="420" w:firstLineChars="200"/>
        <w:rPr>
          <w:color w:val="000000" w:themeColor="text1"/>
        </w:rPr>
      </w:pPr>
      <w:r>
        <w:rPr>
          <w:rFonts w:hint="eastAsia"/>
          <w:color w:val="000000" w:themeColor="text1"/>
        </w:rPr>
        <w:t>(二)授权委托书</w:t>
      </w:r>
    </w:p>
    <w:p>
      <w:pPr>
        <w:spacing w:line="360" w:lineRule="auto"/>
        <w:ind w:firstLine="420" w:firstLineChars="200"/>
        <w:rPr>
          <w:color w:val="000000" w:themeColor="text1"/>
        </w:rPr>
      </w:pPr>
      <w:r>
        <w:rPr>
          <w:rFonts w:hint="eastAsia"/>
          <w:color w:val="000000" w:themeColor="text1"/>
        </w:rPr>
        <w:t>(</w:t>
      </w:r>
      <w:r>
        <w:rPr>
          <w:rFonts w:hint="eastAsia"/>
          <w:color w:val="000000" w:themeColor="text1"/>
          <w:lang w:val="en-US" w:eastAsia="zh-CN"/>
        </w:rPr>
        <w:t>三</w:t>
      </w:r>
      <w:r>
        <w:rPr>
          <w:rFonts w:hint="eastAsia"/>
          <w:color w:val="000000" w:themeColor="text1"/>
        </w:rPr>
        <w:t>)投标保证金交付证明</w:t>
      </w:r>
    </w:p>
    <w:p>
      <w:pPr>
        <w:spacing w:line="360" w:lineRule="auto"/>
        <w:ind w:firstLine="420" w:firstLineChars="200"/>
        <w:rPr>
          <w:color w:val="000000" w:themeColor="text1"/>
        </w:rPr>
      </w:pPr>
      <w:r>
        <w:rPr>
          <w:rFonts w:hint="eastAsia"/>
          <w:color w:val="000000" w:themeColor="text1"/>
        </w:rPr>
        <w:t>(</w:t>
      </w:r>
      <w:r>
        <w:rPr>
          <w:rFonts w:hint="eastAsia"/>
          <w:color w:val="000000" w:themeColor="text1"/>
          <w:lang w:val="en-US" w:eastAsia="zh-CN"/>
        </w:rPr>
        <w:t>四</w:t>
      </w:r>
      <w:r>
        <w:rPr>
          <w:rFonts w:hint="eastAsia"/>
          <w:color w:val="000000" w:themeColor="text1"/>
        </w:rPr>
        <w:t>)投标人基本情况表</w:t>
      </w:r>
    </w:p>
    <w:p>
      <w:pPr>
        <w:spacing w:line="360" w:lineRule="auto"/>
        <w:ind w:firstLine="420" w:firstLineChars="200"/>
        <w:rPr>
          <w:color w:val="000000" w:themeColor="text1"/>
        </w:rPr>
      </w:pPr>
      <w:r>
        <w:rPr>
          <w:rFonts w:hint="eastAsia"/>
          <w:color w:val="000000" w:themeColor="text1"/>
        </w:rPr>
        <w:t>(</w:t>
      </w:r>
      <w:r>
        <w:rPr>
          <w:rFonts w:hint="eastAsia"/>
          <w:color w:val="000000" w:themeColor="text1"/>
          <w:lang w:val="en-US" w:eastAsia="zh-CN"/>
        </w:rPr>
        <w:t>五</w:t>
      </w:r>
      <w:r>
        <w:rPr>
          <w:rFonts w:hint="eastAsia"/>
          <w:color w:val="000000" w:themeColor="text1"/>
        </w:rPr>
        <w:t>)近年财务状况表</w:t>
      </w:r>
    </w:p>
    <w:p>
      <w:pPr>
        <w:spacing w:line="360" w:lineRule="auto"/>
        <w:ind w:firstLine="420" w:firstLineChars="200"/>
        <w:rPr>
          <w:color w:val="000000" w:themeColor="text1"/>
        </w:rPr>
      </w:pPr>
      <w:r>
        <w:rPr>
          <w:rFonts w:hint="eastAsia"/>
          <w:color w:val="000000" w:themeColor="text1"/>
        </w:rPr>
        <w:t>(</w:t>
      </w:r>
      <w:r>
        <w:rPr>
          <w:rFonts w:hint="eastAsia"/>
          <w:color w:val="000000" w:themeColor="text1"/>
          <w:lang w:val="en-US" w:eastAsia="zh-CN"/>
        </w:rPr>
        <w:t>六</w:t>
      </w:r>
      <w:r>
        <w:rPr>
          <w:rFonts w:hint="eastAsia"/>
          <w:color w:val="000000" w:themeColor="text1"/>
        </w:rPr>
        <w:t>)近年完成的类似项目情况表</w:t>
      </w:r>
    </w:p>
    <w:p>
      <w:pPr>
        <w:spacing w:line="360" w:lineRule="auto"/>
        <w:ind w:firstLine="420" w:firstLineChars="200"/>
        <w:rPr>
          <w:color w:val="000000" w:themeColor="text1"/>
        </w:rPr>
      </w:pPr>
      <w:r>
        <w:rPr>
          <w:rFonts w:hint="eastAsia"/>
          <w:color w:val="000000" w:themeColor="text1"/>
        </w:rPr>
        <w:t>(</w:t>
      </w:r>
      <w:r>
        <w:rPr>
          <w:rFonts w:hint="eastAsia"/>
          <w:color w:val="000000" w:themeColor="text1"/>
          <w:lang w:val="en-US" w:eastAsia="zh-CN"/>
        </w:rPr>
        <w:t>七</w:t>
      </w:r>
      <w:r>
        <w:rPr>
          <w:rFonts w:hint="eastAsia"/>
          <w:color w:val="000000" w:themeColor="text1"/>
        </w:rPr>
        <w:t>)正在施工的和新承接的项目情况</w:t>
      </w:r>
    </w:p>
    <w:p>
      <w:pPr>
        <w:spacing w:line="360" w:lineRule="auto"/>
        <w:ind w:firstLine="420" w:firstLineChars="200"/>
        <w:rPr>
          <w:color w:val="000000" w:themeColor="text1"/>
        </w:rPr>
      </w:pPr>
      <w:r>
        <w:rPr>
          <w:rFonts w:hint="eastAsia"/>
          <w:color w:val="000000" w:themeColor="text1"/>
        </w:rPr>
        <w:t>(</w:t>
      </w:r>
      <w:r>
        <w:rPr>
          <w:rFonts w:hint="eastAsia"/>
          <w:color w:val="000000" w:themeColor="text1"/>
          <w:lang w:val="en-US" w:eastAsia="zh-CN"/>
        </w:rPr>
        <w:t>八</w:t>
      </w:r>
      <w:r>
        <w:rPr>
          <w:rFonts w:hint="eastAsia"/>
          <w:color w:val="000000" w:themeColor="text1"/>
        </w:rPr>
        <w:t>)近年发生的不良诉讼和仲裁情况</w:t>
      </w:r>
    </w:p>
    <w:p>
      <w:pPr>
        <w:spacing w:line="360" w:lineRule="auto"/>
        <w:ind w:firstLine="420" w:firstLineChars="200"/>
        <w:rPr>
          <w:color w:val="000000" w:themeColor="text1"/>
        </w:rPr>
      </w:pPr>
      <w:r>
        <w:rPr>
          <w:rFonts w:hint="eastAsia"/>
          <w:color w:val="000000" w:themeColor="text1"/>
        </w:rPr>
        <w:t>(</w:t>
      </w:r>
      <w:r>
        <w:rPr>
          <w:rFonts w:hint="eastAsia"/>
          <w:color w:val="000000" w:themeColor="text1"/>
          <w:lang w:val="en-US" w:eastAsia="zh-CN"/>
        </w:rPr>
        <w:t>九</w:t>
      </w:r>
      <w:r>
        <w:rPr>
          <w:rFonts w:hint="eastAsia"/>
          <w:color w:val="000000" w:themeColor="text1"/>
        </w:rPr>
        <w:t>)企业其他信誉情况表</w:t>
      </w:r>
    </w:p>
    <w:p>
      <w:pPr>
        <w:spacing w:line="360" w:lineRule="auto"/>
        <w:ind w:firstLine="420" w:firstLineChars="200"/>
        <w:rPr>
          <w:color w:val="000000" w:themeColor="text1"/>
        </w:rPr>
      </w:pPr>
      <w:r>
        <w:rPr>
          <w:rFonts w:hint="eastAsia"/>
          <w:color w:val="000000" w:themeColor="text1"/>
        </w:rPr>
        <w:t>(十)项目</w:t>
      </w:r>
      <w:r>
        <w:rPr>
          <w:color w:val="000000" w:themeColor="text1"/>
        </w:rPr>
        <w:t>管理机构</w:t>
      </w:r>
    </w:p>
    <w:p>
      <w:pPr>
        <w:spacing w:line="360" w:lineRule="auto"/>
        <w:rPr>
          <w:color w:val="000000" w:themeColor="text1"/>
        </w:rPr>
      </w:pPr>
      <w:r>
        <w:rPr>
          <w:rFonts w:hint="eastAsia"/>
          <w:color w:val="000000" w:themeColor="text1"/>
        </w:rPr>
        <w:t>三、商务标</w:t>
      </w:r>
    </w:p>
    <w:p>
      <w:pPr>
        <w:spacing w:line="360" w:lineRule="auto"/>
        <w:ind w:firstLine="420" w:firstLineChars="200"/>
        <w:rPr>
          <w:color w:val="000000" w:themeColor="text1"/>
        </w:rPr>
      </w:pPr>
      <w:r>
        <w:rPr>
          <w:rFonts w:hint="eastAsia"/>
          <w:color w:val="000000" w:themeColor="text1"/>
        </w:rPr>
        <w:t>(一)投标函及投标函附录</w:t>
      </w:r>
    </w:p>
    <w:p>
      <w:pPr>
        <w:spacing w:line="360" w:lineRule="auto"/>
        <w:ind w:firstLine="420" w:firstLineChars="200"/>
        <w:rPr>
          <w:color w:val="000000" w:themeColor="text1"/>
        </w:rPr>
      </w:pPr>
      <w:r>
        <w:rPr>
          <w:rFonts w:hint="eastAsia"/>
          <w:color w:val="000000" w:themeColor="text1"/>
        </w:rPr>
        <w:t>(二)已标价工程量清单</w:t>
      </w:r>
    </w:p>
    <w:p>
      <w:pPr>
        <w:spacing w:line="360" w:lineRule="auto"/>
        <w:ind w:firstLine="420" w:firstLineChars="200"/>
        <w:rPr>
          <w:color w:val="000000" w:themeColor="text1"/>
        </w:rPr>
      </w:pPr>
      <w:r>
        <w:rPr>
          <w:rFonts w:hint="eastAsia"/>
          <w:color w:val="000000" w:themeColor="text1"/>
        </w:rPr>
        <w:t>(</w:t>
      </w:r>
      <w:r>
        <w:rPr>
          <w:rFonts w:hint="eastAsia"/>
          <w:color w:val="000000" w:themeColor="text1"/>
          <w:lang w:val="en-US" w:eastAsia="zh-CN"/>
        </w:rPr>
        <w:t>三</w:t>
      </w:r>
      <w:r>
        <w:rPr>
          <w:rFonts w:hint="eastAsia"/>
          <w:color w:val="000000" w:themeColor="text1"/>
        </w:rPr>
        <w:t>)承诺书</w:t>
      </w:r>
    </w:p>
    <w:p>
      <w:pPr>
        <w:spacing w:line="360" w:lineRule="auto"/>
        <w:ind w:firstLine="420" w:firstLineChars="200"/>
        <w:rPr>
          <w:color w:val="000000" w:themeColor="text1"/>
        </w:rPr>
      </w:pPr>
      <w:r>
        <w:rPr>
          <w:rFonts w:hint="eastAsia"/>
          <w:color w:val="000000" w:themeColor="text1"/>
        </w:rPr>
        <w:t>(</w:t>
      </w:r>
      <w:r>
        <w:rPr>
          <w:rFonts w:hint="eastAsia"/>
          <w:color w:val="000000" w:themeColor="text1"/>
          <w:lang w:val="en-US" w:eastAsia="zh-CN"/>
        </w:rPr>
        <w:t>四</w:t>
      </w:r>
      <w:r>
        <w:rPr>
          <w:rFonts w:hint="eastAsia"/>
          <w:color w:val="000000" w:themeColor="text1"/>
        </w:rPr>
        <w:t>)其他材料</w:t>
      </w:r>
    </w:p>
    <w:p>
      <w:pPr>
        <w:spacing w:line="360" w:lineRule="auto"/>
        <w:rPr>
          <w:color w:val="000000" w:themeColor="text1"/>
        </w:rPr>
      </w:pPr>
      <w:r>
        <w:rPr>
          <w:rFonts w:hint="eastAsia"/>
          <w:color w:val="000000" w:themeColor="text1"/>
        </w:rPr>
        <w:t>四、技术标</w:t>
      </w:r>
    </w:p>
    <w:p>
      <w:pPr>
        <w:spacing w:line="360" w:lineRule="auto"/>
        <w:ind w:firstLine="420" w:firstLineChars="200"/>
        <w:rPr>
          <w:color w:val="000000" w:themeColor="text1"/>
        </w:rPr>
      </w:pPr>
      <w:r>
        <w:rPr>
          <w:rFonts w:hint="eastAsia"/>
          <w:color w:val="000000" w:themeColor="text1"/>
        </w:rPr>
        <w:t>施工组织设计</w:t>
      </w:r>
    </w:p>
    <w:p>
      <w:pPr>
        <w:spacing w:line="360" w:lineRule="auto"/>
        <w:ind w:firstLine="420" w:firstLineChars="200"/>
        <w:rPr>
          <w:color w:val="000000" w:themeColor="text1"/>
        </w:rPr>
      </w:pPr>
      <w:r>
        <w:rPr>
          <w:rFonts w:hint="eastAsia"/>
          <w:color w:val="000000" w:themeColor="text1"/>
        </w:rPr>
        <w:t>附表格式</w:t>
      </w:r>
    </w:p>
    <w:p>
      <w:pPr>
        <w:spacing w:line="360" w:lineRule="auto"/>
        <w:ind w:firstLine="420" w:firstLineChars="200"/>
        <w:rPr>
          <w:color w:val="000000" w:themeColor="text1"/>
        </w:rPr>
      </w:pPr>
    </w:p>
    <w:p>
      <w:pPr>
        <w:widowControl/>
        <w:jc w:val="left"/>
        <w:rPr>
          <w:rFonts w:ascii="黑体" w:hAnsi="黑体" w:eastAsia="黑体" w:cs="黑体"/>
          <w:bCs/>
          <w:color w:val="000000" w:themeColor="text1"/>
          <w:kern w:val="0"/>
          <w:sz w:val="32"/>
          <w:szCs w:val="32"/>
        </w:rPr>
      </w:pPr>
      <w:bookmarkStart w:id="1098" w:name="_Toc35165720"/>
      <w:bookmarkStart w:id="1099" w:name="_Toc273437372"/>
      <w:r>
        <w:rPr>
          <w:color w:val="000000" w:themeColor="text1"/>
        </w:rPr>
        <w:br w:type="page"/>
      </w:r>
    </w:p>
    <w:p>
      <w:pPr>
        <w:pStyle w:val="4"/>
        <w:rPr>
          <w:color w:val="000000" w:themeColor="text1"/>
        </w:rPr>
      </w:pPr>
      <w:bookmarkStart w:id="1100" w:name="_Toc19006"/>
      <w:r>
        <w:rPr>
          <w:rFonts w:hint="eastAsia"/>
          <w:color w:val="000000" w:themeColor="text1"/>
        </w:rPr>
        <w:t>一、法定代表人申明</w:t>
      </w:r>
      <w:bookmarkEnd w:id="1098"/>
      <w:bookmarkEnd w:id="1099"/>
      <w:bookmarkEnd w:id="1100"/>
    </w:p>
    <w:p>
      <w:pPr>
        <w:spacing w:line="360" w:lineRule="auto"/>
        <w:rPr>
          <w:rFonts w:ascii="宋体" w:hAnsi="宋体"/>
          <w:color w:val="000000" w:themeColor="text1"/>
        </w:rPr>
      </w:pPr>
    </w:p>
    <w:p>
      <w:pPr>
        <w:spacing w:line="360" w:lineRule="auto"/>
        <w:ind w:firstLine="551" w:firstLineChars="196"/>
        <w:rPr>
          <w:rFonts w:ascii="宋体" w:hAnsi="宋体"/>
          <w:color w:val="000000" w:themeColor="text1"/>
          <w:sz w:val="28"/>
          <w:szCs w:val="28"/>
        </w:rPr>
      </w:pPr>
      <w:r>
        <w:rPr>
          <w:rFonts w:hint="eastAsia" w:ascii="宋体" w:hAnsi="宋体"/>
          <w:b/>
          <w:bCs/>
          <w:color w:val="000000" w:themeColor="text1"/>
          <w:sz w:val="28"/>
          <w:szCs w:val="28"/>
        </w:rPr>
        <w:t>本人(法定代表人)，身份证号码：郑重声明：</w:t>
      </w:r>
      <w:r>
        <w:rPr>
          <w:rFonts w:hint="eastAsia" w:ascii="宋体" w:hAnsi="宋体"/>
          <w:color w:val="000000" w:themeColor="text1"/>
          <w:sz w:val="28"/>
          <w:szCs w:val="28"/>
        </w:rPr>
        <w:t>本企业此次投标文件及附件材料的全部数据、内容均是真实的，同样我在此所做的声明也是真实有效的。我知道虚假的声明与资料是严重的违法行为，此次投标文件提供的资料如有虚假，本企业愿接受建设行政主管部门及其他有关部门依法给予的处罚。</w:t>
      </w:r>
    </w:p>
    <w:p>
      <w:pPr>
        <w:spacing w:line="360" w:lineRule="auto"/>
        <w:ind w:firstLine="548" w:firstLineChars="196"/>
        <w:rPr>
          <w:rFonts w:ascii="宋体" w:hAnsi="宋体"/>
          <w:color w:val="000000" w:themeColor="text1"/>
          <w:sz w:val="28"/>
          <w:szCs w:val="28"/>
        </w:rPr>
      </w:pPr>
    </w:p>
    <w:p>
      <w:pPr>
        <w:spacing w:line="360" w:lineRule="auto"/>
        <w:ind w:firstLine="548" w:firstLineChars="196"/>
        <w:rPr>
          <w:rFonts w:ascii="宋体" w:hAnsi="宋体"/>
          <w:color w:val="000000" w:themeColor="text1"/>
          <w:sz w:val="28"/>
          <w:szCs w:val="28"/>
        </w:rPr>
      </w:pPr>
      <w:r>
        <w:rPr>
          <w:rFonts w:hint="eastAsia" w:ascii="宋体" w:hAnsi="宋体"/>
          <w:color w:val="000000" w:themeColor="text1"/>
          <w:sz w:val="28"/>
          <w:szCs w:val="28"/>
        </w:rPr>
        <w:t>单位电子签章：</w:t>
      </w:r>
    </w:p>
    <w:p>
      <w:pPr>
        <w:spacing w:line="360" w:lineRule="auto"/>
        <w:ind w:firstLine="548" w:firstLineChars="196"/>
        <w:rPr>
          <w:rFonts w:ascii="宋体" w:hAnsi="宋体"/>
          <w:color w:val="000000" w:themeColor="text1"/>
          <w:sz w:val="28"/>
          <w:szCs w:val="28"/>
        </w:rPr>
      </w:pPr>
    </w:p>
    <w:p>
      <w:pPr>
        <w:spacing w:line="360" w:lineRule="auto"/>
        <w:ind w:firstLine="548" w:firstLineChars="196"/>
        <w:rPr>
          <w:rFonts w:ascii="宋体" w:hAnsi="宋体"/>
          <w:color w:val="000000" w:themeColor="text1"/>
          <w:sz w:val="28"/>
          <w:szCs w:val="28"/>
        </w:rPr>
      </w:pPr>
    </w:p>
    <w:p>
      <w:pPr>
        <w:spacing w:line="360" w:lineRule="auto"/>
        <w:ind w:firstLine="548" w:firstLineChars="196"/>
        <w:rPr>
          <w:rFonts w:ascii="宋体" w:hAnsi="宋体"/>
          <w:color w:val="000000" w:themeColor="text1"/>
          <w:sz w:val="28"/>
          <w:szCs w:val="28"/>
        </w:rPr>
      </w:pPr>
      <w:r>
        <w:rPr>
          <w:rFonts w:hint="eastAsia" w:ascii="宋体" w:hAnsi="宋体"/>
          <w:color w:val="000000" w:themeColor="text1"/>
          <w:sz w:val="28"/>
          <w:szCs w:val="28"/>
        </w:rPr>
        <w:t>企业法定代表人电子签名：</w:t>
      </w:r>
      <w:r>
        <w:rPr>
          <w:rFonts w:hint="eastAsia" w:ascii="宋体" w:hAnsi="宋体"/>
          <w:color w:val="000000" w:themeColor="text1"/>
          <w:sz w:val="28"/>
          <w:szCs w:val="28"/>
          <w:u w:val="single"/>
        </w:rPr>
        <w:tab/>
      </w:r>
      <w:r>
        <w:rPr>
          <w:rFonts w:hint="eastAsia" w:ascii="宋体" w:hAnsi="宋体"/>
          <w:color w:val="000000" w:themeColor="text1"/>
          <w:sz w:val="28"/>
          <w:szCs w:val="28"/>
          <w:u w:val="single"/>
        </w:rPr>
        <w:tab/>
      </w:r>
      <w:r>
        <w:rPr>
          <w:rFonts w:hint="eastAsia" w:ascii="宋体" w:hAnsi="宋体"/>
          <w:color w:val="000000" w:themeColor="text1"/>
          <w:sz w:val="28"/>
          <w:szCs w:val="28"/>
          <w:u w:val="single"/>
        </w:rPr>
        <w:tab/>
      </w:r>
      <w:r>
        <w:rPr>
          <w:rFonts w:hint="eastAsia" w:ascii="宋体" w:hAnsi="宋体"/>
          <w:color w:val="000000" w:themeColor="text1"/>
          <w:sz w:val="28"/>
          <w:szCs w:val="28"/>
          <w:u w:val="single"/>
        </w:rPr>
        <w:tab/>
      </w:r>
      <w:r>
        <w:rPr>
          <w:rFonts w:hint="eastAsia" w:ascii="宋体" w:hAnsi="宋体"/>
          <w:color w:val="000000" w:themeColor="text1"/>
          <w:sz w:val="28"/>
          <w:szCs w:val="28"/>
          <w:u w:val="single"/>
        </w:rPr>
        <w:tab/>
      </w:r>
      <w:r>
        <w:rPr>
          <w:rFonts w:hint="eastAsia" w:ascii="宋体" w:hAnsi="宋体"/>
          <w:color w:val="000000" w:themeColor="text1"/>
          <w:sz w:val="28"/>
          <w:szCs w:val="28"/>
          <w:u w:val="single"/>
        </w:rPr>
        <w:tab/>
      </w:r>
      <w:r>
        <w:rPr>
          <w:rFonts w:hint="eastAsia" w:ascii="宋体" w:hAnsi="宋体"/>
          <w:color w:val="000000" w:themeColor="text1"/>
          <w:sz w:val="28"/>
          <w:szCs w:val="28"/>
          <w:u w:val="single"/>
        </w:rPr>
        <w:tab/>
      </w:r>
    </w:p>
    <w:p>
      <w:pPr>
        <w:spacing w:line="360" w:lineRule="auto"/>
        <w:ind w:firstLine="420" w:firstLineChars="200"/>
        <w:rPr>
          <w:rFonts w:ascii="宋体" w:hAnsi="宋体"/>
          <w:color w:val="000000" w:themeColor="text1"/>
          <w:szCs w:val="28"/>
        </w:rPr>
      </w:pPr>
    </w:p>
    <w:p>
      <w:pPr>
        <w:spacing w:line="360" w:lineRule="auto"/>
        <w:ind w:firstLine="420" w:firstLineChars="200"/>
        <w:rPr>
          <w:rFonts w:ascii="宋体" w:hAnsi="宋体"/>
          <w:color w:val="000000" w:themeColor="text1"/>
          <w:szCs w:val="28"/>
        </w:rPr>
      </w:pPr>
    </w:p>
    <w:p>
      <w:pPr>
        <w:spacing w:line="360" w:lineRule="auto"/>
        <w:ind w:firstLine="4888" w:firstLineChars="1746"/>
        <w:rPr>
          <w:rFonts w:ascii="宋体" w:hAnsi="宋体"/>
          <w:color w:val="000000" w:themeColor="text1"/>
          <w:sz w:val="28"/>
          <w:szCs w:val="28"/>
        </w:rPr>
      </w:pPr>
      <w:r>
        <w:rPr>
          <w:rFonts w:hint="eastAsia" w:ascii="宋体" w:hAnsi="宋体"/>
          <w:color w:val="000000" w:themeColor="text1"/>
          <w:sz w:val="28"/>
          <w:szCs w:val="28"/>
        </w:rPr>
        <w:t>年月日</w:t>
      </w:r>
    </w:p>
    <w:p>
      <w:pPr>
        <w:adjustRightInd w:val="0"/>
        <w:snapToGrid w:val="0"/>
        <w:spacing w:line="360" w:lineRule="auto"/>
        <w:rPr>
          <w:rFonts w:ascii="楷体_GB2312" w:hAnsi="宋体" w:eastAsia="楷体_GB2312"/>
          <w:b/>
          <w:color w:val="000000" w:themeColor="text1"/>
          <w:sz w:val="30"/>
        </w:rPr>
      </w:pPr>
      <w:r>
        <w:rPr>
          <w:rFonts w:ascii="楷体_GB2312" w:hAnsi="宋体" w:eastAsia="楷体_GB2312"/>
          <w:b/>
          <w:color w:val="000000" w:themeColor="text1"/>
          <w:sz w:val="30"/>
        </w:rPr>
        <w:br w:type="page"/>
      </w:r>
    </w:p>
    <w:p>
      <w:pPr>
        <w:pStyle w:val="4"/>
        <w:rPr>
          <w:color w:val="000000" w:themeColor="text1"/>
        </w:rPr>
      </w:pPr>
      <w:bookmarkStart w:id="1101" w:name="_Toc35165721"/>
      <w:bookmarkStart w:id="1102" w:name="_Toc273437373"/>
      <w:bookmarkStart w:id="1103" w:name="_Toc14656"/>
      <w:r>
        <w:rPr>
          <w:rFonts w:hint="eastAsia"/>
          <w:color w:val="000000" w:themeColor="text1"/>
        </w:rPr>
        <w:t>二、投标人资格审查申请书</w:t>
      </w:r>
      <w:bookmarkEnd w:id="1101"/>
      <w:bookmarkEnd w:id="1102"/>
      <w:bookmarkEnd w:id="1103"/>
    </w:p>
    <w:p>
      <w:pPr>
        <w:spacing w:line="360" w:lineRule="auto"/>
        <w:rPr>
          <w:color w:val="000000" w:themeColor="text1"/>
        </w:rPr>
      </w:pPr>
    </w:p>
    <w:p>
      <w:pPr>
        <w:adjustRightInd w:val="0"/>
        <w:snapToGrid w:val="0"/>
        <w:spacing w:line="360" w:lineRule="auto"/>
        <w:rPr>
          <w:rFonts w:ascii="宋体" w:hAnsi="宋体"/>
          <w:color w:val="000000" w:themeColor="text1"/>
          <w:sz w:val="10"/>
        </w:rPr>
      </w:pPr>
    </w:p>
    <w:p>
      <w:pPr>
        <w:adjustRightInd w:val="0"/>
        <w:snapToGrid w:val="0"/>
        <w:spacing w:line="360" w:lineRule="auto"/>
        <w:jc w:val="center"/>
        <w:rPr>
          <w:rFonts w:ascii="宋体" w:hAnsi="宋体"/>
          <w:b/>
          <w:bCs/>
          <w:color w:val="000000" w:themeColor="text1"/>
          <w:sz w:val="32"/>
        </w:rPr>
      </w:pPr>
      <w:r>
        <w:rPr>
          <w:rFonts w:hint="eastAsia" w:ascii="宋体" w:hAnsi="宋体"/>
          <w:b/>
          <w:bCs/>
          <w:color w:val="000000" w:themeColor="text1"/>
          <w:sz w:val="32"/>
        </w:rPr>
        <w:t>(资格后审)</w:t>
      </w:r>
    </w:p>
    <w:p>
      <w:pPr>
        <w:adjustRightInd w:val="0"/>
        <w:snapToGrid w:val="0"/>
        <w:spacing w:line="360" w:lineRule="auto"/>
        <w:rPr>
          <w:rFonts w:ascii="宋体" w:hAnsi="宋体"/>
          <w:color w:val="000000" w:themeColor="text1"/>
          <w:sz w:val="32"/>
        </w:rPr>
      </w:pPr>
    </w:p>
    <w:p>
      <w:pPr>
        <w:adjustRightInd w:val="0"/>
        <w:snapToGrid w:val="0"/>
        <w:spacing w:line="360" w:lineRule="auto"/>
        <w:jc w:val="center"/>
        <w:rPr>
          <w:rFonts w:ascii="宋体" w:hAnsi="宋体"/>
          <w:color w:val="000000" w:themeColor="text1"/>
          <w:sz w:val="32"/>
        </w:rPr>
      </w:pPr>
    </w:p>
    <w:p>
      <w:pPr>
        <w:adjustRightInd w:val="0"/>
        <w:snapToGrid w:val="0"/>
        <w:spacing w:line="360" w:lineRule="auto"/>
        <w:jc w:val="center"/>
        <w:rPr>
          <w:rFonts w:ascii="宋体" w:hAnsi="宋体"/>
          <w:color w:val="000000" w:themeColor="text1"/>
          <w:sz w:val="32"/>
        </w:rPr>
      </w:pPr>
    </w:p>
    <w:p>
      <w:pPr>
        <w:adjustRightInd w:val="0"/>
        <w:snapToGrid w:val="0"/>
        <w:spacing w:line="360" w:lineRule="auto"/>
        <w:jc w:val="center"/>
        <w:rPr>
          <w:rFonts w:ascii="宋体" w:hAnsi="宋体"/>
          <w:color w:val="000000" w:themeColor="text1"/>
          <w:sz w:val="32"/>
        </w:rPr>
      </w:pPr>
    </w:p>
    <w:p>
      <w:pPr>
        <w:adjustRightInd w:val="0"/>
        <w:snapToGrid w:val="0"/>
        <w:spacing w:line="360" w:lineRule="auto"/>
        <w:jc w:val="center"/>
        <w:rPr>
          <w:rFonts w:ascii="宋体" w:hAnsi="宋体"/>
          <w:color w:val="000000" w:themeColor="text1"/>
          <w:sz w:val="32"/>
        </w:rPr>
      </w:pPr>
    </w:p>
    <w:p>
      <w:pPr>
        <w:adjustRightInd w:val="0"/>
        <w:snapToGrid w:val="0"/>
        <w:spacing w:line="360" w:lineRule="auto"/>
        <w:jc w:val="center"/>
        <w:rPr>
          <w:rFonts w:ascii="宋体" w:hAnsi="宋体"/>
          <w:color w:val="000000" w:themeColor="text1"/>
          <w:sz w:val="32"/>
        </w:rPr>
      </w:pPr>
    </w:p>
    <w:p>
      <w:pPr>
        <w:adjustRightInd w:val="0"/>
        <w:snapToGrid w:val="0"/>
        <w:spacing w:line="360" w:lineRule="auto"/>
        <w:jc w:val="center"/>
        <w:rPr>
          <w:rFonts w:ascii="宋体" w:hAnsi="宋体"/>
          <w:color w:val="000000" w:themeColor="text1"/>
          <w:sz w:val="32"/>
        </w:rPr>
      </w:pPr>
    </w:p>
    <w:p>
      <w:pPr>
        <w:adjustRightInd w:val="0"/>
        <w:snapToGrid w:val="0"/>
        <w:spacing w:line="360" w:lineRule="auto"/>
        <w:ind w:firstLine="1680"/>
        <w:rPr>
          <w:rFonts w:ascii="宋体" w:hAnsi="宋体"/>
          <w:b/>
          <w:color w:val="000000" w:themeColor="text1"/>
          <w:sz w:val="32"/>
          <w:u w:val="single"/>
        </w:rPr>
      </w:pPr>
      <w:r>
        <w:rPr>
          <w:rFonts w:hint="eastAsia" w:ascii="宋体" w:hAnsi="宋体"/>
          <w:b/>
          <w:color w:val="000000" w:themeColor="text1"/>
          <w:sz w:val="32"/>
        </w:rPr>
        <w:t>工程名称：</w:t>
      </w:r>
    </w:p>
    <w:p>
      <w:pPr>
        <w:adjustRightInd w:val="0"/>
        <w:snapToGrid w:val="0"/>
        <w:spacing w:line="360" w:lineRule="auto"/>
        <w:ind w:firstLine="1680"/>
        <w:rPr>
          <w:rFonts w:ascii="宋体" w:hAnsi="宋体"/>
          <w:b/>
          <w:color w:val="000000" w:themeColor="text1"/>
          <w:sz w:val="32"/>
          <w:u w:val="single"/>
        </w:rPr>
      </w:pPr>
    </w:p>
    <w:p>
      <w:pPr>
        <w:adjustRightInd w:val="0"/>
        <w:snapToGrid w:val="0"/>
        <w:spacing w:line="360" w:lineRule="auto"/>
        <w:ind w:firstLine="1680"/>
        <w:rPr>
          <w:rFonts w:ascii="宋体" w:hAnsi="宋体"/>
          <w:b/>
          <w:color w:val="000000" w:themeColor="text1"/>
          <w:sz w:val="32"/>
          <w:u w:val="single"/>
        </w:rPr>
      </w:pPr>
      <w:r>
        <w:rPr>
          <w:rFonts w:ascii="宋体" w:hAnsi="宋体"/>
          <w:b/>
          <w:color w:val="000000" w:themeColor="text1"/>
          <w:sz w:val="20"/>
        </w:rPr>
        <w:pict>
          <v:line id="直接连接符 1" o:spid="_x0000_s1027" o:spt="20" style="position:absolute;left:0pt;margin-left:170.25pt;margin-top:30.9pt;height:0.1pt;width:261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">
            <v:path arrowok="t"/>
            <v:fill focussize="0,0"/>
            <v:stroke/>
            <v:imagedata o:title=""/>
            <o:lock v:ext="edit"/>
          </v:line>
        </w:pict>
      </w:r>
      <w:r>
        <w:rPr>
          <w:rFonts w:hint="eastAsia" w:ascii="宋体" w:hAnsi="宋体"/>
          <w:b/>
          <w:color w:val="000000" w:themeColor="text1"/>
          <w:sz w:val="32"/>
        </w:rPr>
        <w:t>投标标段：</w:t>
      </w:r>
    </w:p>
    <w:p>
      <w:pPr>
        <w:adjustRightInd w:val="0"/>
        <w:snapToGrid w:val="0"/>
        <w:spacing w:line="360" w:lineRule="auto"/>
        <w:ind w:firstLine="1680"/>
        <w:rPr>
          <w:rFonts w:ascii="宋体" w:hAnsi="宋体"/>
          <w:b/>
          <w:color w:val="000000" w:themeColor="text1"/>
          <w:sz w:val="32"/>
        </w:rPr>
      </w:pPr>
    </w:p>
    <w:p>
      <w:pPr>
        <w:adjustRightInd w:val="0"/>
        <w:snapToGrid w:val="0"/>
        <w:spacing w:line="360" w:lineRule="auto"/>
        <w:ind w:firstLine="1680"/>
        <w:rPr>
          <w:rFonts w:ascii="宋体" w:hAnsi="宋体"/>
          <w:b/>
          <w:color w:val="000000" w:themeColor="text1"/>
          <w:sz w:val="32"/>
          <w:u w:val="single"/>
        </w:rPr>
      </w:pPr>
      <w:r>
        <w:rPr>
          <w:rFonts w:hint="eastAsia" w:ascii="宋体" w:hAnsi="宋体"/>
          <w:b/>
          <w:color w:val="000000" w:themeColor="text1"/>
          <w:sz w:val="32"/>
        </w:rPr>
        <w:t>投标申请人：</w:t>
      </w:r>
      <w:r>
        <w:rPr>
          <w:rFonts w:hint="eastAsia" w:ascii="宋体" w:hAnsi="宋体"/>
          <w:b/>
          <w:color w:val="000000" w:themeColor="text1"/>
          <w:sz w:val="32"/>
          <w:u w:val="single"/>
        </w:rPr>
        <w:t xml:space="preserve">                (单位电子签章) </w:t>
      </w:r>
    </w:p>
    <w:p>
      <w:pPr>
        <w:adjustRightInd w:val="0"/>
        <w:snapToGrid w:val="0"/>
        <w:spacing w:line="360" w:lineRule="auto"/>
        <w:ind w:firstLine="1680"/>
        <w:rPr>
          <w:rFonts w:ascii="宋体" w:hAnsi="宋体"/>
          <w:b/>
          <w:color w:val="000000" w:themeColor="text1"/>
          <w:sz w:val="32"/>
        </w:rPr>
      </w:pPr>
    </w:p>
    <w:p>
      <w:pPr>
        <w:adjustRightInd w:val="0"/>
        <w:snapToGrid w:val="0"/>
        <w:spacing w:line="360" w:lineRule="auto"/>
        <w:ind w:firstLine="1680"/>
        <w:rPr>
          <w:rFonts w:ascii="宋体" w:hAnsi="宋体"/>
          <w:b/>
          <w:color w:val="000000" w:themeColor="text1"/>
          <w:sz w:val="32"/>
          <w:u w:val="single"/>
        </w:rPr>
      </w:pPr>
      <w:r>
        <w:rPr>
          <w:rFonts w:hint="eastAsia" w:ascii="宋体" w:hAnsi="宋体"/>
          <w:b/>
          <w:color w:val="000000" w:themeColor="text1"/>
          <w:sz w:val="32"/>
        </w:rPr>
        <w:t>日期：</w:t>
      </w:r>
    </w:p>
    <w:p>
      <w:pPr>
        <w:adjustRightInd w:val="0"/>
        <w:snapToGrid w:val="0"/>
        <w:spacing w:line="360" w:lineRule="auto"/>
        <w:ind w:firstLine="1680"/>
        <w:rPr>
          <w:rFonts w:ascii="宋体" w:hAnsi="宋体"/>
          <w:b/>
          <w:color w:val="000000" w:themeColor="text1"/>
          <w:sz w:val="32"/>
          <w:u w:val="single"/>
        </w:rPr>
      </w:pPr>
    </w:p>
    <w:p>
      <w:pPr>
        <w:rPr>
          <w:color w:val="000000" w:themeColor="text1"/>
        </w:rPr>
      </w:pPr>
      <w:bookmarkStart w:id="1104" w:name="_Toc273437374"/>
      <w:r>
        <w:rPr>
          <w:color w:val="000000" w:themeColor="text1"/>
        </w:rPr>
        <w:br w:type="page"/>
      </w:r>
    </w:p>
    <w:p>
      <w:pPr>
        <w:rPr>
          <w:b/>
          <w:color w:val="000000" w:themeColor="text1"/>
        </w:rPr>
      </w:pPr>
      <w:r>
        <w:rPr>
          <w:rFonts w:hint="eastAsia" w:ascii="宋体"/>
          <w:b/>
          <w:color w:val="000000" w:themeColor="text1"/>
          <w:szCs w:val="21"/>
        </w:rPr>
        <w:t>（一</w:t>
      </w:r>
      <w:r>
        <w:rPr>
          <w:rFonts w:ascii="宋体"/>
          <w:b/>
          <w:color w:val="000000" w:themeColor="text1"/>
          <w:szCs w:val="21"/>
        </w:rPr>
        <w:t>）</w:t>
      </w:r>
      <w:r>
        <w:rPr>
          <w:rFonts w:hint="eastAsia"/>
          <w:b/>
          <w:color w:val="000000" w:themeColor="text1"/>
        </w:rPr>
        <w:t>法定代表人身份证明</w:t>
      </w:r>
    </w:p>
    <w:p>
      <w:pPr>
        <w:spacing w:before="312" w:beforeLines="100" w:after="156" w:afterLines="50" w:line="360" w:lineRule="auto"/>
        <w:jc w:val="center"/>
        <w:rPr>
          <w:rFonts w:ascii="黑体" w:hAnsi="宋体" w:eastAsia="黑体"/>
          <w:color w:val="000000" w:themeColor="text1"/>
        </w:rPr>
      </w:pPr>
      <w:r>
        <w:rPr>
          <w:rFonts w:hint="eastAsia" w:ascii="黑体" w:hAnsi="宋体" w:eastAsia="黑体"/>
          <w:color w:val="000000" w:themeColor="text1"/>
        </w:rPr>
        <w:t>法定代表人身份证明</w:t>
      </w:r>
    </w:p>
    <w:p>
      <w:pPr>
        <w:spacing w:line="360" w:lineRule="auto"/>
        <w:rPr>
          <w:rFonts w:ascii="黑体" w:hAnsi="宋体" w:eastAsia="黑体"/>
          <w:color w:val="000000" w:themeColor="text1"/>
          <w:szCs w:val="21"/>
          <w:u w:val="single"/>
        </w:rPr>
      </w:pPr>
      <w:r>
        <w:rPr>
          <w:rFonts w:hint="eastAsia" w:ascii="黑体" w:hAnsi="宋体" w:eastAsia="黑体"/>
          <w:color w:val="000000" w:themeColor="text1"/>
          <w:szCs w:val="21"/>
        </w:rPr>
        <w:t>投 标 人：</w:t>
      </w:r>
    </w:p>
    <w:p>
      <w:pPr>
        <w:spacing w:line="360" w:lineRule="auto"/>
        <w:rPr>
          <w:rFonts w:ascii="黑体" w:hAnsi="宋体" w:eastAsia="黑体"/>
          <w:color w:val="000000" w:themeColor="text1"/>
          <w:szCs w:val="21"/>
        </w:rPr>
      </w:pPr>
      <w:r>
        <w:rPr>
          <w:rFonts w:hint="eastAsia" w:ascii="黑体" w:hAnsi="宋体" w:eastAsia="黑体"/>
          <w:color w:val="000000" w:themeColor="text1"/>
          <w:szCs w:val="21"/>
        </w:rPr>
        <w:t>单位性质：</w:t>
      </w:r>
    </w:p>
    <w:p>
      <w:pPr>
        <w:spacing w:line="360" w:lineRule="auto"/>
        <w:rPr>
          <w:rFonts w:ascii="黑体" w:hAnsi="宋体" w:eastAsia="黑体"/>
          <w:color w:val="000000" w:themeColor="text1"/>
          <w:szCs w:val="21"/>
        </w:rPr>
      </w:pPr>
      <w:r>
        <w:rPr>
          <w:rFonts w:hint="eastAsia" w:ascii="黑体" w:hAnsi="宋体" w:eastAsia="黑体"/>
          <w:color w:val="000000" w:themeColor="text1"/>
          <w:szCs w:val="21"/>
        </w:rPr>
        <w:t>地    址：</w:t>
      </w:r>
    </w:p>
    <w:p>
      <w:pPr>
        <w:spacing w:line="360" w:lineRule="auto"/>
        <w:rPr>
          <w:rFonts w:ascii="宋体" w:hAnsi="宋体"/>
          <w:color w:val="000000" w:themeColor="text1"/>
          <w:szCs w:val="21"/>
        </w:rPr>
      </w:pPr>
      <w:r>
        <w:rPr>
          <w:rFonts w:hint="eastAsia" w:ascii="黑体" w:hAnsi="宋体" w:eastAsia="黑体"/>
          <w:color w:val="000000" w:themeColor="text1"/>
          <w:szCs w:val="21"/>
        </w:rPr>
        <w:t>成立时间：</w:t>
      </w:r>
      <w:r>
        <w:rPr>
          <w:rFonts w:hint="eastAsia" w:ascii="宋体" w:hAnsi="宋体"/>
          <w:color w:val="000000" w:themeColor="text1"/>
          <w:szCs w:val="21"/>
        </w:rPr>
        <w:t>年月日</w:t>
      </w:r>
    </w:p>
    <w:p>
      <w:pPr>
        <w:spacing w:line="360" w:lineRule="auto"/>
        <w:rPr>
          <w:rFonts w:ascii="黑体" w:hAnsi="宋体" w:eastAsia="黑体"/>
          <w:color w:val="000000" w:themeColor="text1"/>
          <w:szCs w:val="21"/>
          <w:u w:val="single"/>
        </w:rPr>
      </w:pPr>
      <w:r>
        <w:rPr>
          <w:rFonts w:hint="eastAsia" w:ascii="黑体" w:hAnsi="宋体" w:eastAsia="黑体"/>
          <w:color w:val="000000" w:themeColor="text1"/>
          <w:szCs w:val="21"/>
        </w:rPr>
        <w:t>经营期限：</w:t>
      </w:r>
    </w:p>
    <w:p>
      <w:pPr>
        <w:spacing w:line="360" w:lineRule="auto"/>
        <w:rPr>
          <w:rFonts w:ascii="黑体" w:hAnsi="宋体" w:eastAsia="黑体"/>
          <w:color w:val="000000" w:themeColor="text1"/>
          <w:szCs w:val="21"/>
        </w:rPr>
      </w:pPr>
      <w:r>
        <w:rPr>
          <w:rFonts w:hint="eastAsia" w:ascii="黑体" w:hAnsi="宋体" w:eastAsia="黑体"/>
          <w:color w:val="000000" w:themeColor="text1"/>
          <w:szCs w:val="21"/>
        </w:rPr>
        <w:t>姓    名：性        别：</w:t>
      </w:r>
    </w:p>
    <w:p>
      <w:pPr>
        <w:spacing w:line="360" w:lineRule="auto"/>
        <w:rPr>
          <w:rFonts w:ascii="黑体" w:hAnsi="宋体" w:eastAsia="黑体"/>
          <w:color w:val="000000" w:themeColor="text1"/>
          <w:szCs w:val="21"/>
        </w:rPr>
      </w:pPr>
      <w:r>
        <w:rPr>
          <w:rFonts w:hint="eastAsia" w:ascii="黑体" w:hAnsi="宋体" w:eastAsia="黑体"/>
          <w:color w:val="000000" w:themeColor="text1"/>
          <w:szCs w:val="21"/>
        </w:rPr>
        <w:t>年    龄：职        务：</w:t>
      </w:r>
    </w:p>
    <w:p>
      <w:pPr>
        <w:spacing w:line="360" w:lineRule="auto"/>
        <w:rPr>
          <w:rFonts w:ascii="宋体" w:hAnsi="宋体"/>
          <w:color w:val="000000" w:themeColor="text1"/>
          <w:szCs w:val="21"/>
        </w:rPr>
      </w:pPr>
      <w:r>
        <w:rPr>
          <w:rFonts w:hint="eastAsia" w:ascii="宋体" w:hAnsi="宋体"/>
          <w:color w:val="000000" w:themeColor="text1"/>
          <w:szCs w:val="21"/>
        </w:rPr>
        <w:t>系(投标人名称)的法定代表人。</w:t>
      </w:r>
    </w:p>
    <w:p>
      <w:pPr>
        <w:spacing w:line="360" w:lineRule="auto"/>
        <w:rPr>
          <w:rFonts w:ascii="宋体" w:hAnsi="宋体"/>
          <w:color w:val="000000" w:themeColor="text1"/>
          <w:szCs w:val="21"/>
        </w:rPr>
      </w:pPr>
      <w:r>
        <w:rPr>
          <w:rFonts w:hint="eastAsia" w:ascii="宋体" w:hAnsi="宋体"/>
          <w:color w:val="000000" w:themeColor="text1"/>
          <w:szCs w:val="21"/>
        </w:rPr>
        <w:t>特此证明。</w:t>
      </w:r>
    </w:p>
    <w:p>
      <w:pPr>
        <w:spacing w:line="360" w:lineRule="auto"/>
        <w:rPr>
          <w:rFonts w:ascii="宋体" w:hAnsi="宋体"/>
          <w:color w:val="000000" w:themeColor="text1"/>
          <w:szCs w:val="21"/>
        </w:rPr>
      </w:pPr>
    </w:p>
    <w:p>
      <w:pPr>
        <w:spacing w:line="360" w:lineRule="auto"/>
        <w:rPr>
          <w:rFonts w:ascii="宋体" w:hAnsi="宋体"/>
          <w:color w:val="000000" w:themeColor="text1"/>
          <w:szCs w:val="21"/>
        </w:rPr>
      </w:pPr>
    </w:p>
    <w:p>
      <w:pPr>
        <w:spacing w:line="360" w:lineRule="auto"/>
        <w:jc w:val="right"/>
        <w:rPr>
          <w:rFonts w:ascii="宋体" w:hAnsi="宋体"/>
          <w:color w:val="000000" w:themeColor="text1"/>
          <w:szCs w:val="21"/>
        </w:rPr>
      </w:pPr>
      <w:r>
        <w:rPr>
          <w:rFonts w:hint="eastAsia" w:ascii="黑体" w:hAnsi="宋体" w:eastAsia="黑体"/>
          <w:color w:val="000000" w:themeColor="text1"/>
          <w:szCs w:val="21"/>
        </w:rPr>
        <w:t>投标人：</w:t>
      </w:r>
      <w:r>
        <w:rPr>
          <w:rFonts w:hint="eastAsia" w:ascii="宋体" w:hAnsi="宋体"/>
          <w:color w:val="000000" w:themeColor="text1"/>
          <w:szCs w:val="21"/>
        </w:rPr>
        <w:t>(单位电子签章)</w:t>
      </w:r>
    </w:p>
    <w:p>
      <w:pPr>
        <w:spacing w:line="360" w:lineRule="auto"/>
        <w:ind w:right="420" w:firstLine="5040" w:firstLineChars="2400"/>
        <w:jc w:val="right"/>
        <w:rPr>
          <w:rFonts w:ascii="宋体" w:hAnsi="宋体"/>
          <w:color w:val="000000" w:themeColor="text1"/>
          <w:szCs w:val="21"/>
        </w:rPr>
      </w:pPr>
      <w:r>
        <w:rPr>
          <w:rFonts w:hint="eastAsia" w:ascii="宋体" w:hAnsi="宋体"/>
          <w:color w:val="000000" w:themeColor="text1"/>
          <w:szCs w:val="21"/>
        </w:rPr>
        <w:t xml:space="preserve">年月日          </w:t>
      </w:r>
    </w:p>
    <w:p>
      <w:pPr>
        <w:rPr>
          <w:b/>
          <w:color w:val="000000" w:themeColor="text1"/>
        </w:rPr>
      </w:pPr>
      <w:r>
        <w:rPr>
          <w:rFonts w:ascii="宋体"/>
          <w:color w:val="000000" w:themeColor="text1"/>
          <w:szCs w:val="21"/>
        </w:rPr>
        <w:br w:type="page"/>
      </w:r>
      <w:bookmarkStart w:id="1105" w:name="_Toc276021111"/>
      <w:r>
        <w:rPr>
          <w:rFonts w:hint="eastAsia" w:ascii="宋体"/>
          <w:b/>
          <w:color w:val="000000" w:themeColor="text1"/>
          <w:szCs w:val="21"/>
        </w:rPr>
        <w:t>(</w:t>
      </w:r>
      <w:r>
        <w:rPr>
          <w:rFonts w:hint="eastAsia"/>
          <w:b/>
          <w:color w:val="000000" w:themeColor="text1"/>
        </w:rPr>
        <w:t>二)授权委托书</w:t>
      </w:r>
      <w:bookmarkEnd w:id="1105"/>
    </w:p>
    <w:p>
      <w:pPr>
        <w:spacing w:before="312" w:beforeLines="100" w:after="156" w:afterLines="50" w:line="360" w:lineRule="auto"/>
        <w:jc w:val="center"/>
        <w:rPr>
          <w:rFonts w:ascii="黑体" w:hAnsi="宋体" w:eastAsia="黑体"/>
          <w:color w:val="000000" w:themeColor="text1"/>
        </w:rPr>
      </w:pPr>
      <w:r>
        <w:rPr>
          <w:rFonts w:hint="eastAsia" w:ascii="黑体" w:hAnsi="宋体" w:eastAsia="黑体"/>
          <w:color w:val="000000" w:themeColor="text1"/>
        </w:rPr>
        <w:t>授权委托书</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本人</w:t>
      </w:r>
      <w:r>
        <w:rPr>
          <w:rFonts w:hint="eastAsia" w:ascii="宋体" w:hAnsi="宋体"/>
          <w:color w:val="000000" w:themeColor="text1"/>
          <w:szCs w:val="21"/>
          <w:u w:val="single"/>
        </w:rPr>
        <w:t>(</w:t>
      </w:r>
      <w:r>
        <w:rPr>
          <w:rFonts w:hint="eastAsia" w:ascii="宋体" w:hAnsi="宋体"/>
          <w:color w:val="000000" w:themeColor="text1"/>
          <w:szCs w:val="21"/>
        </w:rPr>
        <w:t>姓名)系(投标人名称)的法定代表人，现委托</w:t>
      </w:r>
      <w:r>
        <w:rPr>
          <w:rFonts w:hint="eastAsia" w:ascii="宋体" w:hAnsi="宋体"/>
          <w:color w:val="000000" w:themeColor="text1"/>
          <w:szCs w:val="21"/>
          <w:u w:val="single"/>
        </w:rPr>
        <w:t>(</w:t>
      </w:r>
      <w:r>
        <w:rPr>
          <w:rFonts w:hint="eastAsia" w:ascii="宋体" w:hAnsi="宋体"/>
          <w:color w:val="000000" w:themeColor="text1"/>
          <w:szCs w:val="21"/>
        </w:rPr>
        <w:t>姓名)为我方代理人。代理人根据授权，以我方名义签署、澄清、说明、补正、递交、撤回、修改(项目名称)标段施工投标文件、签订合同和处理有关事宜，其法律后果由我方承担。</w:t>
      </w:r>
    </w:p>
    <w:p>
      <w:pPr>
        <w:spacing w:before="156" w:beforeLines="50" w:line="360" w:lineRule="auto"/>
        <w:ind w:firstLine="420" w:firstLineChars="200"/>
        <w:rPr>
          <w:rFonts w:ascii="宋体" w:hAnsi="宋体"/>
          <w:color w:val="000000" w:themeColor="text1"/>
          <w:szCs w:val="21"/>
          <w:u w:val="single"/>
        </w:rPr>
      </w:pPr>
      <w:r>
        <w:rPr>
          <w:rFonts w:hint="eastAsia" w:ascii="宋体" w:hAnsi="宋体"/>
          <w:color w:val="000000" w:themeColor="text1"/>
          <w:szCs w:val="21"/>
        </w:rPr>
        <w:t>委托期限：</w:t>
      </w:r>
    </w:p>
    <w:p>
      <w:pPr>
        <w:spacing w:before="312" w:beforeLines="100" w:after="312" w:afterLines="100" w:line="360" w:lineRule="auto"/>
        <w:ind w:firstLine="420" w:firstLineChars="200"/>
        <w:rPr>
          <w:rFonts w:ascii="宋体" w:hAnsi="宋体"/>
          <w:color w:val="000000" w:themeColor="text1"/>
          <w:szCs w:val="21"/>
        </w:rPr>
      </w:pPr>
      <w:r>
        <w:rPr>
          <w:rFonts w:hint="eastAsia" w:ascii="宋体" w:hAnsi="宋体"/>
          <w:color w:val="000000" w:themeColor="text1"/>
          <w:szCs w:val="21"/>
        </w:rPr>
        <w:t>代理人无转委托权。</w:t>
      </w:r>
    </w:p>
    <w:p>
      <w:pPr>
        <w:spacing w:after="312" w:afterLines="100" w:line="360" w:lineRule="auto"/>
        <w:ind w:firstLine="420" w:firstLineChars="200"/>
        <w:rPr>
          <w:rFonts w:ascii="宋体" w:hAnsi="宋体"/>
          <w:color w:val="000000" w:themeColor="text1"/>
          <w:szCs w:val="21"/>
        </w:rPr>
      </w:pPr>
      <w:r>
        <w:rPr>
          <w:rFonts w:hint="eastAsia" w:ascii="宋体" w:hAnsi="宋体"/>
          <w:color w:val="000000" w:themeColor="text1"/>
          <w:szCs w:val="21"/>
        </w:rPr>
        <w:t>附：法定代表人身份证明</w:t>
      </w:r>
    </w:p>
    <w:p>
      <w:pPr>
        <w:spacing w:line="360" w:lineRule="auto"/>
        <w:rPr>
          <w:rFonts w:ascii="宋体" w:hAnsi="宋体"/>
          <w:color w:val="000000" w:themeColor="text1"/>
          <w:szCs w:val="21"/>
        </w:rPr>
      </w:pPr>
    </w:p>
    <w:p>
      <w:pPr>
        <w:spacing w:line="360" w:lineRule="auto"/>
        <w:rPr>
          <w:rFonts w:ascii="宋体" w:hAnsi="宋体"/>
          <w:color w:val="000000" w:themeColor="text1"/>
          <w:szCs w:val="21"/>
        </w:rPr>
      </w:pPr>
      <w:r>
        <w:rPr>
          <w:rFonts w:hint="eastAsia" w:ascii="黑体" w:hAnsi="宋体" w:eastAsia="黑体"/>
          <w:color w:val="000000" w:themeColor="text1"/>
          <w:szCs w:val="21"/>
        </w:rPr>
        <w:t>投  标  人：</w:t>
      </w:r>
      <w:r>
        <w:rPr>
          <w:rFonts w:hint="eastAsia" w:ascii="宋体" w:hAnsi="宋体"/>
          <w:color w:val="000000" w:themeColor="text1"/>
          <w:szCs w:val="21"/>
        </w:rPr>
        <w:t>(单位电子签章)</w:t>
      </w:r>
    </w:p>
    <w:p>
      <w:pPr>
        <w:spacing w:line="360" w:lineRule="auto"/>
        <w:ind w:firstLine="3570" w:firstLineChars="1700"/>
        <w:rPr>
          <w:rFonts w:ascii="宋体" w:hAnsi="宋体"/>
          <w:color w:val="000000" w:themeColor="text1"/>
          <w:szCs w:val="21"/>
        </w:rPr>
      </w:pPr>
    </w:p>
    <w:p>
      <w:pPr>
        <w:spacing w:line="360" w:lineRule="auto"/>
        <w:rPr>
          <w:rFonts w:ascii="宋体" w:hAnsi="宋体"/>
          <w:color w:val="000000" w:themeColor="text1"/>
          <w:szCs w:val="21"/>
        </w:rPr>
      </w:pPr>
      <w:r>
        <w:rPr>
          <w:rFonts w:hint="eastAsia" w:ascii="黑体" w:hAnsi="宋体" w:eastAsia="黑体"/>
          <w:color w:val="000000" w:themeColor="text1"/>
          <w:szCs w:val="21"/>
        </w:rPr>
        <w:t>法定代表人：</w:t>
      </w:r>
      <w:r>
        <w:rPr>
          <w:rFonts w:hint="eastAsia" w:ascii="宋体" w:hAnsi="宋体"/>
          <w:color w:val="000000" w:themeColor="text1"/>
          <w:szCs w:val="21"/>
        </w:rPr>
        <w:t>(法定代表人电子签名)</w:t>
      </w:r>
    </w:p>
    <w:p>
      <w:pPr>
        <w:spacing w:line="360" w:lineRule="auto"/>
        <w:ind w:firstLine="3570" w:firstLineChars="1700"/>
        <w:rPr>
          <w:rFonts w:ascii="宋体" w:hAnsi="宋体"/>
          <w:color w:val="000000" w:themeColor="text1"/>
          <w:szCs w:val="21"/>
        </w:rPr>
      </w:pPr>
    </w:p>
    <w:p>
      <w:pPr>
        <w:spacing w:line="360" w:lineRule="auto"/>
        <w:rPr>
          <w:rFonts w:ascii="黑体" w:hAnsi="宋体" w:eastAsia="黑体"/>
          <w:color w:val="000000" w:themeColor="text1"/>
          <w:szCs w:val="21"/>
          <w:u w:val="single"/>
        </w:rPr>
      </w:pPr>
      <w:r>
        <w:rPr>
          <w:rFonts w:hint="eastAsia" w:ascii="黑体" w:hAnsi="宋体" w:eastAsia="黑体"/>
          <w:color w:val="000000" w:themeColor="text1"/>
          <w:szCs w:val="21"/>
        </w:rPr>
        <w:t>身份证号码：</w:t>
      </w:r>
    </w:p>
    <w:p>
      <w:pPr>
        <w:spacing w:line="360" w:lineRule="auto"/>
        <w:ind w:firstLine="3570" w:firstLineChars="1700"/>
        <w:rPr>
          <w:rFonts w:ascii="黑体" w:hAnsi="宋体" w:eastAsia="黑体"/>
          <w:color w:val="000000" w:themeColor="text1"/>
          <w:szCs w:val="21"/>
          <w:u w:val="single"/>
        </w:rPr>
      </w:pPr>
    </w:p>
    <w:p>
      <w:pPr>
        <w:spacing w:line="360" w:lineRule="auto"/>
        <w:rPr>
          <w:rFonts w:ascii="宋体" w:hAnsi="宋体"/>
          <w:color w:val="000000" w:themeColor="text1"/>
          <w:szCs w:val="21"/>
        </w:rPr>
      </w:pPr>
      <w:r>
        <w:rPr>
          <w:rFonts w:hint="eastAsia" w:ascii="黑体" w:hAnsi="宋体" w:eastAsia="黑体"/>
          <w:color w:val="000000" w:themeColor="text1"/>
          <w:szCs w:val="21"/>
        </w:rPr>
        <w:t>委托代理人：</w:t>
      </w:r>
    </w:p>
    <w:p>
      <w:pPr>
        <w:spacing w:line="360" w:lineRule="auto"/>
        <w:ind w:firstLine="3570" w:firstLineChars="1700"/>
        <w:rPr>
          <w:rFonts w:ascii="宋体" w:hAnsi="宋体"/>
          <w:color w:val="000000" w:themeColor="text1"/>
          <w:szCs w:val="21"/>
        </w:rPr>
      </w:pPr>
    </w:p>
    <w:p>
      <w:pPr>
        <w:spacing w:line="360" w:lineRule="auto"/>
        <w:rPr>
          <w:rFonts w:ascii="黑体" w:hAnsi="宋体" w:eastAsia="黑体"/>
          <w:color w:val="000000" w:themeColor="text1"/>
          <w:szCs w:val="21"/>
          <w:u w:val="single"/>
        </w:rPr>
      </w:pPr>
      <w:r>
        <w:rPr>
          <w:rFonts w:hint="eastAsia" w:ascii="黑体" w:hAnsi="宋体" w:eastAsia="黑体"/>
          <w:color w:val="000000" w:themeColor="text1"/>
          <w:szCs w:val="21"/>
        </w:rPr>
        <w:t>身份证号码：</w:t>
      </w:r>
    </w:p>
    <w:p>
      <w:pPr>
        <w:spacing w:line="360" w:lineRule="auto"/>
        <w:ind w:firstLine="3570" w:firstLineChars="1700"/>
        <w:rPr>
          <w:rFonts w:ascii="黑体" w:hAnsi="宋体" w:eastAsia="黑体"/>
          <w:color w:val="000000" w:themeColor="text1"/>
          <w:szCs w:val="21"/>
        </w:rPr>
      </w:pPr>
    </w:p>
    <w:p>
      <w:pPr>
        <w:spacing w:line="360" w:lineRule="auto"/>
        <w:ind w:firstLine="4830" w:firstLineChars="2300"/>
        <w:rPr>
          <w:rFonts w:ascii="宋体" w:hAnsi="宋体"/>
          <w:color w:val="000000" w:themeColor="text1"/>
          <w:szCs w:val="21"/>
        </w:rPr>
      </w:pPr>
      <w:r>
        <w:rPr>
          <w:rFonts w:hint="eastAsia" w:ascii="宋体" w:hAnsi="宋体"/>
          <w:color w:val="000000" w:themeColor="text1"/>
          <w:szCs w:val="21"/>
        </w:rPr>
        <w:t>年月日</w:t>
      </w:r>
    </w:p>
    <w:p>
      <w:pPr>
        <w:rPr>
          <w:color w:val="000000" w:themeColor="text1"/>
        </w:rPr>
      </w:pPr>
      <w:bookmarkStart w:id="1106" w:name="_Toc13488"/>
      <w:bookmarkStart w:id="1107" w:name="_Toc381360543"/>
      <w:bookmarkStart w:id="1108" w:name="_Toc32355"/>
      <w:r>
        <w:rPr>
          <w:color w:val="000000" w:themeColor="text1"/>
        </w:rPr>
        <w:br w:type="page"/>
      </w:r>
    </w:p>
    <w:p>
      <w:pPr>
        <w:rPr>
          <w:rFonts w:ascii="宋体"/>
          <w:b/>
          <w:color w:val="000000" w:themeColor="text1"/>
          <w:szCs w:val="21"/>
        </w:rPr>
      </w:pPr>
      <w:r>
        <w:rPr>
          <w:rFonts w:hint="eastAsia" w:ascii="宋体"/>
          <w:b/>
          <w:color w:val="000000" w:themeColor="text1"/>
          <w:szCs w:val="21"/>
        </w:rPr>
        <w:t>（</w:t>
      </w:r>
      <w:r>
        <w:rPr>
          <w:rFonts w:hint="eastAsia" w:ascii="宋体"/>
          <w:b/>
          <w:color w:val="000000" w:themeColor="text1"/>
          <w:szCs w:val="21"/>
          <w:lang w:val="en-US" w:eastAsia="zh-CN"/>
        </w:rPr>
        <w:t>三</w:t>
      </w:r>
      <w:r>
        <w:rPr>
          <w:rFonts w:ascii="宋体"/>
          <w:b/>
          <w:color w:val="000000" w:themeColor="text1"/>
          <w:szCs w:val="21"/>
        </w:rPr>
        <w:t>）</w:t>
      </w:r>
      <w:r>
        <w:rPr>
          <w:rFonts w:hint="eastAsia" w:ascii="宋体"/>
          <w:b/>
          <w:color w:val="000000" w:themeColor="text1"/>
          <w:szCs w:val="21"/>
        </w:rPr>
        <w:t>投标保证金</w:t>
      </w:r>
      <w:bookmarkEnd w:id="1106"/>
      <w:bookmarkEnd w:id="1107"/>
      <w:bookmarkEnd w:id="1108"/>
      <w:r>
        <w:rPr>
          <w:rFonts w:hint="eastAsia" w:ascii="宋体"/>
          <w:b/>
          <w:color w:val="000000" w:themeColor="text1"/>
          <w:szCs w:val="21"/>
        </w:rPr>
        <w:t>交</w:t>
      </w:r>
      <w:r>
        <w:rPr>
          <w:rFonts w:ascii="宋体"/>
          <w:b/>
          <w:color w:val="000000" w:themeColor="text1"/>
          <w:szCs w:val="21"/>
        </w:rPr>
        <w:t>付证明</w:t>
      </w:r>
    </w:p>
    <w:p>
      <w:pPr>
        <w:rPr>
          <w:rFonts w:asciiTheme="minorEastAsia" w:hAnsiTheme="minorEastAsia" w:eastAsiaTheme="minorEastAsia"/>
          <w:b/>
          <w:color w:val="FF0000"/>
          <w:szCs w:val="21"/>
        </w:rPr>
      </w:pPr>
      <w:r>
        <w:rPr>
          <w:rFonts w:hint="eastAsia" w:asciiTheme="minorEastAsia" w:hAnsiTheme="minorEastAsia" w:eastAsiaTheme="minorEastAsia"/>
          <w:b/>
          <w:color w:val="FF0000"/>
          <w:szCs w:val="21"/>
          <w:highlight w:val="yellow"/>
        </w:rPr>
        <w:t>附：请附银行转账凭证扫描件，或电子保函截图，或银行保函扫描件或截图，或</w:t>
      </w:r>
      <w:r>
        <w:rPr>
          <w:rFonts w:hint="eastAsia" w:asciiTheme="minorEastAsia" w:hAnsiTheme="minorEastAsia" w:eastAsiaTheme="minorEastAsia"/>
          <w:b/>
          <w:bCs/>
          <w:color w:val="FF0000"/>
          <w:szCs w:val="21"/>
          <w:highlight w:val="yellow"/>
        </w:rPr>
        <w:t>投标承诺函</w:t>
      </w:r>
      <w:r>
        <w:rPr>
          <w:rFonts w:hint="eastAsia" w:asciiTheme="minorEastAsia" w:hAnsiTheme="minorEastAsia" w:eastAsiaTheme="minorEastAsia"/>
          <w:b/>
          <w:color w:val="FF0000"/>
          <w:szCs w:val="21"/>
          <w:highlight w:val="yellow"/>
        </w:rPr>
        <w:t>。</w:t>
      </w:r>
    </w:p>
    <w:p>
      <w:pPr>
        <w:rPr>
          <w:rFonts w:ascii="宋体" w:hAnsi="宋体"/>
          <w:bCs/>
          <w:color w:val="000000" w:themeColor="text1"/>
          <w:sz w:val="24"/>
          <w:szCs w:val="22"/>
        </w:rPr>
      </w:pPr>
    </w:p>
    <w:p>
      <w:pPr>
        <w:rPr>
          <w:color w:val="000000" w:themeColor="text1"/>
        </w:rPr>
      </w:pPr>
      <w:r>
        <w:rPr>
          <w:rFonts w:ascii="宋体" w:hAnsi="宋体"/>
          <w:bCs/>
          <w:color w:val="000000" w:themeColor="text1"/>
          <w:sz w:val="24"/>
          <w:szCs w:val="22"/>
        </w:rPr>
        <w:br w:type="page"/>
      </w:r>
    </w:p>
    <w:p>
      <w:pPr>
        <w:rPr>
          <w:rFonts w:ascii="宋体"/>
          <w:b/>
          <w:color w:val="000000" w:themeColor="text1"/>
          <w:szCs w:val="21"/>
        </w:rPr>
      </w:pPr>
      <w:r>
        <w:rPr>
          <w:rFonts w:hint="eastAsia" w:ascii="宋体"/>
          <w:b/>
          <w:color w:val="000000" w:themeColor="text1"/>
          <w:szCs w:val="21"/>
        </w:rPr>
        <w:t xml:space="preserve"> (</w:t>
      </w:r>
      <w:r>
        <w:rPr>
          <w:rFonts w:hint="eastAsia" w:ascii="宋体"/>
          <w:b/>
          <w:color w:val="000000" w:themeColor="text1"/>
          <w:szCs w:val="21"/>
          <w:lang w:val="en-US" w:eastAsia="zh-CN"/>
        </w:rPr>
        <w:t>四</w:t>
      </w:r>
      <w:r>
        <w:rPr>
          <w:rFonts w:hint="eastAsia" w:ascii="宋体"/>
          <w:b/>
          <w:color w:val="000000" w:themeColor="text1"/>
          <w:szCs w:val="21"/>
        </w:rPr>
        <w:t>)投标人基本情况表</w:t>
      </w:r>
      <w:bookmarkEnd w:id="1104"/>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897"/>
        <w:gridCol w:w="1021"/>
        <w:gridCol w:w="993"/>
        <w:gridCol w:w="283"/>
        <w:gridCol w:w="195"/>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投标人名称</w:t>
            </w:r>
          </w:p>
        </w:tc>
        <w:tc>
          <w:tcPr>
            <w:tcW w:w="7020" w:type="dxa"/>
            <w:gridSpan w:val="9"/>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注册地址</w:t>
            </w:r>
          </w:p>
        </w:tc>
        <w:tc>
          <w:tcPr>
            <w:tcW w:w="3389" w:type="dxa"/>
            <w:gridSpan w:val="5"/>
            <w:vAlign w:val="center"/>
          </w:tcPr>
          <w:p>
            <w:pPr>
              <w:spacing w:line="360" w:lineRule="auto"/>
              <w:jc w:val="center"/>
              <w:rPr>
                <w:rFonts w:ascii="宋体" w:hAnsi="宋体"/>
                <w:color w:val="000000" w:themeColor="text1"/>
                <w:szCs w:val="21"/>
              </w:rPr>
            </w:pPr>
          </w:p>
        </w:tc>
        <w:tc>
          <w:tcPr>
            <w:tcW w:w="1246"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邮政编码</w:t>
            </w:r>
          </w:p>
        </w:tc>
        <w:tc>
          <w:tcPr>
            <w:tcW w:w="2385" w:type="dxa"/>
            <w:gridSpan w:val="3"/>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restart"/>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联系方式</w:t>
            </w:r>
          </w:p>
        </w:tc>
        <w:tc>
          <w:tcPr>
            <w:tcW w:w="897"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联系人</w:t>
            </w:r>
          </w:p>
        </w:tc>
        <w:tc>
          <w:tcPr>
            <w:tcW w:w="2492" w:type="dxa"/>
            <w:gridSpan w:val="4"/>
            <w:vAlign w:val="center"/>
          </w:tcPr>
          <w:p>
            <w:pPr>
              <w:spacing w:line="360" w:lineRule="auto"/>
              <w:jc w:val="center"/>
              <w:rPr>
                <w:rFonts w:ascii="宋体" w:hAnsi="宋体"/>
                <w:color w:val="000000" w:themeColor="text1"/>
                <w:szCs w:val="21"/>
              </w:rPr>
            </w:pPr>
          </w:p>
        </w:tc>
        <w:tc>
          <w:tcPr>
            <w:tcW w:w="1246"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电  话</w:t>
            </w:r>
          </w:p>
        </w:tc>
        <w:tc>
          <w:tcPr>
            <w:tcW w:w="2385" w:type="dxa"/>
            <w:gridSpan w:val="3"/>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Merge w:val="continue"/>
            <w:vAlign w:val="center"/>
          </w:tcPr>
          <w:p>
            <w:pPr>
              <w:spacing w:line="360" w:lineRule="auto"/>
              <w:jc w:val="center"/>
              <w:rPr>
                <w:rFonts w:ascii="宋体" w:hAnsi="宋体"/>
                <w:color w:val="000000" w:themeColor="text1"/>
                <w:szCs w:val="21"/>
              </w:rPr>
            </w:pPr>
          </w:p>
        </w:tc>
        <w:tc>
          <w:tcPr>
            <w:tcW w:w="897"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传  真</w:t>
            </w:r>
          </w:p>
        </w:tc>
        <w:tc>
          <w:tcPr>
            <w:tcW w:w="2492" w:type="dxa"/>
            <w:gridSpan w:val="4"/>
            <w:vAlign w:val="center"/>
          </w:tcPr>
          <w:p>
            <w:pPr>
              <w:spacing w:line="360" w:lineRule="auto"/>
              <w:jc w:val="center"/>
              <w:rPr>
                <w:rFonts w:ascii="宋体" w:hAnsi="宋体"/>
                <w:color w:val="000000" w:themeColor="text1"/>
                <w:szCs w:val="21"/>
              </w:rPr>
            </w:pPr>
          </w:p>
        </w:tc>
        <w:tc>
          <w:tcPr>
            <w:tcW w:w="1246"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网  址</w:t>
            </w:r>
          </w:p>
        </w:tc>
        <w:tc>
          <w:tcPr>
            <w:tcW w:w="2385" w:type="dxa"/>
            <w:gridSpan w:val="3"/>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组织结构</w:t>
            </w:r>
          </w:p>
        </w:tc>
        <w:tc>
          <w:tcPr>
            <w:tcW w:w="7020" w:type="dxa"/>
            <w:gridSpan w:val="9"/>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法定代表人</w:t>
            </w:r>
          </w:p>
        </w:tc>
        <w:tc>
          <w:tcPr>
            <w:tcW w:w="897"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姓名</w:t>
            </w:r>
          </w:p>
        </w:tc>
        <w:tc>
          <w:tcPr>
            <w:tcW w:w="1021" w:type="dxa"/>
            <w:vAlign w:val="center"/>
          </w:tcPr>
          <w:p>
            <w:pPr>
              <w:spacing w:line="360" w:lineRule="auto"/>
              <w:jc w:val="center"/>
              <w:rPr>
                <w:rFonts w:ascii="宋体" w:hAnsi="宋体"/>
                <w:color w:val="000000" w:themeColor="text1"/>
                <w:szCs w:val="21"/>
              </w:rPr>
            </w:pPr>
          </w:p>
        </w:tc>
        <w:tc>
          <w:tcPr>
            <w:tcW w:w="1276" w:type="dxa"/>
            <w:gridSpan w:val="2"/>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技术职称</w:t>
            </w:r>
          </w:p>
        </w:tc>
        <w:tc>
          <w:tcPr>
            <w:tcW w:w="1701" w:type="dxa"/>
            <w:gridSpan w:val="3"/>
            <w:vAlign w:val="center"/>
          </w:tcPr>
          <w:p>
            <w:pPr>
              <w:spacing w:line="360" w:lineRule="auto"/>
              <w:jc w:val="center"/>
              <w:rPr>
                <w:rFonts w:ascii="宋体" w:hAnsi="宋体"/>
                <w:color w:val="000000" w:themeColor="text1"/>
                <w:szCs w:val="21"/>
              </w:rPr>
            </w:pPr>
          </w:p>
        </w:tc>
        <w:tc>
          <w:tcPr>
            <w:tcW w:w="709"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电话</w:t>
            </w:r>
          </w:p>
        </w:tc>
        <w:tc>
          <w:tcPr>
            <w:tcW w:w="1416"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技术负责人</w:t>
            </w:r>
          </w:p>
        </w:tc>
        <w:tc>
          <w:tcPr>
            <w:tcW w:w="897"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姓名</w:t>
            </w:r>
          </w:p>
        </w:tc>
        <w:tc>
          <w:tcPr>
            <w:tcW w:w="1021" w:type="dxa"/>
            <w:vAlign w:val="center"/>
          </w:tcPr>
          <w:p>
            <w:pPr>
              <w:spacing w:line="360" w:lineRule="auto"/>
              <w:jc w:val="center"/>
              <w:rPr>
                <w:rFonts w:ascii="宋体" w:hAnsi="宋体"/>
                <w:color w:val="000000" w:themeColor="text1"/>
                <w:szCs w:val="21"/>
              </w:rPr>
            </w:pPr>
          </w:p>
        </w:tc>
        <w:tc>
          <w:tcPr>
            <w:tcW w:w="1276" w:type="dxa"/>
            <w:gridSpan w:val="2"/>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技术职称</w:t>
            </w:r>
          </w:p>
        </w:tc>
        <w:tc>
          <w:tcPr>
            <w:tcW w:w="1701" w:type="dxa"/>
            <w:gridSpan w:val="3"/>
            <w:vAlign w:val="center"/>
          </w:tcPr>
          <w:p>
            <w:pPr>
              <w:spacing w:line="360" w:lineRule="auto"/>
              <w:jc w:val="center"/>
              <w:rPr>
                <w:rFonts w:ascii="宋体" w:hAnsi="宋体"/>
                <w:color w:val="000000" w:themeColor="text1"/>
                <w:szCs w:val="21"/>
              </w:rPr>
            </w:pPr>
          </w:p>
        </w:tc>
        <w:tc>
          <w:tcPr>
            <w:tcW w:w="709"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电话</w:t>
            </w:r>
          </w:p>
        </w:tc>
        <w:tc>
          <w:tcPr>
            <w:tcW w:w="1416"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成立时间</w:t>
            </w:r>
          </w:p>
        </w:tc>
        <w:tc>
          <w:tcPr>
            <w:tcW w:w="1918" w:type="dxa"/>
            <w:gridSpan w:val="2"/>
            <w:vAlign w:val="center"/>
          </w:tcPr>
          <w:p>
            <w:pPr>
              <w:spacing w:line="360" w:lineRule="auto"/>
              <w:jc w:val="center"/>
              <w:rPr>
                <w:rFonts w:ascii="宋体" w:hAnsi="宋体"/>
                <w:color w:val="000000" w:themeColor="text1"/>
                <w:szCs w:val="21"/>
              </w:rPr>
            </w:pPr>
          </w:p>
        </w:tc>
        <w:tc>
          <w:tcPr>
            <w:tcW w:w="5102" w:type="dxa"/>
            <w:gridSpan w:val="7"/>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企业资质等级</w:t>
            </w:r>
          </w:p>
        </w:tc>
        <w:tc>
          <w:tcPr>
            <w:tcW w:w="897" w:type="dxa"/>
            <w:vAlign w:val="center"/>
          </w:tcPr>
          <w:p>
            <w:pPr>
              <w:spacing w:line="360" w:lineRule="auto"/>
              <w:jc w:val="center"/>
              <w:rPr>
                <w:rFonts w:ascii="宋体" w:hAnsi="宋体"/>
                <w:color w:val="000000" w:themeColor="text1"/>
                <w:szCs w:val="21"/>
              </w:rPr>
            </w:pPr>
          </w:p>
        </w:tc>
        <w:tc>
          <w:tcPr>
            <w:tcW w:w="1021" w:type="dxa"/>
            <w:vAlign w:val="center"/>
          </w:tcPr>
          <w:p>
            <w:pPr>
              <w:spacing w:line="360" w:lineRule="auto"/>
              <w:jc w:val="center"/>
              <w:rPr>
                <w:rFonts w:ascii="宋体" w:hAnsi="宋体"/>
                <w:color w:val="000000" w:themeColor="text1"/>
                <w:szCs w:val="21"/>
              </w:rPr>
            </w:pPr>
          </w:p>
        </w:tc>
        <w:tc>
          <w:tcPr>
            <w:tcW w:w="993" w:type="dxa"/>
            <w:vMerge w:val="restart"/>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其中</w:t>
            </w:r>
          </w:p>
        </w:tc>
        <w:tc>
          <w:tcPr>
            <w:tcW w:w="1984" w:type="dxa"/>
            <w:gridSpan w:val="4"/>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项目经理</w:t>
            </w:r>
          </w:p>
        </w:tc>
        <w:tc>
          <w:tcPr>
            <w:tcW w:w="2125" w:type="dxa"/>
            <w:gridSpan w:val="2"/>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营业执照号</w:t>
            </w:r>
          </w:p>
        </w:tc>
        <w:tc>
          <w:tcPr>
            <w:tcW w:w="897" w:type="dxa"/>
            <w:vAlign w:val="center"/>
          </w:tcPr>
          <w:p>
            <w:pPr>
              <w:spacing w:line="360" w:lineRule="auto"/>
              <w:jc w:val="center"/>
              <w:rPr>
                <w:rFonts w:ascii="宋体" w:hAnsi="宋体"/>
                <w:color w:val="000000" w:themeColor="text1"/>
                <w:szCs w:val="21"/>
              </w:rPr>
            </w:pPr>
          </w:p>
        </w:tc>
        <w:tc>
          <w:tcPr>
            <w:tcW w:w="1021" w:type="dxa"/>
            <w:vAlign w:val="center"/>
          </w:tcPr>
          <w:p>
            <w:pPr>
              <w:spacing w:line="360" w:lineRule="auto"/>
              <w:jc w:val="center"/>
              <w:rPr>
                <w:rFonts w:ascii="宋体" w:hAnsi="宋体"/>
                <w:color w:val="000000" w:themeColor="text1"/>
                <w:szCs w:val="21"/>
              </w:rPr>
            </w:pPr>
          </w:p>
        </w:tc>
        <w:tc>
          <w:tcPr>
            <w:tcW w:w="993" w:type="dxa"/>
            <w:vMerge w:val="continue"/>
            <w:vAlign w:val="center"/>
          </w:tcPr>
          <w:p>
            <w:pPr>
              <w:spacing w:line="360" w:lineRule="auto"/>
              <w:jc w:val="center"/>
              <w:rPr>
                <w:rFonts w:ascii="宋体" w:hAnsi="宋体"/>
                <w:color w:val="000000" w:themeColor="text1"/>
                <w:szCs w:val="21"/>
              </w:rPr>
            </w:pPr>
          </w:p>
        </w:tc>
        <w:tc>
          <w:tcPr>
            <w:tcW w:w="1984" w:type="dxa"/>
            <w:gridSpan w:val="4"/>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高级职称人员</w:t>
            </w:r>
          </w:p>
        </w:tc>
        <w:tc>
          <w:tcPr>
            <w:tcW w:w="2125" w:type="dxa"/>
            <w:gridSpan w:val="2"/>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注册资金</w:t>
            </w:r>
          </w:p>
        </w:tc>
        <w:tc>
          <w:tcPr>
            <w:tcW w:w="897" w:type="dxa"/>
            <w:vAlign w:val="center"/>
          </w:tcPr>
          <w:p>
            <w:pPr>
              <w:spacing w:line="360" w:lineRule="auto"/>
              <w:jc w:val="center"/>
              <w:rPr>
                <w:rFonts w:ascii="宋体" w:hAnsi="宋体"/>
                <w:color w:val="000000" w:themeColor="text1"/>
                <w:szCs w:val="21"/>
              </w:rPr>
            </w:pPr>
          </w:p>
        </w:tc>
        <w:tc>
          <w:tcPr>
            <w:tcW w:w="1021" w:type="dxa"/>
            <w:vAlign w:val="center"/>
          </w:tcPr>
          <w:p>
            <w:pPr>
              <w:spacing w:line="360" w:lineRule="auto"/>
              <w:jc w:val="center"/>
              <w:rPr>
                <w:rFonts w:ascii="宋体" w:hAnsi="宋体"/>
                <w:color w:val="000000" w:themeColor="text1"/>
                <w:szCs w:val="21"/>
              </w:rPr>
            </w:pPr>
          </w:p>
        </w:tc>
        <w:tc>
          <w:tcPr>
            <w:tcW w:w="993" w:type="dxa"/>
            <w:vMerge w:val="continue"/>
            <w:vAlign w:val="center"/>
          </w:tcPr>
          <w:p>
            <w:pPr>
              <w:spacing w:line="360" w:lineRule="auto"/>
              <w:jc w:val="center"/>
              <w:rPr>
                <w:rFonts w:ascii="宋体" w:hAnsi="宋体"/>
                <w:color w:val="000000" w:themeColor="text1"/>
                <w:szCs w:val="21"/>
              </w:rPr>
            </w:pPr>
          </w:p>
        </w:tc>
        <w:tc>
          <w:tcPr>
            <w:tcW w:w="1984" w:type="dxa"/>
            <w:gridSpan w:val="4"/>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中级职称人员</w:t>
            </w:r>
          </w:p>
        </w:tc>
        <w:tc>
          <w:tcPr>
            <w:tcW w:w="2125" w:type="dxa"/>
            <w:gridSpan w:val="2"/>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开户银行</w:t>
            </w:r>
          </w:p>
        </w:tc>
        <w:tc>
          <w:tcPr>
            <w:tcW w:w="897" w:type="dxa"/>
            <w:vAlign w:val="center"/>
          </w:tcPr>
          <w:p>
            <w:pPr>
              <w:spacing w:line="360" w:lineRule="auto"/>
              <w:jc w:val="center"/>
              <w:rPr>
                <w:rFonts w:ascii="宋体" w:hAnsi="宋体"/>
                <w:color w:val="000000" w:themeColor="text1"/>
                <w:szCs w:val="21"/>
              </w:rPr>
            </w:pPr>
          </w:p>
        </w:tc>
        <w:tc>
          <w:tcPr>
            <w:tcW w:w="1021" w:type="dxa"/>
            <w:vAlign w:val="center"/>
          </w:tcPr>
          <w:p>
            <w:pPr>
              <w:spacing w:line="360" w:lineRule="auto"/>
              <w:jc w:val="center"/>
              <w:rPr>
                <w:rFonts w:ascii="宋体" w:hAnsi="宋体"/>
                <w:color w:val="000000" w:themeColor="text1"/>
                <w:szCs w:val="21"/>
              </w:rPr>
            </w:pPr>
          </w:p>
        </w:tc>
        <w:tc>
          <w:tcPr>
            <w:tcW w:w="993" w:type="dxa"/>
            <w:vMerge w:val="continue"/>
            <w:vAlign w:val="center"/>
          </w:tcPr>
          <w:p>
            <w:pPr>
              <w:spacing w:line="360" w:lineRule="auto"/>
              <w:jc w:val="center"/>
              <w:rPr>
                <w:rFonts w:ascii="宋体" w:hAnsi="宋体"/>
                <w:color w:val="000000" w:themeColor="text1"/>
                <w:szCs w:val="21"/>
              </w:rPr>
            </w:pPr>
          </w:p>
        </w:tc>
        <w:tc>
          <w:tcPr>
            <w:tcW w:w="1984" w:type="dxa"/>
            <w:gridSpan w:val="4"/>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初级职称人员</w:t>
            </w:r>
          </w:p>
        </w:tc>
        <w:tc>
          <w:tcPr>
            <w:tcW w:w="2125" w:type="dxa"/>
            <w:gridSpan w:val="2"/>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账号</w:t>
            </w:r>
          </w:p>
        </w:tc>
        <w:tc>
          <w:tcPr>
            <w:tcW w:w="897" w:type="dxa"/>
            <w:vAlign w:val="center"/>
          </w:tcPr>
          <w:p>
            <w:pPr>
              <w:spacing w:line="360" w:lineRule="auto"/>
              <w:jc w:val="center"/>
              <w:rPr>
                <w:rFonts w:ascii="宋体" w:hAnsi="宋体"/>
                <w:color w:val="000000" w:themeColor="text1"/>
                <w:szCs w:val="21"/>
              </w:rPr>
            </w:pPr>
          </w:p>
        </w:tc>
        <w:tc>
          <w:tcPr>
            <w:tcW w:w="1021" w:type="dxa"/>
            <w:vAlign w:val="center"/>
          </w:tcPr>
          <w:p>
            <w:pPr>
              <w:spacing w:line="360" w:lineRule="auto"/>
              <w:jc w:val="center"/>
              <w:rPr>
                <w:rFonts w:ascii="宋体" w:hAnsi="宋体"/>
                <w:color w:val="000000" w:themeColor="text1"/>
                <w:szCs w:val="21"/>
              </w:rPr>
            </w:pPr>
          </w:p>
        </w:tc>
        <w:tc>
          <w:tcPr>
            <w:tcW w:w="993" w:type="dxa"/>
            <w:vMerge w:val="continue"/>
            <w:vAlign w:val="center"/>
          </w:tcPr>
          <w:p>
            <w:pPr>
              <w:spacing w:line="360" w:lineRule="auto"/>
              <w:jc w:val="center"/>
              <w:rPr>
                <w:rFonts w:ascii="宋体" w:hAnsi="宋体"/>
                <w:color w:val="000000" w:themeColor="text1"/>
                <w:szCs w:val="21"/>
              </w:rPr>
            </w:pPr>
          </w:p>
        </w:tc>
        <w:tc>
          <w:tcPr>
            <w:tcW w:w="1984" w:type="dxa"/>
            <w:gridSpan w:val="4"/>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技  工</w:t>
            </w:r>
          </w:p>
        </w:tc>
        <w:tc>
          <w:tcPr>
            <w:tcW w:w="2125" w:type="dxa"/>
            <w:gridSpan w:val="2"/>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485"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经营范围</w:t>
            </w:r>
          </w:p>
        </w:tc>
        <w:tc>
          <w:tcPr>
            <w:tcW w:w="7020" w:type="dxa"/>
            <w:gridSpan w:val="9"/>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85"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备注</w:t>
            </w:r>
          </w:p>
        </w:tc>
        <w:tc>
          <w:tcPr>
            <w:tcW w:w="7020" w:type="dxa"/>
            <w:gridSpan w:val="9"/>
            <w:vAlign w:val="center"/>
          </w:tcPr>
          <w:p>
            <w:pPr>
              <w:spacing w:line="360" w:lineRule="auto"/>
              <w:jc w:val="center"/>
              <w:rPr>
                <w:rFonts w:ascii="宋体" w:hAnsi="宋体"/>
                <w:color w:val="000000" w:themeColor="text1"/>
                <w:szCs w:val="21"/>
              </w:rPr>
            </w:pPr>
          </w:p>
        </w:tc>
      </w:tr>
    </w:tbl>
    <w:p>
      <w:pPr>
        <w:spacing w:line="360" w:lineRule="auto"/>
        <w:ind w:firstLine="420" w:firstLineChars="200"/>
        <w:rPr>
          <w:color w:val="000000" w:themeColor="text1"/>
        </w:rPr>
      </w:pPr>
      <w:r>
        <w:rPr>
          <w:rFonts w:hint="eastAsia" w:ascii="黑体" w:hAnsi="宋体" w:eastAsia="黑体"/>
          <w:color w:val="000000" w:themeColor="text1"/>
          <w:szCs w:val="21"/>
        </w:rPr>
        <w:t>备注：</w:t>
      </w:r>
      <w:r>
        <w:rPr>
          <w:rFonts w:hint="eastAsia"/>
          <w:color w:val="000000" w:themeColor="text1"/>
        </w:rPr>
        <w:t>本</w:t>
      </w:r>
      <w:r>
        <w:rPr>
          <w:color w:val="000000" w:themeColor="text1"/>
        </w:rPr>
        <w:t>表后应附</w:t>
      </w:r>
      <w:r>
        <w:rPr>
          <w:rFonts w:hint="eastAsia"/>
          <w:color w:val="000000" w:themeColor="text1"/>
        </w:rPr>
        <w:t>下列</w:t>
      </w:r>
      <w:r>
        <w:rPr>
          <w:color w:val="000000" w:themeColor="text1"/>
        </w:rPr>
        <w:t>证件</w:t>
      </w:r>
      <w:r>
        <w:rPr>
          <w:rFonts w:hint="eastAsia"/>
          <w:color w:val="000000" w:themeColor="text1"/>
        </w:rPr>
        <w:t>：企业营业执照正本或副本、企业资质证书（分专业提交）、有效期内的企业安全生产许可证。</w:t>
      </w:r>
    </w:p>
    <w:p>
      <w:pPr>
        <w:spacing w:line="360" w:lineRule="auto"/>
        <w:rPr>
          <w:rFonts w:ascii="宋体"/>
          <w:color w:val="000000" w:themeColor="text1"/>
          <w:szCs w:val="21"/>
        </w:rPr>
      </w:pPr>
      <w:r>
        <w:rPr>
          <w:rFonts w:ascii="宋体"/>
          <w:color w:val="000000" w:themeColor="text1"/>
          <w:szCs w:val="21"/>
        </w:rPr>
        <w:br w:type="page"/>
      </w:r>
    </w:p>
    <w:p>
      <w:pPr>
        <w:rPr>
          <w:rFonts w:ascii="宋体"/>
          <w:b/>
          <w:color w:val="000000" w:themeColor="text1"/>
          <w:szCs w:val="21"/>
        </w:rPr>
      </w:pPr>
      <w:r>
        <w:rPr>
          <w:rFonts w:hint="eastAsia" w:ascii="宋体"/>
          <w:b/>
          <w:color w:val="000000" w:themeColor="text1"/>
          <w:szCs w:val="21"/>
        </w:rPr>
        <w:t xml:space="preserve"> （</w:t>
      </w:r>
      <w:r>
        <w:rPr>
          <w:rFonts w:hint="eastAsia" w:ascii="宋体"/>
          <w:b/>
          <w:color w:val="000000" w:themeColor="text1"/>
          <w:szCs w:val="21"/>
          <w:lang w:val="en-US" w:eastAsia="zh-CN"/>
        </w:rPr>
        <w:t>五</w:t>
      </w:r>
      <w:r>
        <w:rPr>
          <w:rFonts w:ascii="宋体"/>
          <w:b/>
          <w:color w:val="000000" w:themeColor="text1"/>
          <w:szCs w:val="21"/>
        </w:rPr>
        <w:t>）</w:t>
      </w:r>
      <w:r>
        <w:rPr>
          <w:rFonts w:hint="eastAsia" w:ascii="宋体"/>
          <w:b/>
          <w:color w:val="000000" w:themeColor="text1"/>
          <w:szCs w:val="21"/>
        </w:rPr>
        <w:t>近年财务状况表</w:t>
      </w:r>
    </w:p>
    <w:p>
      <w:pPr>
        <w:ind w:firstLine="420" w:firstLineChars="200"/>
        <w:rPr>
          <w:rFonts w:ascii="宋体" w:hAnsi="宋体"/>
          <w:color w:val="000000" w:themeColor="text1"/>
          <w:szCs w:val="21"/>
        </w:rPr>
      </w:pPr>
      <w:r>
        <w:rPr>
          <w:rFonts w:hint="eastAsia" w:ascii="宋体" w:hAnsi="宋体"/>
          <w:color w:val="000000" w:themeColor="text1"/>
          <w:szCs w:val="21"/>
        </w:rPr>
        <w:t>在此附经会计师事务所或审计机构审计的财务会计报表，包括资产负债表、损益表、现金流量表和财务情况说明书的复印件，具体年份要求见第二章“投标人须知”的规定。</w:t>
      </w:r>
    </w:p>
    <w:p>
      <w:pPr>
        <w:rPr>
          <w:color w:val="000000" w:themeColor="text1"/>
          <w:sz w:val="32"/>
          <w:szCs w:val="32"/>
        </w:rPr>
      </w:pPr>
      <w:r>
        <w:rPr>
          <w:rFonts w:ascii="宋体"/>
          <w:color w:val="000000" w:themeColor="text1"/>
          <w:szCs w:val="21"/>
        </w:rPr>
        <w:br w:type="page"/>
      </w:r>
      <w:r>
        <w:rPr>
          <w:rFonts w:hint="eastAsia" w:ascii="宋体"/>
          <w:b/>
          <w:color w:val="000000" w:themeColor="text1"/>
          <w:szCs w:val="21"/>
        </w:rPr>
        <w:t>(</w:t>
      </w:r>
      <w:r>
        <w:rPr>
          <w:rFonts w:hint="eastAsia" w:ascii="宋体"/>
          <w:b/>
          <w:color w:val="000000" w:themeColor="text1"/>
          <w:szCs w:val="21"/>
          <w:lang w:val="en-US" w:eastAsia="zh-CN"/>
        </w:rPr>
        <w:t>六</w:t>
      </w:r>
      <w:r>
        <w:rPr>
          <w:rFonts w:hint="eastAsia" w:ascii="宋体"/>
          <w:b/>
          <w:color w:val="000000" w:themeColor="text1"/>
          <w:szCs w:val="21"/>
        </w:rPr>
        <w:t>)近年完成的类似项目情况表</w:t>
      </w:r>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项目名称</w:t>
            </w:r>
          </w:p>
        </w:tc>
        <w:tc>
          <w:tcPr>
            <w:tcW w:w="6094"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项目所在地</w:t>
            </w:r>
          </w:p>
        </w:tc>
        <w:tc>
          <w:tcPr>
            <w:tcW w:w="6094"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发包人名称</w:t>
            </w:r>
          </w:p>
        </w:tc>
        <w:tc>
          <w:tcPr>
            <w:tcW w:w="6094"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发包人地址</w:t>
            </w:r>
          </w:p>
        </w:tc>
        <w:tc>
          <w:tcPr>
            <w:tcW w:w="6094"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发包人联系人及电话</w:t>
            </w:r>
          </w:p>
        </w:tc>
        <w:tc>
          <w:tcPr>
            <w:tcW w:w="6094"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合同价格</w:t>
            </w:r>
          </w:p>
        </w:tc>
        <w:tc>
          <w:tcPr>
            <w:tcW w:w="6094"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开工日期</w:t>
            </w:r>
          </w:p>
        </w:tc>
        <w:tc>
          <w:tcPr>
            <w:tcW w:w="6094"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竣工日期</w:t>
            </w:r>
          </w:p>
        </w:tc>
        <w:tc>
          <w:tcPr>
            <w:tcW w:w="6094"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承担的工作</w:t>
            </w:r>
          </w:p>
        </w:tc>
        <w:tc>
          <w:tcPr>
            <w:tcW w:w="6094"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工程质量</w:t>
            </w:r>
          </w:p>
        </w:tc>
        <w:tc>
          <w:tcPr>
            <w:tcW w:w="6094"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项目经理</w:t>
            </w:r>
          </w:p>
        </w:tc>
        <w:tc>
          <w:tcPr>
            <w:tcW w:w="6094"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技术负责人</w:t>
            </w:r>
          </w:p>
        </w:tc>
        <w:tc>
          <w:tcPr>
            <w:tcW w:w="6094"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总监理工程师及电话</w:t>
            </w:r>
          </w:p>
        </w:tc>
        <w:tc>
          <w:tcPr>
            <w:tcW w:w="6094"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2411"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项目描述</w:t>
            </w:r>
          </w:p>
        </w:tc>
        <w:tc>
          <w:tcPr>
            <w:tcW w:w="6094"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60" w:lineRule="auto"/>
              <w:jc w:val="center"/>
              <w:rPr>
                <w:rFonts w:ascii="宋体" w:hAnsi="宋体"/>
                <w:color w:val="000000" w:themeColor="text1"/>
                <w:szCs w:val="21"/>
              </w:rPr>
            </w:pPr>
            <w:r>
              <w:rPr>
                <w:rFonts w:hint="eastAsia" w:hAnsi="宋体"/>
                <w:color w:val="000000" w:themeColor="text1"/>
              </w:rPr>
              <w:t>工程获奖情况(请注明证书编号)</w:t>
            </w:r>
          </w:p>
        </w:tc>
        <w:tc>
          <w:tcPr>
            <w:tcW w:w="6094"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备注</w:t>
            </w:r>
          </w:p>
        </w:tc>
        <w:tc>
          <w:tcPr>
            <w:tcW w:w="6094" w:type="dxa"/>
            <w:vAlign w:val="center"/>
          </w:tcPr>
          <w:p>
            <w:pPr>
              <w:spacing w:line="360" w:lineRule="auto"/>
              <w:jc w:val="center"/>
              <w:rPr>
                <w:rFonts w:ascii="宋体" w:hAnsi="宋体"/>
                <w:color w:val="000000" w:themeColor="text1"/>
                <w:szCs w:val="21"/>
              </w:rPr>
            </w:pPr>
          </w:p>
        </w:tc>
      </w:tr>
    </w:tbl>
    <w:p>
      <w:pPr>
        <w:spacing w:line="360" w:lineRule="auto"/>
        <w:ind w:left="630" w:hanging="630" w:hangingChars="300"/>
        <w:rPr>
          <w:rFonts w:ascii="宋体" w:hAnsi="宋体"/>
          <w:color w:val="000000" w:themeColor="text1"/>
          <w:szCs w:val="21"/>
        </w:rPr>
      </w:pPr>
      <w:r>
        <w:rPr>
          <w:rFonts w:hint="eastAsia" w:ascii="黑体" w:hAnsi="宋体" w:eastAsia="黑体"/>
          <w:color w:val="000000" w:themeColor="text1"/>
          <w:szCs w:val="21"/>
        </w:rPr>
        <w:t>备注：</w:t>
      </w:r>
      <w:r>
        <w:rPr>
          <w:rFonts w:hint="eastAsia" w:ascii="宋体" w:hAnsi="宋体"/>
          <w:color w:val="000000" w:themeColor="text1"/>
          <w:szCs w:val="21"/>
        </w:rPr>
        <w:t>1、类似项目指工程。</w:t>
      </w:r>
    </w:p>
    <w:p>
      <w:pPr>
        <w:spacing w:line="360" w:lineRule="auto"/>
        <w:ind w:left="630" w:leftChars="300"/>
        <w:rPr>
          <w:rFonts w:ascii="宋体" w:hAnsi="宋体"/>
          <w:color w:val="000000" w:themeColor="text1"/>
          <w:szCs w:val="21"/>
        </w:rPr>
      </w:pPr>
      <w:r>
        <w:rPr>
          <w:rFonts w:hint="eastAsia" w:ascii="宋体" w:hAnsi="宋体"/>
          <w:color w:val="000000" w:themeColor="text1"/>
          <w:szCs w:val="21"/>
        </w:rPr>
        <w:t>2、本表后附中标通知书和(或)合同协议书、工程接收证书(工程竣工验收证书)的复印件，具体年份要求见投标人须知前附表。每张表格只填写一个项目，并标明序号。</w:t>
      </w:r>
    </w:p>
    <w:p>
      <w:pPr>
        <w:rPr>
          <w:b/>
          <w:color w:val="000000" w:themeColor="text1"/>
          <w:sz w:val="32"/>
          <w:szCs w:val="32"/>
        </w:rPr>
      </w:pPr>
      <w:r>
        <w:rPr>
          <w:rFonts w:ascii="宋体"/>
          <w:color w:val="000000" w:themeColor="text1"/>
          <w:szCs w:val="21"/>
        </w:rPr>
        <w:br w:type="page"/>
      </w:r>
      <w:r>
        <w:rPr>
          <w:rFonts w:hint="eastAsia" w:ascii="宋体"/>
          <w:b/>
          <w:color w:val="000000" w:themeColor="text1"/>
          <w:szCs w:val="21"/>
        </w:rPr>
        <w:t>(</w:t>
      </w:r>
      <w:r>
        <w:rPr>
          <w:rFonts w:hint="eastAsia" w:ascii="宋体"/>
          <w:b/>
          <w:color w:val="000000" w:themeColor="text1"/>
          <w:szCs w:val="21"/>
          <w:lang w:val="en-US" w:eastAsia="zh-CN"/>
        </w:rPr>
        <w:t>七</w:t>
      </w:r>
      <w:r>
        <w:rPr>
          <w:rFonts w:hint="eastAsia" w:ascii="宋体"/>
          <w:b/>
          <w:color w:val="000000" w:themeColor="text1"/>
          <w:szCs w:val="21"/>
        </w:rPr>
        <w:t>)正在施工的和新承接的项目情况表</w:t>
      </w:r>
    </w:p>
    <w:tbl>
      <w:tblPr>
        <w:tblStyle w:val="44"/>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项目名称</w:t>
            </w:r>
          </w:p>
        </w:tc>
        <w:tc>
          <w:tcPr>
            <w:tcW w:w="6095"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项目所在地</w:t>
            </w:r>
          </w:p>
        </w:tc>
        <w:tc>
          <w:tcPr>
            <w:tcW w:w="6095"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发包人名称</w:t>
            </w:r>
          </w:p>
        </w:tc>
        <w:tc>
          <w:tcPr>
            <w:tcW w:w="6095"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发包人地址</w:t>
            </w:r>
          </w:p>
        </w:tc>
        <w:tc>
          <w:tcPr>
            <w:tcW w:w="6095"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发包人电话</w:t>
            </w:r>
          </w:p>
        </w:tc>
        <w:tc>
          <w:tcPr>
            <w:tcW w:w="6095"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签约合同价</w:t>
            </w:r>
          </w:p>
        </w:tc>
        <w:tc>
          <w:tcPr>
            <w:tcW w:w="6095"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开工日期</w:t>
            </w:r>
          </w:p>
        </w:tc>
        <w:tc>
          <w:tcPr>
            <w:tcW w:w="6095"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计划竣工日期</w:t>
            </w:r>
          </w:p>
        </w:tc>
        <w:tc>
          <w:tcPr>
            <w:tcW w:w="6095"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承担的工作</w:t>
            </w:r>
          </w:p>
        </w:tc>
        <w:tc>
          <w:tcPr>
            <w:tcW w:w="6095"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工程质量</w:t>
            </w:r>
          </w:p>
        </w:tc>
        <w:tc>
          <w:tcPr>
            <w:tcW w:w="6095"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项目经理</w:t>
            </w:r>
          </w:p>
        </w:tc>
        <w:tc>
          <w:tcPr>
            <w:tcW w:w="6095"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技术负责人</w:t>
            </w:r>
          </w:p>
        </w:tc>
        <w:tc>
          <w:tcPr>
            <w:tcW w:w="6095"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总监理工程师及电话</w:t>
            </w:r>
          </w:p>
        </w:tc>
        <w:tc>
          <w:tcPr>
            <w:tcW w:w="6095"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项目描述</w:t>
            </w:r>
          </w:p>
        </w:tc>
        <w:tc>
          <w:tcPr>
            <w:tcW w:w="6095"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备注</w:t>
            </w:r>
          </w:p>
        </w:tc>
        <w:tc>
          <w:tcPr>
            <w:tcW w:w="6095" w:type="dxa"/>
            <w:vAlign w:val="center"/>
          </w:tcPr>
          <w:p>
            <w:pPr>
              <w:spacing w:line="360" w:lineRule="auto"/>
              <w:jc w:val="center"/>
              <w:rPr>
                <w:rFonts w:ascii="宋体" w:hAnsi="宋体"/>
                <w:color w:val="000000" w:themeColor="text1"/>
                <w:szCs w:val="21"/>
              </w:rPr>
            </w:pPr>
          </w:p>
        </w:tc>
      </w:tr>
    </w:tbl>
    <w:p>
      <w:pPr>
        <w:spacing w:line="360" w:lineRule="auto"/>
        <w:rPr>
          <w:rFonts w:ascii="宋体" w:hAnsi="宋体"/>
          <w:color w:val="000000" w:themeColor="text1"/>
          <w:szCs w:val="21"/>
        </w:rPr>
      </w:pPr>
      <w:r>
        <w:rPr>
          <w:rFonts w:hint="eastAsia" w:ascii="黑体" w:hAnsi="宋体" w:eastAsia="黑体"/>
          <w:color w:val="000000" w:themeColor="text1"/>
          <w:szCs w:val="21"/>
        </w:rPr>
        <w:t>备注：</w:t>
      </w:r>
      <w:r>
        <w:rPr>
          <w:rFonts w:hint="eastAsia" w:ascii="宋体" w:hAnsi="宋体"/>
          <w:color w:val="000000" w:themeColor="text1"/>
          <w:szCs w:val="21"/>
        </w:rPr>
        <w:t>本表后附中标通知书和(或)合同协议书复印件。每张表格只填写一个项目，并标明序号。</w:t>
      </w:r>
    </w:p>
    <w:p>
      <w:pPr>
        <w:rPr>
          <w:color w:val="000000" w:themeColor="text1"/>
          <w:sz w:val="32"/>
          <w:szCs w:val="32"/>
        </w:rPr>
      </w:pPr>
      <w:r>
        <w:rPr>
          <w:rFonts w:ascii="宋体"/>
          <w:color w:val="000000" w:themeColor="text1"/>
          <w:szCs w:val="21"/>
        </w:rPr>
        <w:br w:type="page"/>
      </w:r>
      <w:r>
        <w:rPr>
          <w:rFonts w:hint="eastAsia" w:ascii="宋体"/>
          <w:b/>
          <w:color w:val="000000" w:themeColor="text1"/>
          <w:szCs w:val="21"/>
        </w:rPr>
        <w:t>（</w:t>
      </w:r>
      <w:r>
        <w:rPr>
          <w:rFonts w:hint="eastAsia" w:ascii="宋体"/>
          <w:b/>
          <w:color w:val="000000" w:themeColor="text1"/>
          <w:szCs w:val="21"/>
          <w:lang w:val="en-US" w:eastAsia="zh-CN"/>
        </w:rPr>
        <w:t>八</w:t>
      </w:r>
      <w:r>
        <w:rPr>
          <w:rFonts w:ascii="宋体"/>
          <w:b/>
          <w:color w:val="000000" w:themeColor="text1"/>
          <w:szCs w:val="21"/>
        </w:rPr>
        <w:t>）</w:t>
      </w:r>
      <w:r>
        <w:rPr>
          <w:rFonts w:hint="eastAsia" w:ascii="宋体"/>
          <w:b/>
          <w:color w:val="000000" w:themeColor="text1"/>
          <w:szCs w:val="21"/>
        </w:rPr>
        <w:t>近年发生的诉讼和仲裁情况</w:t>
      </w:r>
    </w:p>
    <w:p>
      <w:pPr>
        <w:rPr>
          <w:rFonts w:ascii="宋体" w:hAnsi="宋体"/>
          <w:b/>
          <w:color w:val="000000" w:themeColor="text1"/>
          <w:szCs w:val="21"/>
        </w:rPr>
      </w:pPr>
      <w:r>
        <w:rPr>
          <w:rFonts w:hint="eastAsia" w:ascii="黑体" w:hAnsi="宋体" w:eastAsia="黑体"/>
          <w:szCs w:val="21"/>
          <w:highlight w:val="white"/>
        </w:rPr>
        <w:t>说明：</w:t>
      </w:r>
      <w:r>
        <w:rPr>
          <w:rFonts w:hint="eastAsia" w:ascii="宋体" w:hAnsi="宋体"/>
          <w:szCs w:val="21"/>
          <w:highlight w:val="white"/>
        </w:rPr>
        <w:t>1.近年发生的诉讼和仲裁情况仅限于投标人败诉的，且与履行施工承包合同有关的案件，不包括调解结案以及未裁决的仲裁或未终审判决的诉讼。  2.上述内容以不良信用信息采集见：①省级住房城乡建设主管部门网站中公示的不良信用记录。②信用中国网站中“失信被执行人、重大税收违法案件当事人名单、政府采购严重违法失信名单”。③信用河南网站红黑榜黑名单中“信用中国失信被执行人（法人）、信用河南省税务局重大税收违法案件”。（外省企业参照执行）④国家企业信用信息公示系统网站中“严重违法失信企业名单”⑤中国执行信息公开网“全国法院失信被执行人名单信息公布与查询。不良信息查询由投标企业自行查询，并截图上传投标文件，真实性自行负责，结果公示（接受行政主管部门和社会监督），弄虚作假者后果自负。</w:t>
      </w:r>
      <w:r>
        <w:rPr>
          <w:rFonts w:ascii="宋体"/>
          <w:color w:val="000000" w:themeColor="text1"/>
          <w:szCs w:val="21"/>
        </w:rPr>
        <w:br w:type="page"/>
      </w:r>
      <w:r>
        <w:rPr>
          <w:rFonts w:hint="eastAsia" w:ascii="宋体" w:hAnsi="宋体"/>
          <w:b/>
          <w:color w:val="000000" w:themeColor="text1"/>
          <w:szCs w:val="21"/>
        </w:rPr>
        <w:t>(</w:t>
      </w:r>
      <w:r>
        <w:rPr>
          <w:rFonts w:hint="eastAsia" w:ascii="宋体" w:hAnsi="宋体"/>
          <w:b/>
          <w:color w:val="000000" w:themeColor="text1"/>
          <w:szCs w:val="21"/>
          <w:lang w:val="en-US" w:eastAsia="zh-CN"/>
        </w:rPr>
        <w:t>九</w:t>
      </w:r>
      <w:r>
        <w:rPr>
          <w:rFonts w:hint="eastAsia" w:ascii="宋体" w:hAnsi="宋体"/>
          <w:b/>
          <w:color w:val="000000" w:themeColor="text1"/>
          <w:szCs w:val="21"/>
        </w:rPr>
        <w:t>)企业其他信誉情况表(年份要求同诉讼及仲裁情况年份要求)</w:t>
      </w:r>
    </w:p>
    <w:p>
      <w:pPr>
        <w:spacing w:line="360" w:lineRule="auto"/>
        <w:ind w:left="630" w:hanging="630" w:hangingChars="300"/>
        <w:rPr>
          <w:rFonts w:ascii="黑体" w:hAnsi="宋体" w:eastAsia="黑体"/>
          <w:color w:val="000000" w:themeColor="text1"/>
          <w:szCs w:val="21"/>
        </w:rPr>
      </w:pPr>
      <w:r>
        <w:rPr>
          <w:rFonts w:hint="eastAsia" w:ascii="黑体" w:hAnsi="宋体" w:eastAsia="黑体"/>
          <w:color w:val="000000" w:themeColor="text1"/>
          <w:szCs w:val="21"/>
        </w:rPr>
        <w:t>1、</w:t>
      </w:r>
      <w:r>
        <w:rPr>
          <w:rFonts w:hint="eastAsia"/>
          <w:color w:val="000000" w:themeColor="text1"/>
        </w:rPr>
        <w:t>近年企业不良行为记录情况</w:t>
      </w:r>
    </w:p>
    <w:p>
      <w:pPr>
        <w:spacing w:line="360" w:lineRule="auto"/>
        <w:ind w:left="630" w:hanging="630" w:hangingChars="300"/>
        <w:rPr>
          <w:rFonts w:ascii="黑体" w:hAnsi="宋体" w:eastAsia="黑体"/>
          <w:color w:val="000000" w:themeColor="text1"/>
          <w:szCs w:val="21"/>
        </w:rPr>
      </w:pPr>
    </w:p>
    <w:p>
      <w:pPr>
        <w:spacing w:line="360" w:lineRule="auto"/>
        <w:ind w:left="630" w:hanging="630" w:hangingChars="300"/>
        <w:rPr>
          <w:rFonts w:ascii="黑体" w:hAnsi="宋体" w:eastAsia="黑体"/>
          <w:color w:val="000000" w:themeColor="text1"/>
          <w:szCs w:val="21"/>
        </w:rPr>
      </w:pPr>
    </w:p>
    <w:p>
      <w:pPr>
        <w:spacing w:line="360" w:lineRule="auto"/>
        <w:ind w:left="630" w:hanging="630" w:hangingChars="300"/>
        <w:rPr>
          <w:rFonts w:ascii="黑体" w:hAnsi="宋体" w:eastAsia="黑体"/>
          <w:color w:val="000000" w:themeColor="text1"/>
          <w:szCs w:val="21"/>
        </w:rPr>
      </w:pPr>
    </w:p>
    <w:p>
      <w:pPr>
        <w:spacing w:line="360" w:lineRule="auto"/>
        <w:ind w:left="630" w:hanging="630" w:hangingChars="300"/>
        <w:rPr>
          <w:color w:val="000000" w:themeColor="text1"/>
        </w:rPr>
      </w:pPr>
      <w:r>
        <w:rPr>
          <w:rFonts w:hint="eastAsia"/>
          <w:color w:val="000000" w:themeColor="text1"/>
        </w:rPr>
        <w:t>2、在施工程以及近年已竣工工程合同履行情况</w:t>
      </w:r>
    </w:p>
    <w:p>
      <w:pPr>
        <w:spacing w:line="360" w:lineRule="auto"/>
        <w:ind w:left="630" w:hanging="630" w:hangingChars="300"/>
        <w:rPr>
          <w:rFonts w:ascii="黑体" w:hAnsi="宋体" w:eastAsia="黑体"/>
          <w:color w:val="000000" w:themeColor="text1"/>
          <w:szCs w:val="21"/>
        </w:rPr>
      </w:pPr>
    </w:p>
    <w:p>
      <w:pPr>
        <w:spacing w:line="360" w:lineRule="auto"/>
        <w:ind w:left="630" w:hanging="630" w:hangingChars="300"/>
        <w:rPr>
          <w:rFonts w:ascii="黑体" w:hAnsi="宋体" w:eastAsia="黑体"/>
          <w:color w:val="000000" w:themeColor="text1"/>
          <w:szCs w:val="21"/>
        </w:rPr>
      </w:pPr>
    </w:p>
    <w:p>
      <w:pPr>
        <w:spacing w:line="360" w:lineRule="auto"/>
        <w:ind w:left="630" w:hanging="630" w:hangingChars="300"/>
        <w:rPr>
          <w:rFonts w:ascii="黑体" w:hAnsi="宋体" w:eastAsia="黑体"/>
          <w:color w:val="000000" w:themeColor="text1"/>
          <w:szCs w:val="21"/>
        </w:rPr>
      </w:pPr>
    </w:p>
    <w:p>
      <w:pPr>
        <w:spacing w:line="360" w:lineRule="auto"/>
        <w:ind w:left="630" w:hanging="630" w:hangingChars="300"/>
        <w:rPr>
          <w:rFonts w:ascii="黑体" w:hAnsi="宋体" w:eastAsia="黑体"/>
          <w:color w:val="000000" w:themeColor="text1"/>
          <w:szCs w:val="21"/>
        </w:rPr>
      </w:pPr>
    </w:p>
    <w:p>
      <w:pPr>
        <w:spacing w:line="360" w:lineRule="auto"/>
        <w:ind w:left="630" w:hanging="630" w:hangingChars="300"/>
        <w:rPr>
          <w:color w:val="000000" w:themeColor="text1"/>
        </w:rPr>
      </w:pPr>
      <w:r>
        <w:rPr>
          <w:rFonts w:hint="eastAsia"/>
          <w:color w:val="000000" w:themeColor="text1"/>
        </w:rPr>
        <w:t>3、其他</w:t>
      </w:r>
    </w:p>
    <w:p>
      <w:pPr>
        <w:spacing w:line="360" w:lineRule="auto"/>
        <w:ind w:left="630" w:hanging="630" w:hangingChars="300"/>
        <w:rPr>
          <w:rFonts w:ascii="黑体" w:hAnsi="宋体" w:eastAsia="黑体"/>
          <w:color w:val="000000" w:themeColor="text1"/>
          <w:szCs w:val="21"/>
        </w:rPr>
      </w:pPr>
    </w:p>
    <w:p>
      <w:pPr>
        <w:spacing w:line="360" w:lineRule="auto"/>
        <w:ind w:left="630" w:hanging="630" w:hangingChars="300"/>
        <w:rPr>
          <w:rFonts w:ascii="黑体" w:hAnsi="宋体" w:eastAsia="黑体"/>
          <w:color w:val="000000" w:themeColor="text1"/>
          <w:szCs w:val="21"/>
        </w:rPr>
      </w:pPr>
    </w:p>
    <w:p>
      <w:pPr>
        <w:spacing w:line="360" w:lineRule="auto"/>
        <w:ind w:left="630" w:hanging="630" w:hangingChars="300"/>
        <w:rPr>
          <w:rFonts w:ascii="黑体" w:hAnsi="宋体" w:eastAsia="黑体"/>
          <w:color w:val="000000" w:themeColor="text1"/>
          <w:szCs w:val="21"/>
        </w:rPr>
      </w:pPr>
    </w:p>
    <w:p>
      <w:pPr>
        <w:spacing w:line="360" w:lineRule="auto"/>
        <w:ind w:left="945" w:hanging="945" w:hangingChars="450"/>
        <w:rPr>
          <w:rFonts w:ascii="宋体" w:hAnsi="宋体"/>
          <w:color w:val="000000" w:themeColor="text1"/>
          <w:szCs w:val="21"/>
        </w:rPr>
      </w:pPr>
      <w:r>
        <w:rPr>
          <w:rFonts w:hint="eastAsia" w:ascii="黑体" w:hAnsi="宋体" w:eastAsia="黑体"/>
          <w:color w:val="000000" w:themeColor="text1"/>
          <w:szCs w:val="21"/>
        </w:rPr>
        <w:t>备注：</w:t>
      </w:r>
      <w:r>
        <w:rPr>
          <w:rFonts w:hint="eastAsia" w:ascii="宋体" w:hAnsi="宋体"/>
          <w:color w:val="000000" w:themeColor="text1"/>
          <w:szCs w:val="21"/>
        </w:rPr>
        <w:t>1、企业不良行为记录情况主要是近年投标人在工程建设过程中因违反有关工程建设的法律、法规、规章或强制性标准和执业行为规范，经县级以上建设行政主管部门或其委托的执法监督机构查实和行政处罚，形成的不良行为记录。应当结合第二章“投标人须知”前附表第10.1.2项定义的范围填写。</w:t>
      </w:r>
    </w:p>
    <w:p>
      <w:pPr>
        <w:spacing w:line="360" w:lineRule="auto"/>
        <w:ind w:left="945" w:leftChars="300" w:hanging="315" w:hangingChars="150"/>
        <w:rPr>
          <w:rFonts w:ascii="宋体" w:hAnsi="宋体"/>
          <w:color w:val="000000" w:themeColor="text1"/>
          <w:szCs w:val="21"/>
        </w:rPr>
      </w:pPr>
      <w:r>
        <w:rPr>
          <w:rFonts w:hint="eastAsia" w:ascii="宋体" w:hAnsi="宋体"/>
          <w:color w:val="000000" w:themeColor="text1"/>
          <w:szCs w:val="21"/>
        </w:rPr>
        <w:t>2、合同履行情况主要是投标人近年所承接工程和已竣工工程是否按合同约定的工期、质量、安全等履行合同义务，对未竣工工程合同履行情况还应重点说明非不可抗力解除合同(如果有)的原因等具体情况，等等。</w:t>
      </w:r>
    </w:p>
    <w:p>
      <w:pPr>
        <w:rPr>
          <w:b/>
          <w:color w:val="000000" w:themeColor="text1"/>
        </w:rPr>
      </w:pPr>
      <w:r>
        <w:rPr>
          <w:color w:val="000000" w:themeColor="text1"/>
          <w:szCs w:val="21"/>
        </w:rPr>
        <w:br w:type="page"/>
      </w:r>
      <w:r>
        <w:rPr>
          <w:rFonts w:hint="eastAsia"/>
          <w:b/>
          <w:color w:val="000000" w:themeColor="text1"/>
        </w:rPr>
        <w:t>(十)项目管理机构</w:t>
      </w:r>
    </w:p>
    <w:p>
      <w:pPr>
        <w:spacing w:before="156" w:beforeLines="50" w:after="156" w:afterLines="50" w:line="360" w:lineRule="auto"/>
        <w:rPr>
          <w:rFonts w:ascii="黑体" w:hAnsi="宋体" w:eastAsia="黑体"/>
          <w:color w:val="000000" w:themeColor="text1"/>
        </w:rPr>
      </w:pPr>
      <w:r>
        <w:rPr>
          <w:rFonts w:hint="eastAsia" w:ascii="黑体" w:hAnsi="宋体" w:eastAsia="黑体"/>
          <w:color w:val="000000" w:themeColor="text1"/>
        </w:rPr>
        <w:t>1.项目管理机构组成表</w:t>
      </w:r>
    </w:p>
    <w:tbl>
      <w:tblPr>
        <w:tblStyle w:val="44"/>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3"/>
        <w:gridCol w:w="703"/>
        <w:gridCol w:w="1120"/>
        <w:gridCol w:w="764"/>
        <w:gridCol w:w="781"/>
        <w:gridCol w:w="842"/>
        <w:gridCol w:w="2094"/>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Merge w:val="restart"/>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职务</w:t>
            </w:r>
          </w:p>
        </w:tc>
        <w:tc>
          <w:tcPr>
            <w:tcW w:w="703" w:type="dxa"/>
            <w:vMerge w:val="restart"/>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姓名</w:t>
            </w:r>
          </w:p>
        </w:tc>
        <w:tc>
          <w:tcPr>
            <w:tcW w:w="703" w:type="dxa"/>
            <w:vMerge w:val="restart"/>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职称</w:t>
            </w:r>
          </w:p>
        </w:tc>
        <w:tc>
          <w:tcPr>
            <w:tcW w:w="5601" w:type="dxa"/>
            <w:gridSpan w:val="5"/>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执业或职业资格证明</w:t>
            </w:r>
          </w:p>
        </w:tc>
        <w:tc>
          <w:tcPr>
            <w:tcW w:w="703" w:type="dxa"/>
            <w:vMerge w:val="restart"/>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Merge w:val="continue"/>
            <w:vAlign w:val="center"/>
          </w:tcPr>
          <w:p>
            <w:pPr>
              <w:spacing w:line="360" w:lineRule="auto"/>
              <w:jc w:val="center"/>
              <w:rPr>
                <w:rFonts w:ascii="宋体" w:hAnsi="宋体"/>
                <w:color w:val="000000" w:themeColor="text1"/>
                <w:szCs w:val="21"/>
              </w:rPr>
            </w:pPr>
          </w:p>
        </w:tc>
        <w:tc>
          <w:tcPr>
            <w:tcW w:w="703" w:type="dxa"/>
            <w:vMerge w:val="continue"/>
            <w:vAlign w:val="center"/>
          </w:tcPr>
          <w:p>
            <w:pPr>
              <w:spacing w:line="360" w:lineRule="auto"/>
              <w:jc w:val="center"/>
              <w:rPr>
                <w:rFonts w:ascii="宋体" w:hAnsi="宋体"/>
                <w:color w:val="000000" w:themeColor="text1"/>
                <w:szCs w:val="21"/>
              </w:rPr>
            </w:pPr>
          </w:p>
        </w:tc>
        <w:tc>
          <w:tcPr>
            <w:tcW w:w="703" w:type="dxa"/>
            <w:vMerge w:val="continue"/>
            <w:vAlign w:val="center"/>
          </w:tcPr>
          <w:p>
            <w:pPr>
              <w:spacing w:line="360" w:lineRule="auto"/>
              <w:jc w:val="center"/>
              <w:rPr>
                <w:rFonts w:ascii="宋体" w:hAnsi="宋体"/>
                <w:color w:val="000000" w:themeColor="text1"/>
                <w:szCs w:val="21"/>
              </w:rPr>
            </w:pPr>
          </w:p>
        </w:tc>
        <w:tc>
          <w:tcPr>
            <w:tcW w:w="1120"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证书名称</w:t>
            </w:r>
          </w:p>
        </w:tc>
        <w:tc>
          <w:tcPr>
            <w:tcW w:w="764"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级别</w:t>
            </w:r>
          </w:p>
        </w:tc>
        <w:tc>
          <w:tcPr>
            <w:tcW w:w="781"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证号</w:t>
            </w:r>
          </w:p>
        </w:tc>
        <w:tc>
          <w:tcPr>
            <w:tcW w:w="842"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专业</w:t>
            </w:r>
          </w:p>
        </w:tc>
        <w:tc>
          <w:tcPr>
            <w:tcW w:w="2094"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养老保险</w:t>
            </w:r>
          </w:p>
        </w:tc>
        <w:tc>
          <w:tcPr>
            <w:tcW w:w="703" w:type="dxa"/>
            <w:vMerge w:val="continue"/>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1120" w:type="dxa"/>
            <w:vAlign w:val="center"/>
          </w:tcPr>
          <w:p>
            <w:pPr>
              <w:spacing w:line="360" w:lineRule="auto"/>
              <w:jc w:val="center"/>
              <w:rPr>
                <w:rFonts w:ascii="宋体" w:hAnsi="宋体"/>
                <w:color w:val="000000" w:themeColor="text1"/>
                <w:szCs w:val="21"/>
              </w:rPr>
            </w:pPr>
          </w:p>
        </w:tc>
        <w:tc>
          <w:tcPr>
            <w:tcW w:w="764" w:type="dxa"/>
            <w:vAlign w:val="center"/>
          </w:tcPr>
          <w:p>
            <w:pPr>
              <w:spacing w:line="360" w:lineRule="auto"/>
              <w:jc w:val="center"/>
              <w:rPr>
                <w:rFonts w:ascii="宋体" w:hAnsi="宋体"/>
                <w:color w:val="000000" w:themeColor="text1"/>
                <w:szCs w:val="21"/>
              </w:rPr>
            </w:pPr>
          </w:p>
        </w:tc>
        <w:tc>
          <w:tcPr>
            <w:tcW w:w="781" w:type="dxa"/>
            <w:vAlign w:val="center"/>
          </w:tcPr>
          <w:p>
            <w:pPr>
              <w:spacing w:line="360" w:lineRule="auto"/>
              <w:jc w:val="center"/>
              <w:rPr>
                <w:rFonts w:ascii="宋体" w:hAnsi="宋体"/>
                <w:color w:val="000000" w:themeColor="text1"/>
                <w:szCs w:val="21"/>
              </w:rPr>
            </w:pPr>
          </w:p>
        </w:tc>
        <w:tc>
          <w:tcPr>
            <w:tcW w:w="842" w:type="dxa"/>
            <w:vAlign w:val="center"/>
          </w:tcPr>
          <w:p>
            <w:pPr>
              <w:spacing w:line="360" w:lineRule="auto"/>
              <w:jc w:val="center"/>
              <w:rPr>
                <w:rFonts w:ascii="宋体" w:hAnsi="宋体"/>
                <w:color w:val="000000" w:themeColor="text1"/>
                <w:szCs w:val="21"/>
              </w:rPr>
            </w:pPr>
          </w:p>
        </w:tc>
        <w:tc>
          <w:tcPr>
            <w:tcW w:w="209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1120" w:type="dxa"/>
            <w:vAlign w:val="center"/>
          </w:tcPr>
          <w:p>
            <w:pPr>
              <w:spacing w:line="360" w:lineRule="auto"/>
              <w:jc w:val="center"/>
              <w:rPr>
                <w:rFonts w:ascii="宋体" w:hAnsi="宋体"/>
                <w:color w:val="000000" w:themeColor="text1"/>
                <w:szCs w:val="21"/>
              </w:rPr>
            </w:pPr>
          </w:p>
        </w:tc>
        <w:tc>
          <w:tcPr>
            <w:tcW w:w="764" w:type="dxa"/>
            <w:vAlign w:val="center"/>
          </w:tcPr>
          <w:p>
            <w:pPr>
              <w:spacing w:line="360" w:lineRule="auto"/>
              <w:jc w:val="center"/>
              <w:rPr>
                <w:rFonts w:ascii="宋体" w:hAnsi="宋体"/>
                <w:color w:val="000000" w:themeColor="text1"/>
                <w:szCs w:val="21"/>
              </w:rPr>
            </w:pPr>
          </w:p>
        </w:tc>
        <w:tc>
          <w:tcPr>
            <w:tcW w:w="781" w:type="dxa"/>
            <w:vAlign w:val="center"/>
          </w:tcPr>
          <w:p>
            <w:pPr>
              <w:spacing w:line="360" w:lineRule="auto"/>
              <w:jc w:val="center"/>
              <w:rPr>
                <w:rFonts w:ascii="宋体" w:hAnsi="宋体"/>
                <w:color w:val="000000" w:themeColor="text1"/>
                <w:szCs w:val="21"/>
              </w:rPr>
            </w:pPr>
          </w:p>
        </w:tc>
        <w:tc>
          <w:tcPr>
            <w:tcW w:w="842" w:type="dxa"/>
            <w:vAlign w:val="center"/>
          </w:tcPr>
          <w:p>
            <w:pPr>
              <w:spacing w:line="360" w:lineRule="auto"/>
              <w:jc w:val="center"/>
              <w:rPr>
                <w:rFonts w:ascii="宋体" w:hAnsi="宋体"/>
                <w:color w:val="000000" w:themeColor="text1"/>
                <w:szCs w:val="21"/>
              </w:rPr>
            </w:pPr>
          </w:p>
        </w:tc>
        <w:tc>
          <w:tcPr>
            <w:tcW w:w="209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1120" w:type="dxa"/>
            <w:vAlign w:val="center"/>
          </w:tcPr>
          <w:p>
            <w:pPr>
              <w:spacing w:line="360" w:lineRule="auto"/>
              <w:jc w:val="center"/>
              <w:rPr>
                <w:rFonts w:ascii="宋体" w:hAnsi="宋体"/>
                <w:color w:val="000000" w:themeColor="text1"/>
                <w:szCs w:val="21"/>
              </w:rPr>
            </w:pPr>
          </w:p>
        </w:tc>
        <w:tc>
          <w:tcPr>
            <w:tcW w:w="764" w:type="dxa"/>
            <w:vAlign w:val="center"/>
          </w:tcPr>
          <w:p>
            <w:pPr>
              <w:spacing w:line="360" w:lineRule="auto"/>
              <w:jc w:val="center"/>
              <w:rPr>
                <w:rFonts w:ascii="宋体" w:hAnsi="宋体"/>
                <w:color w:val="000000" w:themeColor="text1"/>
                <w:szCs w:val="21"/>
              </w:rPr>
            </w:pPr>
          </w:p>
        </w:tc>
        <w:tc>
          <w:tcPr>
            <w:tcW w:w="781" w:type="dxa"/>
            <w:vAlign w:val="center"/>
          </w:tcPr>
          <w:p>
            <w:pPr>
              <w:spacing w:line="360" w:lineRule="auto"/>
              <w:jc w:val="center"/>
              <w:rPr>
                <w:rFonts w:ascii="宋体" w:hAnsi="宋体"/>
                <w:color w:val="000000" w:themeColor="text1"/>
                <w:szCs w:val="21"/>
              </w:rPr>
            </w:pPr>
          </w:p>
        </w:tc>
        <w:tc>
          <w:tcPr>
            <w:tcW w:w="842" w:type="dxa"/>
            <w:vAlign w:val="center"/>
          </w:tcPr>
          <w:p>
            <w:pPr>
              <w:spacing w:line="360" w:lineRule="auto"/>
              <w:jc w:val="center"/>
              <w:rPr>
                <w:rFonts w:ascii="宋体" w:hAnsi="宋体"/>
                <w:color w:val="000000" w:themeColor="text1"/>
                <w:szCs w:val="21"/>
              </w:rPr>
            </w:pPr>
          </w:p>
        </w:tc>
        <w:tc>
          <w:tcPr>
            <w:tcW w:w="209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1120" w:type="dxa"/>
            <w:vAlign w:val="center"/>
          </w:tcPr>
          <w:p>
            <w:pPr>
              <w:spacing w:line="360" w:lineRule="auto"/>
              <w:jc w:val="center"/>
              <w:rPr>
                <w:rFonts w:ascii="宋体" w:hAnsi="宋体"/>
                <w:color w:val="000000" w:themeColor="text1"/>
                <w:szCs w:val="21"/>
              </w:rPr>
            </w:pPr>
          </w:p>
        </w:tc>
        <w:tc>
          <w:tcPr>
            <w:tcW w:w="764" w:type="dxa"/>
            <w:vAlign w:val="center"/>
          </w:tcPr>
          <w:p>
            <w:pPr>
              <w:spacing w:line="360" w:lineRule="auto"/>
              <w:jc w:val="center"/>
              <w:rPr>
                <w:rFonts w:ascii="宋体" w:hAnsi="宋体"/>
                <w:color w:val="000000" w:themeColor="text1"/>
                <w:szCs w:val="21"/>
              </w:rPr>
            </w:pPr>
          </w:p>
        </w:tc>
        <w:tc>
          <w:tcPr>
            <w:tcW w:w="781" w:type="dxa"/>
            <w:vAlign w:val="center"/>
          </w:tcPr>
          <w:p>
            <w:pPr>
              <w:spacing w:line="360" w:lineRule="auto"/>
              <w:jc w:val="center"/>
              <w:rPr>
                <w:rFonts w:ascii="宋体" w:hAnsi="宋体"/>
                <w:color w:val="000000" w:themeColor="text1"/>
                <w:szCs w:val="21"/>
              </w:rPr>
            </w:pPr>
          </w:p>
        </w:tc>
        <w:tc>
          <w:tcPr>
            <w:tcW w:w="842" w:type="dxa"/>
            <w:vAlign w:val="center"/>
          </w:tcPr>
          <w:p>
            <w:pPr>
              <w:spacing w:line="360" w:lineRule="auto"/>
              <w:jc w:val="center"/>
              <w:rPr>
                <w:rFonts w:ascii="宋体" w:hAnsi="宋体"/>
                <w:color w:val="000000" w:themeColor="text1"/>
                <w:szCs w:val="21"/>
              </w:rPr>
            </w:pPr>
          </w:p>
        </w:tc>
        <w:tc>
          <w:tcPr>
            <w:tcW w:w="209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1120" w:type="dxa"/>
            <w:vAlign w:val="center"/>
          </w:tcPr>
          <w:p>
            <w:pPr>
              <w:spacing w:line="360" w:lineRule="auto"/>
              <w:jc w:val="center"/>
              <w:rPr>
                <w:rFonts w:ascii="宋体" w:hAnsi="宋体"/>
                <w:color w:val="000000" w:themeColor="text1"/>
                <w:szCs w:val="21"/>
              </w:rPr>
            </w:pPr>
          </w:p>
        </w:tc>
        <w:tc>
          <w:tcPr>
            <w:tcW w:w="764" w:type="dxa"/>
            <w:vAlign w:val="center"/>
          </w:tcPr>
          <w:p>
            <w:pPr>
              <w:spacing w:line="360" w:lineRule="auto"/>
              <w:jc w:val="center"/>
              <w:rPr>
                <w:rFonts w:ascii="宋体" w:hAnsi="宋体"/>
                <w:color w:val="000000" w:themeColor="text1"/>
                <w:szCs w:val="21"/>
              </w:rPr>
            </w:pPr>
          </w:p>
        </w:tc>
        <w:tc>
          <w:tcPr>
            <w:tcW w:w="781" w:type="dxa"/>
            <w:vAlign w:val="center"/>
          </w:tcPr>
          <w:p>
            <w:pPr>
              <w:spacing w:line="360" w:lineRule="auto"/>
              <w:jc w:val="center"/>
              <w:rPr>
                <w:rFonts w:ascii="宋体" w:hAnsi="宋体"/>
                <w:color w:val="000000" w:themeColor="text1"/>
                <w:szCs w:val="21"/>
              </w:rPr>
            </w:pPr>
          </w:p>
        </w:tc>
        <w:tc>
          <w:tcPr>
            <w:tcW w:w="842" w:type="dxa"/>
            <w:vAlign w:val="center"/>
          </w:tcPr>
          <w:p>
            <w:pPr>
              <w:spacing w:line="360" w:lineRule="auto"/>
              <w:jc w:val="center"/>
              <w:rPr>
                <w:rFonts w:ascii="宋体" w:hAnsi="宋体"/>
                <w:color w:val="000000" w:themeColor="text1"/>
                <w:szCs w:val="21"/>
              </w:rPr>
            </w:pPr>
          </w:p>
        </w:tc>
        <w:tc>
          <w:tcPr>
            <w:tcW w:w="209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1120" w:type="dxa"/>
            <w:vAlign w:val="center"/>
          </w:tcPr>
          <w:p>
            <w:pPr>
              <w:spacing w:line="360" w:lineRule="auto"/>
              <w:jc w:val="center"/>
              <w:rPr>
                <w:rFonts w:ascii="宋体" w:hAnsi="宋体"/>
                <w:color w:val="000000" w:themeColor="text1"/>
                <w:szCs w:val="21"/>
              </w:rPr>
            </w:pPr>
          </w:p>
        </w:tc>
        <w:tc>
          <w:tcPr>
            <w:tcW w:w="764" w:type="dxa"/>
            <w:vAlign w:val="center"/>
          </w:tcPr>
          <w:p>
            <w:pPr>
              <w:spacing w:line="360" w:lineRule="auto"/>
              <w:jc w:val="center"/>
              <w:rPr>
                <w:rFonts w:ascii="宋体" w:hAnsi="宋体"/>
                <w:color w:val="000000" w:themeColor="text1"/>
                <w:szCs w:val="21"/>
              </w:rPr>
            </w:pPr>
          </w:p>
        </w:tc>
        <w:tc>
          <w:tcPr>
            <w:tcW w:w="781" w:type="dxa"/>
            <w:vAlign w:val="center"/>
          </w:tcPr>
          <w:p>
            <w:pPr>
              <w:spacing w:line="360" w:lineRule="auto"/>
              <w:jc w:val="center"/>
              <w:rPr>
                <w:rFonts w:ascii="宋体" w:hAnsi="宋体"/>
                <w:color w:val="000000" w:themeColor="text1"/>
                <w:szCs w:val="21"/>
              </w:rPr>
            </w:pPr>
          </w:p>
        </w:tc>
        <w:tc>
          <w:tcPr>
            <w:tcW w:w="842" w:type="dxa"/>
            <w:vAlign w:val="center"/>
          </w:tcPr>
          <w:p>
            <w:pPr>
              <w:spacing w:line="360" w:lineRule="auto"/>
              <w:jc w:val="center"/>
              <w:rPr>
                <w:rFonts w:ascii="宋体" w:hAnsi="宋体"/>
                <w:color w:val="000000" w:themeColor="text1"/>
                <w:szCs w:val="21"/>
              </w:rPr>
            </w:pPr>
          </w:p>
        </w:tc>
        <w:tc>
          <w:tcPr>
            <w:tcW w:w="209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1120" w:type="dxa"/>
            <w:vAlign w:val="center"/>
          </w:tcPr>
          <w:p>
            <w:pPr>
              <w:spacing w:line="360" w:lineRule="auto"/>
              <w:jc w:val="center"/>
              <w:rPr>
                <w:rFonts w:ascii="宋体" w:hAnsi="宋体"/>
                <w:color w:val="000000" w:themeColor="text1"/>
                <w:szCs w:val="21"/>
              </w:rPr>
            </w:pPr>
          </w:p>
        </w:tc>
        <w:tc>
          <w:tcPr>
            <w:tcW w:w="764" w:type="dxa"/>
            <w:vAlign w:val="center"/>
          </w:tcPr>
          <w:p>
            <w:pPr>
              <w:spacing w:line="360" w:lineRule="auto"/>
              <w:jc w:val="center"/>
              <w:rPr>
                <w:rFonts w:ascii="宋体" w:hAnsi="宋体"/>
                <w:color w:val="000000" w:themeColor="text1"/>
                <w:szCs w:val="21"/>
              </w:rPr>
            </w:pPr>
          </w:p>
        </w:tc>
        <w:tc>
          <w:tcPr>
            <w:tcW w:w="781" w:type="dxa"/>
            <w:vAlign w:val="center"/>
          </w:tcPr>
          <w:p>
            <w:pPr>
              <w:spacing w:line="360" w:lineRule="auto"/>
              <w:jc w:val="center"/>
              <w:rPr>
                <w:rFonts w:ascii="宋体" w:hAnsi="宋体"/>
                <w:color w:val="000000" w:themeColor="text1"/>
                <w:szCs w:val="21"/>
              </w:rPr>
            </w:pPr>
          </w:p>
        </w:tc>
        <w:tc>
          <w:tcPr>
            <w:tcW w:w="842" w:type="dxa"/>
            <w:vAlign w:val="center"/>
          </w:tcPr>
          <w:p>
            <w:pPr>
              <w:spacing w:line="360" w:lineRule="auto"/>
              <w:jc w:val="center"/>
              <w:rPr>
                <w:rFonts w:ascii="宋体" w:hAnsi="宋体"/>
                <w:color w:val="000000" w:themeColor="text1"/>
                <w:szCs w:val="21"/>
              </w:rPr>
            </w:pPr>
          </w:p>
        </w:tc>
        <w:tc>
          <w:tcPr>
            <w:tcW w:w="209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1120" w:type="dxa"/>
            <w:vAlign w:val="center"/>
          </w:tcPr>
          <w:p>
            <w:pPr>
              <w:spacing w:line="360" w:lineRule="auto"/>
              <w:jc w:val="center"/>
              <w:rPr>
                <w:rFonts w:ascii="宋体" w:hAnsi="宋体"/>
                <w:color w:val="000000" w:themeColor="text1"/>
                <w:szCs w:val="21"/>
              </w:rPr>
            </w:pPr>
          </w:p>
        </w:tc>
        <w:tc>
          <w:tcPr>
            <w:tcW w:w="764" w:type="dxa"/>
            <w:vAlign w:val="center"/>
          </w:tcPr>
          <w:p>
            <w:pPr>
              <w:spacing w:line="360" w:lineRule="auto"/>
              <w:jc w:val="center"/>
              <w:rPr>
                <w:rFonts w:ascii="宋体" w:hAnsi="宋体"/>
                <w:color w:val="000000" w:themeColor="text1"/>
                <w:szCs w:val="21"/>
              </w:rPr>
            </w:pPr>
          </w:p>
        </w:tc>
        <w:tc>
          <w:tcPr>
            <w:tcW w:w="781" w:type="dxa"/>
            <w:vAlign w:val="center"/>
          </w:tcPr>
          <w:p>
            <w:pPr>
              <w:spacing w:line="360" w:lineRule="auto"/>
              <w:jc w:val="center"/>
              <w:rPr>
                <w:rFonts w:ascii="宋体" w:hAnsi="宋体"/>
                <w:color w:val="000000" w:themeColor="text1"/>
                <w:szCs w:val="21"/>
              </w:rPr>
            </w:pPr>
          </w:p>
        </w:tc>
        <w:tc>
          <w:tcPr>
            <w:tcW w:w="842" w:type="dxa"/>
            <w:vAlign w:val="center"/>
          </w:tcPr>
          <w:p>
            <w:pPr>
              <w:spacing w:line="360" w:lineRule="auto"/>
              <w:jc w:val="center"/>
              <w:rPr>
                <w:rFonts w:ascii="宋体" w:hAnsi="宋体"/>
                <w:color w:val="000000" w:themeColor="text1"/>
                <w:szCs w:val="21"/>
              </w:rPr>
            </w:pPr>
          </w:p>
        </w:tc>
        <w:tc>
          <w:tcPr>
            <w:tcW w:w="209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1120" w:type="dxa"/>
            <w:vAlign w:val="center"/>
          </w:tcPr>
          <w:p>
            <w:pPr>
              <w:spacing w:line="360" w:lineRule="auto"/>
              <w:jc w:val="center"/>
              <w:rPr>
                <w:rFonts w:ascii="宋体" w:hAnsi="宋体"/>
                <w:color w:val="000000" w:themeColor="text1"/>
                <w:szCs w:val="21"/>
              </w:rPr>
            </w:pPr>
          </w:p>
        </w:tc>
        <w:tc>
          <w:tcPr>
            <w:tcW w:w="764" w:type="dxa"/>
            <w:vAlign w:val="center"/>
          </w:tcPr>
          <w:p>
            <w:pPr>
              <w:spacing w:line="360" w:lineRule="auto"/>
              <w:jc w:val="center"/>
              <w:rPr>
                <w:rFonts w:ascii="宋体" w:hAnsi="宋体"/>
                <w:color w:val="000000" w:themeColor="text1"/>
                <w:szCs w:val="21"/>
              </w:rPr>
            </w:pPr>
          </w:p>
        </w:tc>
        <w:tc>
          <w:tcPr>
            <w:tcW w:w="781" w:type="dxa"/>
            <w:vAlign w:val="center"/>
          </w:tcPr>
          <w:p>
            <w:pPr>
              <w:spacing w:line="360" w:lineRule="auto"/>
              <w:jc w:val="center"/>
              <w:rPr>
                <w:rFonts w:ascii="宋体" w:hAnsi="宋体"/>
                <w:color w:val="000000" w:themeColor="text1"/>
                <w:szCs w:val="21"/>
              </w:rPr>
            </w:pPr>
          </w:p>
        </w:tc>
        <w:tc>
          <w:tcPr>
            <w:tcW w:w="842" w:type="dxa"/>
            <w:vAlign w:val="center"/>
          </w:tcPr>
          <w:p>
            <w:pPr>
              <w:spacing w:line="360" w:lineRule="auto"/>
              <w:jc w:val="center"/>
              <w:rPr>
                <w:rFonts w:ascii="宋体" w:hAnsi="宋体"/>
                <w:color w:val="000000" w:themeColor="text1"/>
                <w:szCs w:val="21"/>
              </w:rPr>
            </w:pPr>
          </w:p>
        </w:tc>
        <w:tc>
          <w:tcPr>
            <w:tcW w:w="209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1120" w:type="dxa"/>
            <w:vAlign w:val="center"/>
          </w:tcPr>
          <w:p>
            <w:pPr>
              <w:spacing w:line="360" w:lineRule="auto"/>
              <w:jc w:val="center"/>
              <w:rPr>
                <w:rFonts w:ascii="宋体" w:hAnsi="宋体"/>
                <w:color w:val="000000" w:themeColor="text1"/>
                <w:szCs w:val="21"/>
              </w:rPr>
            </w:pPr>
          </w:p>
        </w:tc>
        <w:tc>
          <w:tcPr>
            <w:tcW w:w="764" w:type="dxa"/>
            <w:vAlign w:val="center"/>
          </w:tcPr>
          <w:p>
            <w:pPr>
              <w:spacing w:line="360" w:lineRule="auto"/>
              <w:jc w:val="center"/>
              <w:rPr>
                <w:rFonts w:ascii="宋体" w:hAnsi="宋体"/>
                <w:color w:val="000000" w:themeColor="text1"/>
                <w:szCs w:val="21"/>
              </w:rPr>
            </w:pPr>
          </w:p>
        </w:tc>
        <w:tc>
          <w:tcPr>
            <w:tcW w:w="781" w:type="dxa"/>
            <w:vAlign w:val="center"/>
          </w:tcPr>
          <w:p>
            <w:pPr>
              <w:spacing w:line="360" w:lineRule="auto"/>
              <w:jc w:val="center"/>
              <w:rPr>
                <w:rFonts w:ascii="宋体" w:hAnsi="宋体"/>
                <w:color w:val="000000" w:themeColor="text1"/>
                <w:szCs w:val="21"/>
              </w:rPr>
            </w:pPr>
          </w:p>
        </w:tc>
        <w:tc>
          <w:tcPr>
            <w:tcW w:w="842" w:type="dxa"/>
            <w:vAlign w:val="center"/>
          </w:tcPr>
          <w:p>
            <w:pPr>
              <w:spacing w:line="360" w:lineRule="auto"/>
              <w:jc w:val="center"/>
              <w:rPr>
                <w:rFonts w:ascii="宋体" w:hAnsi="宋体"/>
                <w:color w:val="000000" w:themeColor="text1"/>
                <w:szCs w:val="21"/>
              </w:rPr>
            </w:pPr>
          </w:p>
        </w:tc>
        <w:tc>
          <w:tcPr>
            <w:tcW w:w="209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1120" w:type="dxa"/>
            <w:vAlign w:val="center"/>
          </w:tcPr>
          <w:p>
            <w:pPr>
              <w:spacing w:line="360" w:lineRule="auto"/>
              <w:jc w:val="center"/>
              <w:rPr>
                <w:rFonts w:ascii="宋体" w:hAnsi="宋体"/>
                <w:color w:val="000000" w:themeColor="text1"/>
                <w:szCs w:val="21"/>
              </w:rPr>
            </w:pPr>
          </w:p>
        </w:tc>
        <w:tc>
          <w:tcPr>
            <w:tcW w:w="764" w:type="dxa"/>
            <w:vAlign w:val="center"/>
          </w:tcPr>
          <w:p>
            <w:pPr>
              <w:spacing w:line="360" w:lineRule="auto"/>
              <w:jc w:val="center"/>
              <w:rPr>
                <w:rFonts w:ascii="宋体" w:hAnsi="宋体"/>
                <w:color w:val="000000" w:themeColor="text1"/>
                <w:szCs w:val="21"/>
              </w:rPr>
            </w:pPr>
          </w:p>
        </w:tc>
        <w:tc>
          <w:tcPr>
            <w:tcW w:w="781" w:type="dxa"/>
            <w:vAlign w:val="center"/>
          </w:tcPr>
          <w:p>
            <w:pPr>
              <w:spacing w:line="360" w:lineRule="auto"/>
              <w:jc w:val="center"/>
              <w:rPr>
                <w:rFonts w:ascii="宋体" w:hAnsi="宋体"/>
                <w:color w:val="000000" w:themeColor="text1"/>
                <w:szCs w:val="21"/>
              </w:rPr>
            </w:pPr>
          </w:p>
        </w:tc>
        <w:tc>
          <w:tcPr>
            <w:tcW w:w="842" w:type="dxa"/>
            <w:vAlign w:val="center"/>
          </w:tcPr>
          <w:p>
            <w:pPr>
              <w:spacing w:line="360" w:lineRule="auto"/>
              <w:jc w:val="center"/>
              <w:rPr>
                <w:rFonts w:ascii="宋体" w:hAnsi="宋体"/>
                <w:color w:val="000000" w:themeColor="text1"/>
                <w:szCs w:val="21"/>
              </w:rPr>
            </w:pPr>
          </w:p>
        </w:tc>
        <w:tc>
          <w:tcPr>
            <w:tcW w:w="209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1120" w:type="dxa"/>
            <w:vAlign w:val="center"/>
          </w:tcPr>
          <w:p>
            <w:pPr>
              <w:spacing w:line="360" w:lineRule="auto"/>
              <w:jc w:val="center"/>
              <w:rPr>
                <w:rFonts w:ascii="宋体" w:hAnsi="宋体"/>
                <w:color w:val="000000" w:themeColor="text1"/>
                <w:szCs w:val="21"/>
              </w:rPr>
            </w:pPr>
          </w:p>
        </w:tc>
        <w:tc>
          <w:tcPr>
            <w:tcW w:w="764" w:type="dxa"/>
            <w:vAlign w:val="center"/>
          </w:tcPr>
          <w:p>
            <w:pPr>
              <w:spacing w:line="360" w:lineRule="auto"/>
              <w:jc w:val="center"/>
              <w:rPr>
                <w:rFonts w:ascii="宋体" w:hAnsi="宋体"/>
                <w:color w:val="000000" w:themeColor="text1"/>
                <w:szCs w:val="21"/>
              </w:rPr>
            </w:pPr>
          </w:p>
        </w:tc>
        <w:tc>
          <w:tcPr>
            <w:tcW w:w="781" w:type="dxa"/>
            <w:vAlign w:val="center"/>
          </w:tcPr>
          <w:p>
            <w:pPr>
              <w:spacing w:line="360" w:lineRule="auto"/>
              <w:jc w:val="center"/>
              <w:rPr>
                <w:rFonts w:ascii="宋体" w:hAnsi="宋体"/>
                <w:color w:val="000000" w:themeColor="text1"/>
                <w:szCs w:val="21"/>
              </w:rPr>
            </w:pPr>
          </w:p>
        </w:tc>
        <w:tc>
          <w:tcPr>
            <w:tcW w:w="842" w:type="dxa"/>
            <w:vAlign w:val="center"/>
          </w:tcPr>
          <w:p>
            <w:pPr>
              <w:spacing w:line="360" w:lineRule="auto"/>
              <w:jc w:val="center"/>
              <w:rPr>
                <w:rFonts w:ascii="宋体" w:hAnsi="宋体"/>
                <w:color w:val="000000" w:themeColor="text1"/>
                <w:szCs w:val="21"/>
              </w:rPr>
            </w:pPr>
          </w:p>
        </w:tc>
        <w:tc>
          <w:tcPr>
            <w:tcW w:w="209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1120" w:type="dxa"/>
            <w:vAlign w:val="center"/>
          </w:tcPr>
          <w:p>
            <w:pPr>
              <w:spacing w:line="360" w:lineRule="auto"/>
              <w:jc w:val="center"/>
              <w:rPr>
                <w:rFonts w:ascii="宋体" w:hAnsi="宋体"/>
                <w:color w:val="000000" w:themeColor="text1"/>
                <w:szCs w:val="21"/>
              </w:rPr>
            </w:pPr>
          </w:p>
        </w:tc>
        <w:tc>
          <w:tcPr>
            <w:tcW w:w="764" w:type="dxa"/>
            <w:vAlign w:val="center"/>
          </w:tcPr>
          <w:p>
            <w:pPr>
              <w:spacing w:line="360" w:lineRule="auto"/>
              <w:jc w:val="center"/>
              <w:rPr>
                <w:rFonts w:ascii="宋体" w:hAnsi="宋体"/>
                <w:color w:val="000000" w:themeColor="text1"/>
                <w:szCs w:val="21"/>
              </w:rPr>
            </w:pPr>
          </w:p>
        </w:tc>
        <w:tc>
          <w:tcPr>
            <w:tcW w:w="781" w:type="dxa"/>
            <w:vAlign w:val="center"/>
          </w:tcPr>
          <w:p>
            <w:pPr>
              <w:spacing w:line="360" w:lineRule="auto"/>
              <w:jc w:val="center"/>
              <w:rPr>
                <w:rFonts w:ascii="宋体" w:hAnsi="宋体"/>
                <w:color w:val="000000" w:themeColor="text1"/>
                <w:szCs w:val="21"/>
              </w:rPr>
            </w:pPr>
          </w:p>
        </w:tc>
        <w:tc>
          <w:tcPr>
            <w:tcW w:w="842" w:type="dxa"/>
            <w:vAlign w:val="center"/>
          </w:tcPr>
          <w:p>
            <w:pPr>
              <w:spacing w:line="360" w:lineRule="auto"/>
              <w:jc w:val="center"/>
              <w:rPr>
                <w:rFonts w:ascii="宋体" w:hAnsi="宋体"/>
                <w:color w:val="000000" w:themeColor="text1"/>
                <w:szCs w:val="21"/>
              </w:rPr>
            </w:pPr>
          </w:p>
        </w:tc>
        <w:tc>
          <w:tcPr>
            <w:tcW w:w="209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1120" w:type="dxa"/>
            <w:vAlign w:val="center"/>
          </w:tcPr>
          <w:p>
            <w:pPr>
              <w:spacing w:line="360" w:lineRule="auto"/>
              <w:jc w:val="center"/>
              <w:rPr>
                <w:rFonts w:ascii="宋体" w:hAnsi="宋体"/>
                <w:color w:val="000000" w:themeColor="text1"/>
                <w:szCs w:val="21"/>
              </w:rPr>
            </w:pPr>
          </w:p>
        </w:tc>
        <w:tc>
          <w:tcPr>
            <w:tcW w:w="764" w:type="dxa"/>
            <w:vAlign w:val="center"/>
          </w:tcPr>
          <w:p>
            <w:pPr>
              <w:spacing w:line="360" w:lineRule="auto"/>
              <w:jc w:val="center"/>
              <w:rPr>
                <w:rFonts w:ascii="宋体" w:hAnsi="宋体"/>
                <w:color w:val="000000" w:themeColor="text1"/>
                <w:szCs w:val="21"/>
              </w:rPr>
            </w:pPr>
          </w:p>
        </w:tc>
        <w:tc>
          <w:tcPr>
            <w:tcW w:w="781" w:type="dxa"/>
            <w:vAlign w:val="center"/>
          </w:tcPr>
          <w:p>
            <w:pPr>
              <w:spacing w:line="360" w:lineRule="auto"/>
              <w:jc w:val="center"/>
              <w:rPr>
                <w:rFonts w:ascii="宋体" w:hAnsi="宋体"/>
                <w:color w:val="000000" w:themeColor="text1"/>
                <w:szCs w:val="21"/>
              </w:rPr>
            </w:pPr>
          </w:p>
        </w:tc>
        <w:tc>
          <w:tcPr>
            <w:tcW w:w="842" w:type="dxa"/>
            <w:vAlign w:val="center"/>
          </w:tcPr>
          <w:p>
            <w:pPr>
              <w:spacing w:line="360" w:lineRule="auto"/>
              <w:jc w:val="center"/>
              <w:rPr>
                <w:rFonts w:ascii="宋体" w:hAnsi="宋体"/>
                <w:color w:val="000000" w:themeColor="text1"/>
                <w:szCs w:val="21"/>
              </w:rPr>
            </w:pPr>
          </w:p>
        </w:tc>
        <w:tc>
          <w:tcPr>
            <w:tcW w:w="209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1120" w:type="dxa"/>
            <w:vAlign w:val="center"/>
          </w:tcPr>
          <w:p>
            <w:pPr>
              <w:spacing w:line="360" w:lineRule="auto"/>
              <w:jc w:val="center"/>
              <w:rPr>
                <w:rFonts w:ascii="宋体" w:hAnsi="宋体"/>
                <w:color w:val="000000" w:themeColor="text1"/>
                <w:szCs w:val="21"/>
              </w:rPr>
            </w:pPr>
          </w:p>
        </w:tc>
        <w:tc>
          <w:tcPr>
            <w:tcW w:w="764" w:type="dxa"/>
            <w:vAlign w:val="center"/>
          </w:tcPr>
          <w:p>
            <w:pPr>
              <w:spacing w:line="360" w:lineRule="auto"/>
              <w:jc w:val="center"/>
              <w:rPr>
                <w:rFonts w:ascii="宋体" w:hAnsi="宋体"/>
                <w:color w:val="000000" w:themeColor="text1"/>
                <w:szCs w:val="21"/>
              </w:rPr>
            </w:pPr>
          </w:p>
        </w:tc>
        <w:tc>
          <w:tcPr>
            <w:tcW w:w="781" w:type="dxa"/>
            <w:vAlign w:val="center"/>
          </w:tcPr>
          <w:p>
            <w:pPr>
              <w:spacing w:line="360" w:lineRule="auto"/>
              <w:jc w:val="center"/>
              <w:rPr>
                <w:rFonts w:ascii="宋体" w:hAnsi="宋体"/>
                <w:color w:val="000000" w:themeColor="text1"/>
                <w:szCs w:val="21"/>
              </w:rPr>
            </w:pPr>
          </w:p>
        </w:tc>
        <w:tc>
          <w:tcPr>
            <w:tcW w:w="842" w:type="dxa"/>
            <w:vAlign w:val="center"/>
          </w:tcPr>
          <w:p>
            <w:pPr>
              <w:spacing w:line="360" w:lineRule="auto"/>
              <w:jc w:val="center"/>
              <w:rPr>
                <w:rFonts w:ascii="宋体" w:hAnsi="宋体"/>
                <w:color w:val="000000" w:themeColor="text1"/>
                <w:szCs w:val="21"/>
              </w:rPr>
            </w:pPr>
          </w:p>
        </w:tc>
        <w:tc>
          <w:tcPr>
            <w:tcW w:w="209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1120" w:type="dxa"/>
            <w:vAlign w:val="center"/>
          </w:tcPr>
          <w:p>
            <w:pPr>
              <w:spacing w:line="360" w:lineRule="auto"/>
              <w:jc w:val="center"/>
              <w:rPr>
                <w:rFonts w:ascii="宋体" w:hAnsi="宋体"/>
                <w:color w:val="000000" w:themeColor="text1"/>
                <w:szCs w:val="21"/>
              </w:rPr>
            </w:pPr>
          </w:p>
        </w:tc>
        <w:tc>
          <w:tcPr>
            <w:tcW w:w="764" w:type="dxa"/>
            <w:vAlign w:val="center"/>
          </w:tcPr>
          <w:p>
            <w:pPr>
              <w:spacing w:line="360" w:lineRule="auto"/>
              <w:jc w:val="center"/>
              <w:rPr>
                <w:rFonts w:ascii="宋体" w:hAnsi="宋体"/>
                <w:color w:val="000000" w:themeColor="text1"/>
                <w:szCs w:val="21"/>
              </w:rPr>
            </w:pPr>
          </w:p>
        </w:tc>
        <w:tc>
          <w:tcPr>
            <w:tcW w:w="781" w:type="dxa"/>
            <w:vAlign w:val="center"/>
          </w:tcPr>
          <w:p>
            <w:pPr>
              <w:spacing w:line="360" w:lineRule="auto"/>
              <w:jc w:val="center"/>
              <w:rPr>
                <w:rFonts w:ascii="宋体" w:hAnsi="宋体"/>
                <w:color w:val="000000" w:themeColor="text1"/>
                <w:szCs w:val="21"/>
              </w:rPr>
            </w:pPr>
          </w:p>
        </w:tc>
        <w:tc>
          <w:tcPr>
            <w:tcW w:w="842" w:type="dxa"/>
            <w:vAlign w:val="center"/>
          </w:tcPr>
          <w:p>
            <w:pPr>
              <w:spacing w:line="360" w:lineRule="auto"/>
              <w:jc w:val="center"/>
              <w:rPr>
                <w:rFonts w:ascii="宋体" w:hAnsi="宋体"/>
                <w:color w:val="000000" w:themeColor="text1"/>
                <w:szCs w:val="21"/>
              </w:rPr>
            </w:pPr>
          </w:p>
        </w:tc>
        <w:tc>
          <w:tcPr>
            <w:tcW w:w="209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1120" w:type="dxa"/>
            <w:vAlign w:val="center"/>
          </w:tcPr>
          <w:p>
            <w:pPr>
              <w:spacing w:line="360" w:lineRule="auto"/>
              <w:jc w:val="center"/>
              <w:rPr>
                <w:rFonts w:ascii="宋体" w:hAnsi="宋体"/>
                <w:color w:val="000000" w:themeColor="text1"/>
                <w:szCs w:val="21"/>
              </w:rPr>
            </w:pPr>
          </w:p>
        </w:tc>
        <w:tc>
          <w:tcPr>
            <w:tcW w:w="764" w:type="dxa"/>
            <w:vAlign w:val="center"/>
          </w:tcPr>
          <w:p>
            <w:pPr>
              <w:spacing w:line="360" w:lineRule="auto"/>
              <w:jc w:val="center"/>
              <w:rPr>
                <w:rFonts w:ascii="宋体" w:hAnsi="宋体"/>
                <w:color w:val="000000" w:themeColor="text1"/>
                <w:szCs w:val="21"/>
              </w:rPr>
            </w:pPr>
          </w:p>
        </w:tc>
        <w:tc>
          <w:tcPr>
            <w:tcW w:w="781" w:type="dxa"/>
            <w:vAlign w:val="center"/>
          </w:tcPr>
          <w:p>
            <w:pPr>
              <w:spacing w:line="360" w:lineRule="auto"/>
              <w:jc w:val="center"/>
              <w:rPr>
                <w:rFonts w:ascii="宋体" w:hAnsi="宋体"/>
                <w:color w:val="000000" w:themeColor="text1"/>
                <w:szCs w:val="21"/>
              </w:rPr>
            </w:pPr>
          </w:p>
        </w:tc>
        <w:tc>
          <w:tcPr>
            <w:tcW w:w="842" w:type="dxa"/>
            <w:vAlign w:val="center"/>
          </w:tcPr>
          <w:p>
            <w:pPr>
              <w:spacing w:line="360" w:lineRule="auto"/>
              <w:jc w:val="center"/>
              <w:rPr>
                <w:rFonts w:ascii="宋体" w:hAnsi="宋体"/>
                <w:color w:val="000000" w:themeColor="text1"/>
                <w:szCs w:val="21"/>
              </w:rPr>
            </w:pPr>
          </w:p>
        </w:tc>
        <w:tc>
          <w:tcPr>
            <w:tcW w:w="209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1120" w:type="dxa"/>
            <w:vAlign w:val="center"/>
          </w:tcPr>
          <w:p>
            <w:pPr>
              <w:spacing w:line="360" w:lineRule="auto"/>
              <w:jc w:val="center"/>
              <w:rPr>
                <w:rFonts w:ascii="宋体" w:hAnsi="宋体"/>
                <w:color w:val="000000" w:themeColor="text1"/>
                <w:szCs w:val="21"/>
              </w:rPr>
            </w:pPr>
          </w:p>
        </w:tc>
        <w:tc>
          <w:tcPr>
            <w:tcW w:w="764" w:type="dxa"/>
            <w:vAlign w:val="center"/>
          </w:tcPr>
          <w:p>
            <w:pPr>
              <w:spacing w:line="360" w:lineRule="auto"/>
              <w:jc w:val="center"/>
              <w:rPr>
                <w:rFonts w:ascii="宋体" w:hAnsi="宋体"/>
                <w:color w:val="000000" w:themeColor="text1"/>
                <w:szCs w:val="21"/>
              </w:rPr>
            </w:pPr>
          </w:p>
        </w:tc>
        <w:tc>
          <w:tcPr>
            <w:tcW w:w="781" w:type="dxa"/>
            <w:vAlign w:val="center"/>
          </w:tcPr>
          <w:p>
            <w:pPr>
              <w:spacing w:line="360" w:lineRule="auto"/>
              <w:jc w:val="center"/>
              <w:rPr>
                <w:rFonts w:ascii="宋体" w:hAnsi="宋体"/>
                <w:color w:val="000000" w:themeColor="text1"/>
                <w:szCs w:val="21"/>
              </w:rPr>
            </w:pPr>
          </w:p>
        </w:tc>
        <w:tc>
          <w:tcPr>
            <w:tcW w:w="842" w:type="dxa"/>
            <w:vAlign w:val="center"/>
          </w:tcPr>
          <w:p>
            <w:pPr>
              <w:spacing w:line="360" w:lineRule="auto"/>
              <w:jc w:val="center"/>
              <w:rPr>
                <w:rFonts w:ascii="宋体" w:hAnsi="宋体"/>
                <w:color w:val="000000" w:themeColor="text1"/>
                <w:szCs w:val="21"/>
              </w:rPr>
            </w:pPr>
          </w:p>
        </w:tc>
        <w:tc>
          <w:tcPr>
            <w:tcW w:w="209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1120" w:type="dxa"/>
            <w:vAlign w:val="center"/>
          </w:tcPr>
          <w:p>
            <w:pPr>
              <w:spacing w:line="360" w:lineRule="auto"/>
              <w:jc w:val="center"/>
              <w:rPr>
                <w:rFonts w:ascii="宋体" w:hAnsi="宋体"/>
                <w:color w:val="000000" w:themeColor="text1"/>
                <w:szCs w:val="21"/>
              </w:rPr>
            </w:pPr>
          </w:p>
        </w:tc>
        <w:tc>
          <w:tcPr>
            <w:tcW w:w="764" w:type="dxa"/>
            <w:vAlign w:val="center"/>
          </w:tcPr>
          <w:p>
            <w:pPr>
              <w:spacing w:line="360" w:lineRule="auto"/>
              <w:jc w:val="center"/>
              <w:rPr>
                <w:rFonts w:ascii="宋体" w:hAnsi="宋体"/>
                <w:color w:val="000000" w:themeColor="text1"/>
                <w:szCs w:val="21"/>
              </w:rPr>
            </w:pPr>
          </w:p>
        </w:tc>
        <w:tc>
          <w:tcPr>
            <w:tcW w:w="781" w:type="dxa"/>
            <w:vAlign w:val="center"/>
          </w:tcPr>
          <w:p>
            <w:pPr>
              <w:spacing w:line="360" w:lineRule="auto"/>
              <w:jc w:val="center"/>
              <w:rPr>
                <w:rFonts w:ascii="宋体" w:hAnsi="宋体"/>
                <w:color w:val="000000" w:themeColor="text1"/>
                <w:szCs w:val="21"/>
              </w:rPr>
            </w:pPr>
          </w:p>
        </w:tc>
        <w:tc>
          <w:tcPr>
            <w:tcW w:w="842" w:type="dxa"/>
            <w:vAlign w:val="center"/>
          </w:tcPr>
          <w:p>
            <w:pPr>
              <w:spacing w:line="360" w:lineRule="auto"/>
              <w:jc w:val="center"/>
              <w:rPr>
                <w:rFonts w:ascii="宋体" w:hAnsi="宋体"/>
                <w:color w:val="000000" w:themeColor="text1"/>
                <w:szCs w:val="21"/>
              </w:rPr>
            </w:pPr>
          </w:p>
        </w:tc>
        <w:tc>
          <w:tcPr>
            <w:tcW w:w="209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1120" w:type="dxa"/>
            <w:vAlign w:val="center"/>
          </w:tcPr>
          <w:p>
            <w:pPr>
              <w:spacing w:line="360" w:lineRule="auto"/>
              <w:jc w:val="center"/>
              <w:rPr>
                <w:rFonts w:ascii="宋体" w:hAnsi="宋体"/>
                <w:color w:val="000000" w:themeColor="text1"/>
                <w:szCs w:val="21"/>
              </w:rPr>
            </w:pPr>
          </w:p>
        </w:tc>
        <w:tc>
          <w:tcPr>
            <w:tcW w:w="764" w:type="dxa"/>
            <w:vAlign w:val="center"/>
          </w:tcPr>
          <w:p>
            <w:pPr>
              <w:spacing w:line="360" w:lineRule="auto"/>
              <w:jc w:val="center"/>
              <w:rPr>
                <w:rFonts w:ascii="宋体" w:hAnsi="宋体"/>
                <w:color w:val="000000" w:themeColor="text1"/>
                <w:szCs w:val="21"/>
              </w:rPr>
            </w:pPr>
          </w:p>
        </w:tc>
        <w:tc>
          <w:tcPr>
            <w:tcW w:w="781" w:type="dxa"/>
            <w:vAlign w:val="center"/>
          </w:tcPr>
          <w:p>
            <w:pPr>
              <w:spacing w:line="360" w:lineRule="auto"/>
              <w:jc w:val="center"/>
              <w:rPr>
                <w:rFonts w:ascii="宋体" w:hAnsi="宋体"/>
                <w:color w:val="000000" w:themeColor="text1"/>
                <w:szCs w:val="21"/>
              </w:rPr>
            </w:pPr>
          </w:p>
        </w:tc>
        <w:tc>
          <w:tcPr>
            <w:tcW w:w="842" w:type="dxa"/>
            <w:vAlign w:val="center"/>
          </w:tcPr>
          <w:p>
            <w:pPr>
              <w:spacing w:line="360" w:lineRule="auto"/>
              <w:jc w:val="center"/>
              <w:rPr>
                <w:rFonts w:ascii="宋体" w:hAnsi="宋体"/>
                <w:color w:val="000000" w:themeColor="text1"/>
                <w:szCs w:val="21"/>
              </w:rPr>
            </w:pPr>
          </w:p>
        </w:tc>
        <w:tc>
          <w:tcPr>
            <w:tcW w:w="209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1120" w:type="dxa"/>
            <w:vAlign w:val="center"/>
          </w:tcPr>
          <w:p>
            <w:pPr>
              <w:spacing w:line="360" w:lineRule="auto"/>
              <w:jc w:val="center"/>
              <w:rPr>
                <w:rFonts w:ascii="宋体" w:hAnsi="宋体"/>
                <w:color w:val="000000" w:themeColor="text1"/>
                <w:szCs w:val="21"/>
              </w:rPr>
            </w:pPr>
          </w:p>
        </w:tc>
        <w:tc>
          <w:tcPr>
            <w:tcW w:w="764" w:type="dxa"/>
            <w:vAlign w:val="center"/>
          </w:tcPr>
          <w:p>
            <w:pPr>
              <w:spacing w:line="360" w:lineRule="auto"/>
              <w:jc w:val="center"/>
              <w:rPr>
                <w:rFonts w:ascii="宋体" w:hAnsi="宋体"/>
                <w:color w:val="000000" w:themeColor="text1"/>
                <w:szCs w:val="21"/>
              </w:rPr>
            </w:pPr>
          </w:p>
        </w:tc>
        <w:tc>
          <w:tcPr>
            <w:tcW w:w="781" w:type="dxa"/>
            <w:vAlign w:val="center"/>
          </w:tcPr>
          <w:p>
            <w:pPr>
              <w:spacing w:line="360" w:lineRule="auto"/>
              <w:jc w:val="center"/>
              <w:rPr>
                <w:rFonts w:ascii="宋体" w:hAnsi="宋体"/>
                <w:color w:val="000000" w:themeColor="text1"/>
                <w:szCs w:val="21"/>
              </w:rPr>
            </w:pPr>
          </w:p>
        </w:tc>
        <w:tc>
          <w:tcPr>
            <w:tcW w:w="842" w:type="dxa"/>
            <w:vAlign w:val="center"/>
          </w:tcPr>
          <w:p>
            <w:pPr>
              <w:spacing w:line="360" w:lineRule="auto"/>
              <w:jc w:val="center"/>
              <w:rPr>
                <w:rFonts w:ascii="宋体" w:hAnsi="宋体"/>
                <w:color w:val="000000" w:themeColor="text1"/>
                <w:szCs w:val="21"/>
              </w:rPr>
            </w:pPr>
          </w:p>
        </w:tc>
        <w:tc>
          <w:tcPr>
            <w:tcW w:w="209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1120" w:type="dxa"/>
            <w:vAlign w:val="center"/>
          </w:tcPr>
          <w:p>
            <w:pPr>
              <w:spacing w:line="360" w:lineRule="auto"/>
              <w:jc w:val="center"/>
              <w:rPr>
                <w:rFonts w:ascii="宋体" w:hAnsi="宋体"/>
                <w:color w:val="000000" w:themeColor="text1"/>
                <w:szCs w:val="21"/>
              </w:rPr>
            </w:pPr>
          </w:p>
        </w:tc>
        <w:tc>
          <w:tcPr>
            <w:tcW w:w="764" w:type="dxa"/>
            <w:vAlign w:val="center"/>
          </w:tcPr>
          <w:p>
            <w:pPr>
              <w:spacing w:line="360" w:lineRule="auto"/>
              <w:jc w:val="center"/>
              <w:rPr>
                <w:rFonts w:ascii="宋体" w:hAnsi="宋体"/>
                <w:color w:val="000000" w:themeColor="text1"/>
                <w:szCs w:val="21"/>
              </w:rPr>
            </w:pPr>
          </w:p>
        </w:tc>
        <w:tc>
          <w:tcPr>
            <w:tcW w:w="781" w:type="dxa"/>
            <w:vAlign w:val="center"/>
          </w:tcPr>
          <w:p>
            <w:pPr>
              <w:spacing w:line="360" w:lineRule="auto"/>
              <w:jc w:val="center"/>
              <w:rPr>
                <w:rFonts w:ascii="宋体" w:hAnsi="宋体"/>
                <w:color w:val="000000" w:themeColor="text1"/>
                <w:szCs w:val="21"/>
              </w:rPr>
            </w:pPr>
          </w:p>
        </w:tc>
        <w:tc>
          <w:tcPr>
            <w:tcW w:w="842" w:type="dxa"/>
            <w:vAlign w:val="center"/>
          </w:tcPr>
          <w:p>
            <w:pPr>
              <w:spacing w:line="360" w:lineRule="auto"/>
              <w:jc w:val="center"/>
              <w:rPr>
                <w:rFonts w:ascii="宋体" w:hAnsi="宋体"/>
                <w:color w:val="000000" w:themeColor="text1"/>
                <w:szCs w:val="21"/>
              </w:rPr>
            </w:pPr>
          </w:p>
        </w:tc>
        <w:tc>
          <w:tcPr>
            <w:tcW w:w="209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c>
          <w:tcPr>
            <w:tcW w:w="1120" w:type="dxa"/>
            <w:vAlign w:val="center"/>
          </w:tcPr>
          <w:p>
            <w:pPr>
              <w:spacing w:line="360" w:lineRule="auto"/>
              <w:jc w:val="center"/>
              <w:rPr>
                <w:rFonts w:ascii="宋体" w:hAnsi="宋体"/>
                <w:color w:val="000000" w:themeColor="text1"/>
                <w:szCs w:val="21"/>
              </w:rPr>
            </w:pPr>
          </w:p>
        </w:tc>
        <w:tc>
          <w:tcPr>
            <w:tcW w:w="764" w:type="dxa"/>
            <w:vAlign w:val="center"/>
          </w:tcPr>
          <w:p>
            <w:pPr>
              <w:spacing w:line="360" w:lineRule="auto"/>
              <w:jc w:val="center"/>
              <w:rPr>
                <w:rFonts w:ascii="宋体" w:hAnsi="宋体"/>
                <w:color w:val="000000" w:themeColor="text1"/>
                <w:szCs w:val="21"/>
              </w:rPr>
            </w:pPr>
          </w:p>
        </w:tc>
        <w:tc>
          <w:tcPr>
            <w:tcW w:w="781" w:type="dxa"/>
            <w:vAlign w:val="center"/>
          </w:tcPr>
          <w:p>
            <w:pPr>
              <w:spacing w:line="360" w:lineRule="auto"/>
              <w:jc w:val="center"/>
              <w:rPr>
                <w:rFonts w:ascii="宋体" w:hAnsi="宋体"/>
                <w:color w:val="000000" w:themeColor="text1"/>
                <w:szCs w:val="21"/>
              </w:rPr>
            </w:pPr>
          </w:p>
        </w:tc>
        <w:tc>
          <w:tcPr>
            <w:tcW w:w="842" w:type="dxa"/>
            <w:vAlign w:val="center"/>
          </w:tcPr>
          <w:p>
            <w:pPr>
              <w:spacing w:line="360" w:lineRule="auto"/>
              <w:jc w:val="center"/>
              <w:rPr>
                <w:rFonts w:ascii="宋体" w:hAnsi="宋体"/>
                <w:color w:val="000000" w:themeColor="text1"/>
                <w:szCs w:val="21"/>
              </w:rPr>
            </w:pPr>
          </w:p>
        </w:tc>
        <w:tc>
          <w:tcPr>
            <w:tcW w:w="2094" w:type="dxa"/>
            <w:vAlign w:val="center"/>
          </w:tcPr>
          <w:p>
            <w:pPr>
              <w:spacing w:line="360" w:lineRule="auto"/>
              <w:jc w:val="center"/>
              <w:rPr>
                <w:rFonts w:ascii="宋体" w:hAnsi="宋体"/>
                <w:color w:val="000000" w:themeColor="text1"/>
                <w:szCs w:val="21"/>
              </w:rPr>
            </w:pPr>
          </w:p>
        </w:tc>
        <w:tc>
          <w:tcPr>
            <w:tcW w:w="703" w:type="dxa"/>
            <w:vAlign w:val="center"/>
          </w:tcPr>
          <w:p>
            <w:pPr>
              <w:spacing w:line="360" w:lineRule="auto"/>
              <w:jc w:val="center"/>
              <w:rPr>
                <w:rFonts w:ascii="宋体" w:hAnsi="宋体"/>
                <w:color w:val="000000" w:themeColor="text1"/>
                <w:szCs w:val="21"/>
              </w:rPr>
            </w:pPr>
          </w:p>
        </w:tc>
      </w:tr>
    </w:tbl>
    <w:p>
      <w:pPr>
        <w:spacing w:line="360" w:lineRule="auto"/>
        <w:rPr>
          <w:rFonts w:ascii="宋体" w:hAnsi="宋体"/>
          <w:color w:val="000000" w:themeColor="text1"/>
          <w:szCs w:val="21"/>
        </w:rPr>
      </w:pPr>
    </w:p>
    <w:p>
      <w:pPr>
        <w:spacing w:before="156" w:beforeLines="50" w:after="156" w:afterLines="50" w:line="360" w:lineRule="auto"/>
        <w:rPr>
          <w:rFonts w:ascii="黑体" w:hAnsi="宋体" w:eastAsia="黑体"/>
          <w:color w:val="000000" w:themeColor="text1"/>
        </w:rPr>
      </w:pPr>
      <w:r>
        <w:rPr>
          <w:rFonts w:ascii="宋体" w:hAnsi="宋体"/>
          <w:color w:val="000000" w:themeColor="text1"/>
          <w:szCs w:val="21"/>
        </w:rPr>
        <w:br w:type="page"/>
      </w:r>
      <w:r>
        <w:rPr>
          <w:rFonts w:hint="eastAsia" w:ascii="黑体" w:hAnsi="宋体" w:eastAsia="黑体"/>
          <w:color w:val="000000" w:themeColor="text1"/>
        </w:rPr>
        <w:t>2.主要人员简历表</w:t>
      </w:r>
    </w:p>
    <w:p>
      <w:pPr>
        <w:spacing w:before="312" w:beforeLines="100" w:after="156" w:afterLines="50" w:line="360" w:lineRule="auto"/>
        <w:jc w:val="center"/>
        <w:rPr>
          <w:rFonts w:ascii="黑体" w:hAnsi="宋体" w:eastAsia="黑体"/>
          <w:color w:val="000000" w:themeColor="text1"/>
        </w:rPr>
      </w:pPr>
      <w:r>
        <w:rPr>
          <w:rFonts w:hint="eastAsia" w:ascii="黑体" w:hAnsi="宋体" w:eastAsia="黑体"/>
          <w:color w:val="000000" w:themeColor="text1"/>
        </w:rPr>
        <w:t>附1：项目经理简历表</w:t>
      </w:r>
    </w:p>
    <w:p>
      <w:pPr>
        <w:spacing w:line="360" w:lineRule="auto"/>
        <w:rPr>
          <w:rFonts w:ascii="宋体" w:hAnsi="宋体"/>
          <w:color w:val="000000" w:themeColor="text1"/>
          <w:szCs w:val="21"/>
        </w:rPr>
      </w:pPr>
      <w:r>
        <w:rPr>
          <w:rFonts w:hint="eastAsia" w:ascii="宋体" w:hAnsi="宋体"/>
          <w:color w:val="000000" w:themeColor="text1"/>
          <w:szCs w:val="21"/>
        </w:rPr>
        <w:t>项目经理应附建造师执业资格证书、注册证书、安全生产考核合格证书、身份证、职称证、</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学历证、养老保险复印件及未担任其他在施建设工程项目项目经理的承诺书，管理过的项目业绩须附合同协议书和工程接收证书(工程竣工验收证书)。类似项目限于以项目经理身份参与的项目。</w:t>
      </w:r>
    </w:p>
    <w:tbl>
      <w:tblPr>
        <w:tblStyle w:val="44"/>
        <w:tblW w:w="8414" w:type="dxa"/>
        <w:tblInd w:w="108" w:type="dxa"/>
        <w:tblLayout w:type="fixed"/>
        <w:tblCellMar>
          <w:top w:w="0" w:type="dxa"/>
          <w:left w:w="108" w:type="dxa"/>
          <w:bottom w:w="0" w:type="dxa"/>
          <w:right w:w="108" w:type="dxa"/>
        </w:tblCellMar>
      </w:tblPr>
      <w:tblGrid>
        <w:gridCol w:w="1082"/>
        <w:gridCol w:w="1023"/>
        <w:gridCol w:w="1124"/>
        <w:gridCol w:w="1262"/>
        <w:gridCol w:w="1822"/>
        <w:gridCol w:w="2101"/>
      </w:tblGrid>
      <w:tr>
        <w:tblPrEx>
          <w:tblCellMar>
            <w:top w:w="0" w:type="dxa"/>
            <w:left w:w="108" w:type="dxa"/>
            <w:bottom w:w="0" w:type="dxa"/>
            <w:right w:w="108" w:type="dxa"/>
          </w:tblCellMar>
        </w:tblPrEx>
        <w:trPr>
          <w:trHeight w:val="454" w:hRule="atLeast"/>
        </w:trPr>
        <w:tc>
          <w:tcPr>
            <w:tcW w:w="1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姓  名</w:t>
            </w: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c>
          <w:tcPr>
            <w:tcW w:w="11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年  龄</w:t>
            </w: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学历</w:t>
            </w:r>
          </w:p>
        </w:tc>
        <w:tc>
          <w:tcPr>
            <w:tcW w:w="21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r>
      <w:tr>
        <w:tblPrEx>
          <w:tblCellMar>
            <w:top w:w="0" w:type="dxa"/>
            <w:left w:w="108" w:type="dxa"/>
            <w:bottom w:w="0" w:type="dxa"/>
            <w:right w:w="108" w:type="dxa"/>
          </w:tblCellMar>
        </w:tblPrEx>
        <w:trPr>
          <w:trHeight w:val="454" w:hRule="atLeast"/>
        </w:trPr>
        <w:tc>
          <w:tcPr>
            <w:tcW w:w="1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职  称</w:t>
            </w: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c>
          <w:tcPr>
            <w:tcW w:w="11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职  务</w:t>
            </w: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拟在本工程任职</w:t>
            </w:r>
          </w:p>
        </w:tc>
        <w:tc>
          <w:tcPr>
            <w:tcW w:w="21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项目经理</w:t>
            </w:r>
          </w:p>
        </w:tc>
      </w:tr>
      <w:tr>
        <w:tblPrEx>
          <w:tblCellMar>
            <w:top w:w="0" w:type="dxa"/>
            <w:left w:w="108" w:type="dxa"/>
            <w:bottom w:w="0" w:type="dxa"/>
            <w:right w:w="108" w:type="dxa"/>
          </w:tblCellMar>
        </w:tblPrEx>
        <w:trPr>
          <w:trHeight w:val="454" w:hRule="atLeast"/>
        </w:trPr>
        <w:tc>
          <w:tcPr>
            <w:tcW w:w="322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注册建造师执业资格等级</w:t>
            </w: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 xml:space="preserve">      级</w:t>
            </w: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建造师专业</w:t>
            </w:r>
          </w:p>
        </w:tc>
        <w:tc>
          <w:tcPr>
            <w:tcW w:w="21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r>
      <w:tr>
        <w:tblPrEx>
          <w:tblCellMar>
            <w:top w:w="0" w:type="dxa"/>
            <w:left w:w="108" w:type="dxa"/>
            <w:bottom w:w="0" w:type="dxa"/>
            <w:right w:w="108" w:type="dxa"/>
          </w:tblCellMar>
        </w:tblPrEx>
        <w:trPr>
          <w:trHeight w:val="454" w:hRule="atLeast"/>
        </w:trPr>
        <w:tc>
          <w:tcPr>
            <w:tcW w:w="322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安全生产考核合格证书</w:t>
            </w:r>
          </w:p>
        </w:tc>
        <w:tc>
          <w:tcPr>
            <w:tcW w:w="5185"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r>
      <w:tr>
        <w:tblPrEx>
          <w:tblCellMar>
            <w:top w:w="0" w:type="dxa"/>
            <w:left w:w="108" w:type="dxa"/>
            <w:bottom w:w="0" w:type="dxa"/>
            <w:right w:w="108" w:type="dxa"/>
          </w:tblCellMar>
        </w:tblPrEx>
        <w:trPr>
          <w:trHeight w:val="454" w:hRule="atLeast"/>
        </w:trPr>
        <w:tc>
          <w:tcPr>
            <w:tcW w:w="1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毕业学校</w:t>
            </w:r>
          </w:p>
        </w:tc>
        <w:tc>
          <w:tcPr>
            <w:tcW w:w="733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840" w:firstLineChars="400"/>
              <w:rPr>
                <w:rFonts w:ascii="宋体" w:hAnsi="宋体"/>
                <w:color w:val="000000" w:themeColor="text1"/>
                <w:szCs w:val="21"/>
              </w:rPr>
            </w:pPr>
            <w:r>
              <w:rPr>
                <w:rFonts w:hint="eastAsia" w:ascii="宋体" w:hAnsi="宋体"/>
                <w:color w:val="000000" w:themeColor="text1"/>
                <w:szCs w:val="21"/>
              </w:rPr>
              <w:t>年毕业于                  学校            专业</w:t>
            </w:r>
          </w:p>
        </w:tc>
      </w:tr>
      <w:tr>
        <w:tblPrEx>
          <w:tblCellMar>
            <w:top w:w="0" w:type="dxa"/>
            <w:left w:w="108" w:type="dxa"/>
            <w:bottom w:w="0" w:type="dxa"/>
            <w:right w:w="108" w:type="dxa"/>
          </w:tblCellMar>
        </w:tblPrEx>
        <w:trPr>
          <w:trHeight w:val="454" w:hRule="atLeast"/>
        </w:trPr>
        <w:tc>
          <w:tcPr>
            <w:tcW w:w="8414"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主要工作经历</w:t>
            </w:r>
          </w:p>
        </w:tc>
      </w:tr>
      <w:tr>
        <w:tblPrEx>
          <w:tblCellMar>
            <w:top w:w="0" w:type="dxa"/>
            <w:left w:w="108" w:type="dxa"/>
            <w:bottom w:w="0" w:type="dxa"/>
            <w:right w:w="108" w:type="dxa"/>
          </w:tblCellMar>
        </w:tblPrEx>
        <w:trPr>
          <w:trHeight w:val="454" w:hRule="atLeast"/>
        </w:trPr>
        <w:tc>
          <w:tcPr>
            <w:tcW w:w="1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时  间</w:t>
            </w:r>
          </w:p>
        </w:tc>
        <w:tc>
          <w:tcPr>
            <w:tcW w:w="340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参加过的类似项目名称</w:t>
            </w: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工程概况说明</w:t>
            </w:r>
          </w:p>
        </w:tc>
        <w:tc>
          <w:tcPr>
            <w:tcW w:w="21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发包人及联系电话</w:t>
            </w:r>
          </w:p>
        </w:tc>
      </w:tr>
      <w:tr>
        <w:tblPrEx>
          <w:tblCellMar>
            <w:top w:w="0" w:type="dxa"/>
            <w:left w:w="108" w:type="dxa"/>
            <w:bottom w:w="0" w:type="dxa"/>
            <w:right w:w="108" w:type="dxa"/>
          </w:tblCellMar>
        </w:tblPrEx>
        <w:trPr>
          <w:trHeight w:val="680" w:hRule="atLeast"/>
        </w:trPr>
        <w:tc>
          <w:tcPr>
            <w:tcW w:w="1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c>
          <w:tcPr>
            <w:tcW w:w="11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c>
          <w:tcPr>
            <w:tcW w:w="21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r>
      <w:tr>
        <w:tblPrEx>
          <w:tblCellMar>
            <w:top w:w="0" w:type="dxa"/>
            <w:left w:w="108" w:type="dxa"/>
            <w:bottom w:w="0" w:type="dxa"/>
            <w:right w:w="108" w:type="dxa"/>
          </w:tblCellMar>
        </w:tblPrEx>
        <w:trPr>
          <w:trHeight w:val="680" w:hRule="atLeast"/>
        </w:trPr>
        <w:tc>
          <w:tcPr>
            <w:tcW w:w="1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c>
          <w:tcPr>
            <w:tcW w:w="11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c>
          <w:tcPr>
            <w:tcW w:w="21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r>
      <w:tr>
        <w:tblPrEx>
          <w:tblCellMar>
            <w:top w:w="0" w:type="dxa"/>
            <w:left w:w="108" w:type="dxa"/>
            <w:bottom w:w="0" w:type="dxa"/>
            <w:right w:w="108" w:type="dxa"/>
          </w:tblCellMar>
        </w:tblPrEx>
        <w:trPr>
          <w:trHeight w:val="680" w:hRule="atLeast"/>
        </w:trPr>
        <w:tc>
          <w:tcPr>
            <w:tcW w:w="1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c>
          <w:tcPr>
            <w:tcW w:w="11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c>
          <w:tcPr>
            <w:tcW w:w="21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r>
      <w:tr>
        <w:tblPrEx>
          <w:tblCellMar>
            <w:top w:w="0" w:type="dxa"/>
            <w:left w:w="108" w:type="dxa"/>
            <w:bottom w:w="0" w:type="dxa"/>
            <w:right w:w="108" w:type="dxa"/>
          </w:tblCellMar>
        </w:tblPrEx>
        <w:trPr>
          <w:trHeight w:val="680" w:hRule="atLeast"/>
        </w:trPr>
        <w:tc>
          <w:tcPr>
            <w:tcW w:w="1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c>
          <w:tcPr>
            <w:tcW w:w="11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c>
          <w:tcPr>
            <w:tcW w:w="21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r>
      <w:tr>
        <w:tblPrEx>
          <w:tblCellMar>
            <w:top w:w="0" w:type="dxa"/>
            <w:left w:w="108" w:type="dxa"/>
            <w:bottom w:w="0" w:type="dxa"/>
            <w:right w:w="108" w:type="dxa"/>
          </w:tblCellMar>
        </w:tblPrEx>
        <w:trPr>
          <w:trHeight w:val="680" w:hRule="atLeast"/>
        </w:trPr>
        <w:tc>
          <w:tcPr>
            <w:tcW w:w="1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c>
          <w:tcPr>
            <w:tcW w:w="11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c>
          <w:tcPr>
            <w:tcW w:w="21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r>
      <w:tr>
        <w:tblPrEx>
          <w:tblCellMar>
            <w:top w:w="0" w:type="dxa"/>
            <w:left w:w="108" w:type="dxa"/>
            <w:bottom w:w="0" w:type="dxa"/>
            <w:right w:w="108" w:type="dxa"/>
          </w:tblCellMar>
        </w:tblPrEx>
        <w:trPr>
          <w:trHeight w:val="680" w:hRule="atLeast"/>
        </w:trPr>
        <w:tc>
          <w:tcPr>
            <w:tcW w:w="1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c>
          <w:tcPr>
            <w:tcW w:w="11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c>
          <w:tcPr>
            <w:tcW w:w="21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r>
      <w:tr>
        <w:tblPrEx>
          <w:tblCellMar>
            <w:top w:w="0" w:type="dxa"/>
            <w:left w:w="108" w:type="dxa"/>
            <w:bottom w:w="0" w:type="dxa"/>
            <w:right w:w="108" w:type="dxa"/>
          </w:tblCellMar>
        </w:tblPrEx>
        <w:trPr>
          <w:trHeight w:val="680" w:hRule="atLeast"/>
        </w:trPr>
        <w:tc>
          <w:tcPr>
            <w:tcW w:w="108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c>
          <w:tcPr>
            <w:tcW w:w="102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c>
          <w:tcPr>
            <w:tcW w:w="11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c>
          <w:tcPr>
            <w:tcW w:w="182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c>
          <w:tcPr>
            <w:tcW w:w="210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themeColor="text1"/>
                <w:szCs w:val="21"/>
              </w:rPr>
            </w:pPr>
          </w:p>
        </w:tc>
      </w:tr>
      <w:tr>
        <w:tblPrEx>
          <w:tblCellMar>
            <w:top w:w="0" w:type="dxa"/>
            <w:left w:w="108" w:type="dxa"/>
            <w:bottom w:w="0" w:type="dxa"/>
            <w:right w:w="108" w:type="dxa"/>
          </w:tblCellMar>
        </w:tblPrEx>
        <w:trPr>
          <w:trHeight w:val="1350" w:hRule="atLeast"/>
        </w:trPr>
        <w:tc>
          <w:tcPr>
            <w:tcW w:w="8414" w:type="dxa"/>
            <w:gridSpan w:val="6"/>
            <w:tcBorders>
              <w:top w:val="single" w:color="auto" w:sz="4" w:space="0"/>
              <w:left w:val="single" w:color="auto" w:sz="4" w:space="0"/>
              <w:bottom w:val="single" w:color="auto" w:sz="4" w:space="0"/>
              <w:right w:val="single" w:color="auto" w:sz="4" w:space="0"/>
            </w:tcBorders>
          </w:tcPr>
          <w:p>
            <w:pPr>
              <w:spacing w:line="360" w:lineRule="auto"/>
              <w:rPr>
                <w:rFonts w:ascii="宋体" w:hAnsi="宋体"/>
                <w:color w:val="000000" w:themeColor="text1"/>
                <w:szCs w:val="21"/>
              </w:rPr>
            </w:pPr>
            <w:r>
              <w:rPr>
                <w:rFonts w:hint="eastAsia"/>
                <w:color w:val="000000" w:themeColor="text1"/>
                <w:sz w:val="28"/>
              </w:rPr>
              <w:t>是否有在建工程情况：</w:t>
            </w:r>
          </w:p>
        </w:tc>
      </w:tr>
    </w:tbl>
    <w:p>
      <w:pPr>
        <w:spacing w:before="312" w:beforeLines="100" w:after="156" w:afterLines="50" w:line="360" w:lineRule="auto"/>
        <w:jc w:val="center"/>
        <w:rPr>
          <w:rFonts w:ascii="黑体" w:hAnsi="宋体" w:eastAsia="黑体"/>
          <w:color w:val="000000" w:themeColor="text1"/>
        </w:rPr>
      </w:pPr>
      <w:r>
        <w:rPr>
          <w:rFonts w:ascii="宋体" w:hAnsi="宋体"/>
          <w:color w:val="000000" w:themeColor="text1"/>
          <w:szCs w:val="21"/>
        </w:rPr>
        <w:br w:type="page"/>
      </w:r>
      <w:r>
        <w:rPr>
          <w:rFonts w:hint="eastAsia" w:ascii="黑体" w:hAnsi="宋体" w:eastAsia="黑体"/>
          <w:color w:val="000000" w:themeColor="text1"/>
        </w:rPr>
        <w:t>附2：项目经理类似工程和获奖工程情况简表</w:t>
      </w:r>
    </w:p>
    <w:tbl>
      <w:tblPr>
        <w:tblStyle w:val="44"/>
        <w:tblW w:w="839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73"/>
        <w:gridCol w:w="691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49" w:hRule="atLeast"/>
        </w:trPr>
        <w:tc>
          <w:tcPr>
            <w:tcW w:w="1473" w:type="dxa"/>
            <w:tcBorders>
              <w:top w:val="single" w:color="auto" w:sz="12" w:space="0"/>
              <w:left w:val="single" w:color="auto" w:sz="12" w:space="0"/>
              <w:right w:val="single" w:color="auto" w:sz="4" w:space="0"/>
            </w:tcBorders>
            <w:vAlign w:val="center"/>
          </w:tcPr>
          <w:p>
            <w:pPr>
              <w:snapToGrid w:val="0"/>
              <w:spacing w:line="360" w:lineRule="auto"/>
              <w:rPr>
                <w:color w:val="000000" w:themeColor="text1"/>
              </w:rPr>
            </w:pPr>
            <w:r>
              <w:rPr>
                <w:rFonts w:hint="eastAsia" w:hAnsi="宋体"/>
                <w:color w:val="000000" w:themeColor="text1"/>
              </w:rPr>
              <w:t>合同号</w:t>
            </w:r>
          </w:p>
        </w:tc>
        <w:tc>
          <w:tcPr>
            <w:tcW w:w="6919" w:type="dxa"/>
            <w:tcBorders>
              <w:top w:val="single" w:color="auto" w:sz="12" w:space="0"/>
              <w:left w:val="single" w:color="auto" w:sz="4" w:space="0"/>
              <w:right w:val="single" w:color="auto" w:sz="12" w:space="0"/>
            </w:tcBorders>
            <w:vAlign w:val="center"/>
          </w:tcPr>
          <w:p>
            <w:pPr>
              <w:snapToGrid w:val="0"/>
              <w:spacing w:line="360" w:lineRule="auto"/>
              <w:rPr>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4" w:hRule="atLeast"/>
        </w:trPr>
        <w:tc>
          <w:tcPr>
            <w:tcW w:w="1473" w:type="dxa"/>
            <w:tcBorders>
              <w:left w:val="single" w:color="auto" w:sz="12" w:space="0"/>
              <w:right w:val="single" w:color="auto" w:sz="4" w:space="0"/>
            </w:tcBorders>
            <w:vAlign w:val="center"/>
          </w:tcPr>
          <w:p>
            <w:pPr>
              <w:snapToGrid w:val="0"/>
              <w:spacing w:line="360" w:lineRule="auto"/>
              <w:rPr>
                <w:color w:val="000000" w:themeColor="text1"/>
              </w:rPr>
            </w:pPr>
            <w:r>
              <w:rPr>
                <w:rFonts w:hint="eastAsia" w:hAnsi="宋体"/>
                <w:color w:val="000000" w:themeColor="text1"/>
              </w:rPr>
              <w:t>工程名称</w:t>
            </w:r>
          </w:p>
        </w:tc>
        <w:tc>
          <w:tcPr>
            <w:tcW w:w="6919" w:type="dxa"/>
            <w:tcBorders>
              <w:left w:val="single" w:color="auto" w:sz="4" w:space="0"/>
              <w:right w:val="single" w:color="auto" w:sz="12" w:space="0"/>
            </w:tcBorders>
            <w:vAlign w:val="center"/>
          </w:tcPr>
          <w:p>
            <w:pPr>
              <w:snapToGrid w:val="0"/>
              <w:spacing w:line="360" w:lineRule="auto"/>
              <w:rPr>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5" w:hRule="atLeast"/>
        </w:trPr>
        <w:tc>
          <w:tcPr>
            <w:tcW w:w="1473" w:type="dxa"/>
            <w:tcBorders>
              <w:left w:val="single" w:color="auto" w:sz="12" w:space="0"/>
              <w:right w:val="single" w:color="auto" w:sz="4" w:space="0"/>
            </w:tcBorders>
            <w:vAlign w:val="center"/>
          </w:tcPr>
          <w:p>
            <w:pPr>
              <w:snapToGrid w:val="0"/>
              <w:spacing w:line="360" w:lineRule="auto"/>
              <w:rPr>
                <w:color w:val="000000" w:themeColor="text1"/>
              </w:rPr>
            </w:pPr>
            <w:r>
              <w:rPr>
                <w:rFonts w:hint="eastAsia" w:hAnsi="宋体"/>
                <w:color w:val="000000" w:themeColor="text1"/>
              </w:rPr>
              <w:t>工程地址</w:t>
            </w:r>
          </w:p>
        </w:tc>
        <w:tc>
          <w:tcPr>
            <w:tcW w:w="6919" w:type="dxa"/>
            <w:tcBorders>
              <w:left w:val="single" w:color="auto" w:sz="4" w:space="0"/>
              <w:right w:val="single" w:color="auto" w:sz="12" w:space="0"/>
            </w:tcBorders>
            <w:vAlign w:val="center"/>
          </w:tcPr>
          <w:p>
            <w:pPr>
              <w:snapToGrid w:val="0"/>
              <w:spacing w:line="360" w:lineRule="auto"/>
              <w:rPr>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3" w:hRule="atLeast"/>
        </w:trPr>
        <w:tc>
          <w:tcPr>
            <w:tcW w:w="1473" w:type="dxa"/>
            <w:tcBorders>
              <w:left w:val="single" w:color="auto" w:sz="12" w:space="0"/>
              <w:right w:val="single" w:color="auto" w:sz="4" w:space="0"/>
            </w:tcBorders>
            <w:vAlign w:val="center"/>
          </w:tcPr>
          <w:p>
            <w:pPr>
              <w:snapToGrid w:val="0"/>
              <w:spacing w:line="360" w:lineRule="auto"/>
              <w:rPr>
                <w:color w:val="000000" w:themeColor="text1"/>
              </w:rPr>
            </w:pPr>
            <w:r>
              <w:rPr>
                <w:rFonts w:hint="eastAsia" w:hAnsi="宋体"/>
                <w:color w:val="000000" w:themeColor="text1"/>
              </w:rPr>
              <w:t>建设单位名称</w:t>
            </w:r>
          </w:p>
        </w:tc>
        <w:tc>
          <w:tcPr>
            <w:tcW w:w="6919" w:type="dxa"/>
            <w:tcBorders>
              <w:left w:val="single" w:color="auto" w:sz="4" w:space="0"/>
              <w:right w:val="single" w:color="auto" w:sz="12" w:space="0"/>
            </w:tcBorders>
            <w:vAlign w:val="center"/>
          </w:tcPr>
          <w:p>
            <w:pPr>
              <w:snapToGrid w:val="0"/>
              <w:spacing w:line="360" w:lineRule="auto"/>
              <w:rPr>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65" w:hRule="atLeast"/>
        </w:trPr>
        <w:tc>
          <w:tcPr>
            <w:tcW w:w="8392" w:type="dxa"/>
            <w:gridSpan w:val="2"/>
            <w:tcBorders>
              <w:left w:val="single" w:color="auto" w:sz="12" w:space="0"/>
              <w:right w:val="single" w:color="auto" w:sz="12" w:space="0"/>
            </w:tcBorders>
          </w:tcPr>
          <w:p>
            <w:pPr>
              <w:snapToGrid w:val="0"/>
              <w:spacing w:line="360" w:lineRule="auto"/>
              <w:rPr>
                <w:color w:val="000000" w:themeColor="text1"/>
              </w:rPr>
            </w:pPr>
            <w:r>
              <w:rPr>
                <w:rFonts w:hint="eastAsia" w:hAnsi="宋体"/>
                <w:color w:val="000000" w:themeColor="text1"/>
              </w:rPr>
              <w:t>建设单位地址(请详细说明发包人联系电话及联系人)</w:t>
            </w:r>
            <w:r>
              <w:rPr>
                <w:rFonts w:hint="eastAsia"/>
                <w:color w:val="000000" w:themeColor="text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851" w:hRule="atLeast"/>
        </w:trPr>
        <w:tc>
          <w:tcPr>
            <w:tcW w:w="8392" w:type="dxa"/>
            <w:gridSpan w:val="2"/>
            <w:tcBorders>
              <w:left w:val="single" w:color="auto" w:sz="12" w:space="0"/>
              <w:bottom w:val="single" w:color="auto" w:sz="6" w:space="0"/>
              <w:right w:val="single" w:color="auto" w:sz="12" w:space="0"/>
            </w:tcBorders>
          </w:tcPr>
          <w:p>
            <w:pPr>
              <w:snapToGrid w:val="0"/>
              <w:spacing w:line="360" w:lineRule="auto"/>
              <w:rPr>
                <w:rFonts w:ascii="宋体" w:hAnsi="宋体"/>
                <w:color w:val="000000" w:themeColor="text1"/>
              </w:rPr>
            </w:pPr>
            <w:r>
              <w:rPr>
                <w:rFonts w:hint="eastAsia" w:ascii="宋体" w:hAnsi="宋体"/>
                <w:color w:val="000000" w:themeColor="text1"/>
              </w:rPr>
              <w:t>与投标申请人所申请的合同相类似的工程性质和特点</w:t>
            </w:r>
          </w:p>
          <w:p>
            <w:pPr>
              <w:snapToGrid w:val="0"/>
              <w:spacing w:line="360" w:lineRule="auto"/>
              <w:rPr>
                <w:rFonts w:ascii="宋体" w:hAnsi="宋体"/>
                <w:color w:val="000000" w:themeColor="text1"/>
              </w:rPr>
            </w:pPr>
            <w:r>
              <w:rPr>
                <w:rFonts w:hint="eastAsia" w:ascii="宋体" w:hAnsi="宋体"/>
                <w:color w:val="000000" w:themeColor="text1"/>
              </w:rPr>
              <w:t>(请详细说明所承担的合同工程内容，如规模、长度、跨度、层数、结构、特殊施工工艺等等)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1" w:hRule="atLeast"/>
        </w:trPr>
        <w:tc>
          <w:tcPr>
            <w:tcW w:w="1473" w:type="dxa"/>
            <w:tcBorders>
              <w:left w:val="single" w:color="auto" w:sz="12" w:space="0"/>
              <w:right w:val="single" w:color="auto" w:sz="4" w:space="0"/>
            </w:tcBorders>
            <w:vAlign w:val="center"/>
          </w:tcPr>
          <w:p>
            <w:pPr>
              <w:snapToGrid w:val="0"/>
              <w:spacing w:line="360" w:lineRule="auto"/>
              <w:rPr>
                <w:color w:val="000000" w:themeColor="text1"/>
              </w:rPr>
            </w:pPr>
            <w:r>
              <w:rPr>
                <w:rFonts w:hint="eastAsia" w:hAnsi="宋体"/>
                <w:color w:val="000000" w:themeColor="text1"/>
              </w:rPr>
              <w:t>合同总价</w:t>
            </w:r>
          </w:p>
        </w:tc>
        <w:tc>
          <w:tcPr>
            <w:tcW w:w="6919" w:type="dxa"/>
            <w:tcBorders>
              <w:left w:val="single" w:color="auto" w:sz="4" w:space="0"/>
              <w:right w:val="single" w:color="auto" w:sz="12" w:space="0"/>
            </w:tcBorders>
          </w:tcPr>
          <w:p>
            <w:pPr>
              <w:snapToGrid w:val="0"/>
              <w:spacing w:line="360" w:lineRule="auto"/>
              <w:rPr>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1" w:hRule="atLeast"/>
        </w:trPr>
        <w:tc>
          <w:tcPr>
            <w:tcW w:w="1473" w:type="dxa"/>
            <w:tcBorders>
              <w:left w:val="single" w:color="auto" w:sz="12" w:space="0"/>
              <w:right w:val="single" w:color="auto" w:sz="4" w:space="0"/>
            </w:tcBorders>
            <w:vAlign w:val="center"/>
          </w:tcPr>
          <w:p>
            <w:pPr>
              <w:snapToGrid w:val="0"/>
              <w:spacing w:line="360" w:lineRule="auto"/>
              <w:rPr>
                <w:rFonts w:hAnsi="宋体"/>
                <w:color w:val="000000" w:themeColor="text1"/>
              </w:rPr>
            </w:pPr>
            <w:r>
              <w:rPr>
                <w:rFonts w:hint="eastAsia" w:hAnsi="宋体"/>
                <w:color w:val="000000" w:themeColor="text1"/>
              </w:rPr>
              <w:t>工程规模</w:t>
            </w:r>
          </w:p>
        </w:tc>
        <w:tc>
          <w:tcPr>
            <w:tcW w:w="6919" w:type="dxa"/>
            <w:tcBorders>
              <w:left w:val="single" w:color="auto" w:sz="4" w:space="0"/>
              <w:right w:val="single" w:color="auto" w:sz="12" w:space="0"/>
            </w:tcBorders>
          </w:tcPr>
          <w:p>
            <w:pPr>
              <w:snapToGrid w:val="0"/>
              <w:spacing w:line="360" w:lineRule="auto"/>
              <w:rPr>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1" w:hRule="atLeast"/>
        </w:trPr>
        <w:tc>
          <w:tcPr>
            <w:tcW w:w="1473" w:type="dxa"/>
            <w:tcBorders>
              <w:left w:val="single" w:color="auto" w:sz="12" w:space="0"/>
              <w:right w:val="single" w:color="auto" w:sz="4" w:space="0"/>
            </w:tcBorders>
            <w:vAlign w:val="center"/>
          </w:tcPr>
          <w:p>
            <w:pPr>
              <w:snapToGrid w:val="0"/>
              <w:spacing w:line="360" w:lineRule="auto"/>
              <w:rPr>
                <w:color w:val="000000" w:themeColor="text1"/>
              </w:rPr>
            </w:pPr>
            <w:r>
              <w:rPr>
                <w:rFonts w:hint="eastAsia" w:hAnsi="宋体"/>
                <w:color w:val="000000" w:themeColor="text1"/>
              </w:rPr>
              <w:t>合同授予时间</w:t>
            </w:r>
          </w:p>
        </w:tc>
        <w:tc>
          <w:tcPr>
            <w:tcW w:w="6919" w:type="dxa"/>
            <w:tcBorders>
              <w:left w:val="single" w:color="auto" w:sz="4" w:space="0"/>
              <w:right w:val="single" w:color="auto" w:sz="12" w:space="0"/>
            </w:tcBorders>
          </w:tcPr>
          <w:p>
            <w:pPr>
              <w:snapToGrid w:val="0"/>
              <w:spacing w:line="360" w:lineRule="auto"/>
              <w:rPr>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11" w:hRule="atLeast"/>
        </w:trPr>
        <w:tc>
          <w:tcPr>
            <w:tcW w:w="1473" w:type="dxa"/>
            <w:tcBorders>
              <w:left w:val="single" w:color="auto" w:sz="12" w:space="0"/>
              <w:right w:val="single" w:color="auto" w:sz="4" w:space="0"/>
            </w:tcBorders>
            <w:vAlign w:val="center"/>
          </w:tcPr>
          <w:p>
            <w:pPr>
              <w:snapToGrid w:val="0"/>
              <w:spacing w:line="360" w:lineRule="auto"/>
              <w:rPr>
                <w:rFonts w:hAnsi="宋体"/>
                <w:color w:val="000000" w:themeColor="text1"/>
              </w:rPr>
            </w:pPr>
            <w:r>
              <w:rPr>
                <w:rFonts w:hint="eastAsia" w:hAnsi="宋体"/>
                <w:color w:val="000000" w:themeColor="text1"/>
              </w:rPr>
              <w:t>质量情况</w:t>
            </w:r>
          </w:p>
        </w:tc>
        <w:tc>
          <w:tcPr>
            <w:tcW w:w="6919" w:type="dxa"/>
            <w:tcBorders>
              <w:left w:val="single" w:color="auto" w:sz="4" w:space="0"/>
              <w:bottom w:val="single" w:color="auto" w:sz="4" w:space="0"/>
              <w:right w:val="single" w:color="auto" w:sz="12" w:space="0"/>
            </w:tcBorders>
          </w:tcPr>
          <w:p>
            <w:pPr>
              <w:snapToGrid w:val="0"/>
              <w:spacing w:line="360" w:lineRule="auto"/>
              <w:rPr>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1" w:hRule="atLeast"/>
        </w:trPr>
        <w:tc>
          <w:tcPr>
            <w:tcW w:w="1473" w:type="dxa"/>
            <w:tcBorders>
              <w:left w:val="single" w:color="auto" w:sz="12" w:space="0"/>
              <w:bottom w:val="single" w:color="auto" w:sz="6" w:space="0"/>
              <w:right w:val="single" w:color="auto" w:sz="6" w:space="0"/>
            </w:tcBorders>
            <w:vAlign w:val="center"/>
          </w:tcPr>
          <w:p>
            <w:pPr>
              <w:snapToGrid w:val="0"/>
              <w:spacing w:line="360" w:lineRule="auto"/>
              <w:rPr>
                <w:color w:val="000000" w:themeColor="text1"/>
              </w:rPr>
            </w:pPr>
            <w:r>
              <w:rPr>
                <w:rFonts w:hint="eastAsia" w:hAnsi="宋体"/>
                <w:color w:val="000000" w:themeColor="text1"/>
              </w:rPr>
              <w:t>开竣工日期</w:t>
            </w:r>
          </w:p>
        </w:tc>
        <w:tc>
          <w:tcPr>
            <w:tcW w:w="6919" w:type="dxa"/>
            <w:tcBorders>
              <w:top w:val="single" w:color="auto" w:sz="4" w:space="0"/>
              <w:left w:val="single" w:color="auto" w:sz="6" w:space="0"/>
              <w:bottom w:val="single" w:color="auto" w:sz="6" w:space="0"/>
              <w:right w:val="single" w:color="auto" w:sz="12" w:space="0"/>
            </w:tcBorders>
          </w:tcPr>
          <w:p>
            <w:pPr>
              <w:snapToGrid w:val="0"/>
              <w:spacing w:line="360" w:lineRule="auto"/>
              <w:rPr>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48" w:hRule="atLeast"/>
        </w:trPr>
        <w:tc>
          <w:tcPr>
            <w:tcW w:w="1473" w:type="dxa"/>
            <w:tcBorders>
              <w:left w:val="single" w:color="auto" w:sz="12" w:space="0"/>
              <w:right w:val="single" w:color="auto" w:sz="6" w:space="0"/>
            </w:tcBorders>
          </w:tcPr>
          <w:p>
            <w:pPr>
              <w:snapToGrid w:val="0"/>
              <w:spacing w:line="360" w:lineRule="auto"/>
              <w:rPr>
                <w:rFonts w:hAnsi="宋体"/>
                <w:color w:val="000000" w:themeColor="text1"/>
              </w:rPr>
            </w:pPr>
            <w:r>
              <w:rPr>
                <w:rFonts w:hint="eastAsia" w:hAnsi="宋体"/>
                <w:color w:val="000000" w:themeColor="text1"/>
              </w:rPr>
              <w:t>工程获奖情况(请注明证书编号)</w:t>
            </w:r>
          </w:p>
        </w:tc>
        <w:tc>
          <w:tcPr>
            <w:tcW w:w="6919" w:type="dxa"/>
            <w:tcBorders>
              <w:left w:val="single" w:color="auto" w:sz="6" w:space="0"/>
              <w:right w:val="single" w:color="auto" w:sz="12" w:space="0"/>
            </w:tcBorders>
          </w:tcPr>
          <w:p>
            <w:pPr>
              <w:snapToGrid w:val="0"/>
              <w:spacing w:line="360" w:lineRule="auto"/>
              <w:rPr>
                <w:rFonts w:hAnsi="宋体"/>
                <w:color w:val="000000" w:themeColor="text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47" w:hRule="atLeast"/>
        </w:trPr>
        <w:tc>
          <w:tcPr>
            <w:tcW w:w="1473" w:type="dxa"/>
            <w:tcBorders>
              <w:left w:val="single" w:color="auto" w:sz="12" w:space="0"/>
              <w:bottom w:val="single" w:color="auto" w:sz="12" w:space="0"/>
              <w:right w:val="single" w:color="auto" w:sz="4" w:space="0"/>
            </w:tcBorders>
            <w:vAlign w:val="center"/>
          </w:tcPr>
          <w:p>
            <w:pPr>
              <w:snapToGrid w:val="0"/>
              <w:spacing w:line="360" w:lineRule="auto"/>
              <w:rPr>
                <w:rFonts w:hAnsi="宋体"/>
                <w:color w:val="000000" w:themeColor="text1"/>
              </w:rPr>
            </w:pPr>
            <w:r>
              <w:rPr>
                <w:rFonts w:hint="eastAsia" w:hAnsi="宋体"/>
                <w:color w:val="000000" w:themeColor="text1"/>
              </w:rPr>
              <w:t>备注</w:t>
            </w:r>
          </w:p>
        </w:tc>
        <w:tc>
          <w:tcPr>
            <w:tcW w:w="6919" w:type="dxa"/>
            <w:tcBorders>
              <w:left w:val="single" w:color="auto" w:sz="4" w:space="0"/>
              <w:bottom w:val="single" w:color="auto" w:sz="12" w:space="0"/>
              <w:right w:val="single" w:color="auto" w:sz="12" w:space="0"/>
            </w:tcBorders>
          </w:tcPr>
          <w:p>
            <w:pPr>
              <w:snapToGrid w:val="0"/>
              <w:spacing w:line="360" w:lineRule="auto"/>
              <w:rPr>
                <w:color w:val="000000" w:themeColor="text1"/>
              </w:rPr>
            </w:pPr>
          </w:p>
        </w:tc>
      </w:tr>
    </w:tbl>
    <w:p>
      <w:pPr>
        <w:spacing w:line="360" w:lineRule="auto"/>
        <w:ind w:firstLine="422" w:firstLineChars="200"/>
        <w:rPr>
          <w:color w:val="000000" w:themeColor="text1"/>
        </w:rPr>
      </w:pPr>
      <w:r>
        <w:rPr>
          <w:rFonts w:hint="eastAsia"/>
          <w:b/>
          <w:color w:val="000000" w:themeColor="text1"/>
        </w:rPr>
        <w:t>注：</w:t>
      </w:r>
      <w:r>
        <w:rPr>
          <w:rFonts w:hint="eastAsia"/>
          <w:color w:val="000000" w:themeColor="text1"/>
        </w:rPr>
        <w:t>每个合同须单独具表，工程业绩中需附上相关证明。</w:t>
      </w:r>
    </w:p>
    <w:p>
      <w:pPr>
        <w:spacing w:line="360" w:lineRule="auto"/>
        <w:ind w:left="420" w:hanging="420"/>
        <w:jc w:val="left"/>
        <w:rPr>
          <w:color w:val="000000" w:themeColor="text1"/>
        </w:rPr>
      </w:pPr>
    </w:p>
    <w:p>
      <w:pPr>
        <w:spacing w:line="360" w:lineRule="auto"/>
        <w:rPr>
          <w:rFonts w:ascii="黑体" w:hAnsi="宋体" w:eastAsia="黑体"/>
          <w:color w:val="000000" w:themeColor="text1"/>
          <w:szCs w:val="21"/>
        </w:rPr>
      </w:pPr>
    </w:p>
    <w:p>
      <w:pPr>
        <w:spacing w:before="312" w:beforeLines="100" w:after="156" w:afterLines="50" w:line="360" w:lineRule="auto"/>
        <w:jc w:val="center"/>
        <w:rPr>
          <w:rFonts w:ascii="黑体" w:hAnsi="宋体" w:eastAsia="黑体"/>
          <w:color w:val="000000" w:themeColor="text1"/>
        </w:rPr>
      </w:pPr>
      <w:r>
        <w:rPr>
          <w:rFonts w:ascii="黑体" w:hAnsi="宋体" w:eastAsia="黑体"/>
          <w:color w:val="000000" w:themeColor="text1"/>
        </w:rPr>
        <w:br w:type="page"/>
      </w:r>
      <w:r>
        <w:rPr>
          <w:rFonts w:hint="eastAsia" w:ascii="黑体" w:hAnsi="宋体" w:eastAsia="黑体"/>
          <w:color w:val="000000" w:themeColor="text1"/>
        </w:rPr>
        <w:t>附3：主要项目管理人员简历表</w:t>
      </w:r>
    </w:p>
    <w:p>
      <w:pPr>
        <w:spacing w:line="360" w:lineRule="auto"/>
        <w:rPr>
          <w:rFonts w:ascii="宋体" w:hAnsi="宋体"/>
          <w:color w:val="000000" w:themeColor="text1"/>
          <w:szCs w:val="21"/>
        </w:rPr>
      </w:pPr>
      <w:r>
        <w:rPr>
          <w:rFonts w:hint="eastAsia" w:ascii="宋体" w:hAnsi="宋体"/>
          <w:color w:val="000000" w:themeColor="text1"/>
          <w:szCs w:val="21"/>
        </w:rPr>
        <w:t>主要项目管理人员指项目副经理、技术负责人、合同商务负责人、专职安全生产管理人员等</w:t>
      </w:r>
    </w:p>
    <w:p>
      <w:pPr>
        <w:spacing w:line="360" w:lineRule="auto"/>
        <w:rPr>
          <w:rFonts w:ascii="宋体" w:hAnsi="宋体"/>
          <w:color w:val="000000" w:themeColor="text1"/>
          <w:szCs w:val="21"/>
        </w:rPr>
      </w:pPr>
      <w:r>
        <w:rPr>
          <w:rFonts w:hint="eastAsia" w:ascii="宋体" w:hAnsi="宋体"/>
          <w:color w:val="000000" w:themeColor="text1"/>
          <w:szCs w:val="21"/>
        </w:rPr>
        <w:t>岗位人员。应附注册资格证书、身份证、职称证、学历证、养老保险，专职安全生产</w:t>
      </w:r>
    </w:p>
    <w:p>
      <w:pPr>
        <w:spacing w:line="360" w:lineRule="auto"/>
        <w:ind w:firstLine="420" w:firstLineChars="200"/>
        <w:rPr>
          <w:rFonts w:ascii="宋体" w:hAnsi="宋体"/>
          <w:color w:val="000000" w:themeColor="text1"/>
          <w:szCs w:val="21"/>
        </w:rPr>
      </w:pPr>
      <w:r>
        <w:rPr>
          <w:rFonts w:hint="eastAsia" w:ascii="宋体" w:hAnsi="宋体"/>
          <w:color w:val="000000" w:themeColor="text1"/>
          <w:szCs w:val="21"/>
        </w:rPr>
        <w:t>管理人员应附安全生产考核合格证书，主要业绩须附合同协议书。</w:t>
      </w:r>
    </w:p>
    <w:tbl>
      <w:tblPr>
        <w:tblStyle w:val="4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334"/>
        <w:gridCol w:w="2124"/>
        <w:gridCol w:w="2137"/>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gridSpan w:val="2"/>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岗位名称</w:t>
            </w:r>
          </w:p>
        </w:tc>
        <w:tc>
          <w:tcPr>
            <w:tcW w:w="6386" w:type="dxa"/>
            <w:gridSpan w:val="3"/>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gridSpan w:val="2"/>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姓    名</w:t>
            </w:r>
          </w:p>
        </w:tc>
        <w:tc>
          <w:tcPr>
            <w:tcW w:w="2124" w:type="dxa"/>
            <w:vAlign w:val="center"/>
          </w:tcPr>
          <w:p>
            <w:pPr>
              <w:spacing w:line="360" w:lineRule="auto"/>
              <w:jc w:val="center"/>
              <w:rPr>
                <w:rFonts w:ascii="宋体" w:hAnsi="宋体"/>
                <w:color w:val="000000" w:themeColor="text1"/>
                <w:szCs w:val="21"/>
              </w:rPr>
            </w:pPr>
          </w:p>
        </w:tc>
        <w:tc>
          <w:tcPr>
            <w:tcW w:w="2137"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年    龄</w:t>
            </w:r>
          </w:p>
        </w:tc>
        <w:tc>
          <w:tcPr>
            <w:tcW w:w="2125"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gridSpan w:val="2"/>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性    别</w:t>
            </w:r>
          </w:p>
        </w:tc>
        <w:tc>
          <w:tcPr>
            <w:tcW w:w="2124" w:type="dxa"/>
            <w:vAlign w:val="center"/>
          </w:tcPr>
          <w:p>
            <w:pPr>
              <w:spacing w:line="360" w:lineRule="auto"/>
              <w:jc w:val="center"/>
              <w:rPr>
                <w:rFonts w:ascii="宋体" w:hAnsi="宋体"/>
                <w:color w:val="000000" w:themeColor="text1"/>
                <w:szCs w:val="21"/>
              </w:rPr>
            </w:pPr>
          </w:p>
        </w:tc>
        <w:tc>
          <w:tcPr>
            <w:tcW w:w="2137"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毕业学校</w:t>
            </w:r>
          </w:p>
        </w:tc>
        <w:tc>
          <w:tcPr>
            <w:tcW w:w="2125"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gridSpan w:val="2"/>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学历和专业</w:t>
            </w:r>
          </w:p>
        </w:tc>
        <w:tc>
          <w:tcPr>
            <w:tcW w:w="2124" w:type="dxa"/>
            <w:vAlign w:val="center"/>
          </w:tcPr>
          <w:p>
            <w:pPr>
              <w:spacing w:line="360" w:lineRule="auto"/>
              <w:jc w:val="center"/>
              <w:rPr>
                <w:rFonts w:ascii="宋体" w:hAnsi="宋体"/>
                <w:color w:val="000000" w:themeColor="text1"/>
                <w:szCs w:val="21"/>
              </w:rPr>
            </w:pPr>
          </w:p>
        </w:tc>
        <w:tc>
          <w:tcPr>
            <w:tcW w:w="2137"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毕业时间</w:t>
            </w:r>
          </w:p>
        </w:tc>
        <w:tc>
          <w:tcPr>
            <w:tcW w:w="2125"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gridSpan w:val="2"/>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拥有的执业资格</w:t>
            </w:r>
          </w:p>
        </w:tc>
        <w:tc>
          <w:tcPr>
            <w:tcW w:w="2124" w:type="dxa"/>
            <w:vAlign w:val="center"/>
          </w:tcPr>
          <w:p>
            <w:pPr>
              <w:spacing w:line="360" w:lineRule="auto"/>
              <w:jc w:val="center"/>
              <w:rPr>
                <w:rFonts w:ascii="宋体" w:hAnsi="宋体"/>
                <w:color w:val="000000" w:themeColor="text1"/>
                <w:szCs w:val="21"/>
              </w:rPr>
            </w:pPr>
          </w:p>
        </w:tc>
        <w:tc>
          <w:tcPr>
            <w:tcW w:w="2137"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专业职称</w:t>
            </w:r>
          </w:p>
        </w:tc>
        <w:tc>
          <w:tcPr>
            <w:tcW w:w="2125"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36" w:type="dxa"/>
            <w:gridSpan w:val="2"/>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执业资格证书编号</w:t>
            </w:r>
          </w:p>
        </w:tc>
        <w:tc>
          <w:tcPr>
            <w:tcW w:w="2124" w:type="dxa"/>
            <w:vAlign w:val="center"/>
          </w:tcPr>
          <w:p>
            <w:pPr>
              <w:spacing w:line="360" w:lineRule="auto"/>
              <w:jc w:val="center"/>
              <w:rPr>
                <w:rFonts w:ascii="宋体" w:hAnsi="宋体"/>
                <w:color w:val="000000" w:themeColor="text1"/>
                <w:szCs w:val="21"/>
              </w:rPr>
            </w:pPr>
          </w:p>
        </w:tc>
        <w:tc>
          <w:tcPr>
            <w:tcW w:w="2137"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工作年限</w:t>
            </w:r>
          </w:p>
        </w:tc>
        <w:tc>
          <w:tcPr>
            <w:tcW w:w="2125" w:type="dxa"/>
            <w:vAlign w:val="center"/>
          </w:tcPr>
          <w:p>
            <w:pPr>
              <w:spacing w:line="360" w:lineRule="auto"/>
              <w:jc w:val="center"/>
              <w:rPr>
                <w:rFonts w:ascii="宋体" w:hAnsi="宋体"/>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8" w:hRule="atLeast"/>
        </w:trPr>
        <w:tc>
          <w:tcPr>
            <w:tcW w:w="802" w:type="dxa"/>
            <w:vAlign w:val="center"/>
          </w:tcPr>
          <w:p>
            <w:pPr>
              <w:spacing w:line="360" w:lineRule="auto"/>
              <w:jc w:val="center"/>
              <w:rPr>
                <w:rFonts w:ascii="宋体" w:hAnsi="宋体"/>
                <w:color w:val="000000" w:themeColor="text1"/>
                <w:szCs w:val="21"/>
              </w:rPr>
            </w:pPr>
            <w:r>
              <w:rPr>
                <w:rFonts w:hint="eastAsia" w:ascii="宋体" w:hAnsi="宋体"/>
                <w:color w:val="000000" w:themeColor="text1"/>
                <w:szCs w:val="21"/>
              </w:rPr>
              <w:t>主</w:t>
            </w:r>
          </w:p>
          <w:p>
            <w:pPr>
              <w:spacing w:line="360" w:lineRule="auto"/>
              <w:jc w:val="center"/>
              <w:rPr>
                <w:rFonts w:ascii="宋体" w:hAnsi="宋体"/>
                <w:color w:val="000000" w:themeColor="text1"/>
                <w:szCs w:val="21"/>
              </w:rPr>
            </w:pPr>
            <w:r>
              <w:rPr>
                <w:rFonts w:hint="eastAsia" w:ascii="宋体" w:hAnsi="宋体"/>
                <w:color w:val="000000" w:themeColor="text1"/>
                <w:szCs w:val="21"/>
              </w:rPr>
              <w:t>要</w:t>
            </w:r>
          </w:p>
          <w:p>
            <w:pPr>
              <w:spacing w:line="360" w:lineRule="auto"/>
              <w:jc w:val="center"/>
              <w:rPr>
                <w:rFonts w:ascii="宋体" w:hAnsi="宋体"/>
                <w:color w:val="000000" w:themeColor="text1"/>
                <w:szCs w:val="21"/>
              </w:rPr>
            </w:pPr>
            <w:r>
              <w:rPr>
                <w:rFonts w:hint="eastAsia" w:ascii="宋体" w:hAnsi="宋体"/>
                <w:color w:val="000000" w:themeColor="text1"/>
                <w:szCs w:val="21"/>
              </w:rPr>
              <w:t>工</w:t>
            </w:r>
          </w:p>
          <w:p>
            <w:pPr>
              <w:spacing w:line="360" w:lineRule="auto"/>
              <w:jc w:val="center"/>
              <w:rPr>
                <w:rFonts w:ascii="宋体" w:hAnsi="宋体"/>
                <w:color w:val="000000" w:themeColor="text1"/>
                <w:szCs w:val="21"/>
              </w:rPr>
            </w:pPr>
            <w:r>
              <w:rPr>
                <w:rFonts w:hint="eastAsia" w:ascii="宋体" w:hAnsi="宋体"/>
                <w:color w:val="000000" w:themeColor="text1"/>
                <w:szCs w:val="21"/>
              </w:rPr>
              <w:t>作</w:t>
            </w:r>
          </w:p>
          <w:p>
            <w:pPr>
              <w:spacing w:line="360" w:lineRule="auto"/>
              <w:jc w:val="center"/>
              <w:rPr>
                <w:rFonts w:ascii="宋体" w:hAnsi="宋体"/>
                <w:color w:val="000000" w:themeColor="text1"/>
                <w:szCs w:val="21"/>
              </w:rPr>
            </w:pPr>
            <w:r>
              <w:rPr>
                <w:rFonts w:hint="eastAsia" w:ascii="宋体" w:hAnsi="宋体"/>
                <w:color w:val="000000" w:themeColor="text1"/>
                <w:szCs w:val="21"/>
              </w:rPr>
              <w:t>业</w:t>
            </w:r>
          </w:p>
          <w:p>
            <w:pPr>
              <w:spacing w:line="360" w:lineRule="auto"/>
              <w:jc w:val="center"/>
              <w:rPr>
                <w:rFonts w:ascii="宋体" w:hAnsi="宋体"/>
                <w:color w:val="000000" w:themeColor="text1"/>
                <w:szCs w:val="21"/>
              </w:rPr>
            </w:pPr>
            <w:r>
              <w:rPr>
                <w:rFonts w:hint="eastAsia" w:ascii="宋体" w:hAnsi="宋体"/>
                <w:color w:val="000000" w:themeColor="text1"/>
                <w:szCs w:val="21"/>
              </w:rPr>
              <w:t>绩</w:t>
            </w:r>
          </w:p>
          <w:p>
            <w:pPr>
              <w:spacing w:line="360" w:lineRule="auto"/>
              <w:jc w:val="center"/>
              <w:rPr>
                <w:rFonts w:ascii="宋体" w:hAnsi="宋体"/>
                <w:color w:val="000000" w:themeColor="text1"/>
                <w:szCs w:val="21"/>
              </w:rPr>
            </w:pPr>
            <w:r>
              <w:rPr>
                <w:rFonts w:hint="eastAsia" w:ascii="宋体" w:hAnsi="宋体"/>
                <w:color w:val="000000" w:themeColor="text1"/>
                <w:szCs w:val="21"/>
              </w:rPr>
              <w:t>及</w:t>
            </w:r>
          </w:p>
          <w:p>
            <w:pPr>
              <w:spacing w:line="360" w:lineRule="auto"/>
              <w:jc w:val="center"/>
              <w:rPr>
                <w:rFonts w:ascii="宋体" w:hAnsi="宋体"/>
                <w:color w:val="000000" w:themeColor="text1"/>
                <w:szCs w:val="21"/>
              </w:rPr>
            </w:pPr>
            <w:r>
              <w:rPr>
                <w:rFonts w:hint="eastAsia" w:ascii="宋体" w:hAnsi="宋体"/>
                <w:color w:val="000000" w:themeColor="text1"/>
                <w:szCs w:val="21"/>
              </w:rPr>
              <w:t>担</w:t>
            </w:r>
          </w:p>
          <w:p>
            <w:pPr>
              <w:spacing w:line="360" w:lineRule="auto"/>
              <w:jc w:val="center"/>
              <w:rPr>
                <w:rFonts w:ascii="宋体" w:hAnsi="宋体"/>
                <w:color w:val="000000" w:themeColor="text1"/>
                <w:szCs w:val="21"/>
              </w:rPr>
            </w:pPr>
            <w:r>
              <w:rPr>
                <w:rFonts w:hint="eastAsia" w:ascii="宋体" w:hAnsi="宋体"/>
                <w:color w:val="000000" w:themeColor="text1"/>
                <w:szCs w:val="21"/>
              </w:rPr>
              <w:t>任</w:t>
            </w:r>
          </w:p>
          <w:p>
            <w:pPr>
              <w:spacing w:line="360" w:lineRule="auto"/>
              <w:jc w:val="center"/>
              <w:rPr>
                <w:rFonts w:ascii="宋体" w:hAnsi="宋体"/>
                <w:color w:val="000000" w:themeColor="text1"/>
                <w:szCs w:val="21"/>
              </w:rPr>
            </w:pPr>
            <w:r>
              <w:rPr>
                <w:rFonts w:hint="eastAsia" w:ascii="宋体" w:hAnsi="宋体"/>
                <w:color w:val="000000" w:themeColor="text1"/>
                <w:szCs w:val="21"/>
              </w:rPr>
              <w:t>的</w:t>
            </w:r>
          </w:p>
          <w:p>
            <w:pPr>
              <w:spacing w:line="360" w:lineRule="auto"/>
              <w:jc w:val="center"/>
              <w:rPr>
                <w:rFonts w:ascii="宋体" w:hAnsi="宋体"/>
                <w:color w:val="000000" w:themeColor="text1"/>
                <w:szCs w:val="21"/>
              </w:rPr>
            </w:pPr>
            <w:r>
              <w:rPr>
                <w:rFonts w:hint="eastAsia" w:ascii="宋体" w:hAnsi="宋体"/>
                <w:color w:val="000000" w:themeColor="text1"/>
                <w:szCs w:val="21"/>
              </w:rPr>
              <w:t>主</w:t>
            </w:r>
          </w:p>
          <w:p>
            <w:pPr>
              <w:spacing w:line="360" w:lineRule="auto"/>
              <w:jc w:val="center"/>
              <w:rPr>
                <w:rFonts w:ascii="宋体" w:hAnsi="宋体"/>
                <w:color w:val="000000" w:themeColor="text1"/>
                <w:szCs w:val="21"/>
              </w:rPr>
            </w:pPr>
            <w:r>
              <w:rPr>
                <w:rFonts w:hint="eastAsia" w:ascii="宋体" w:hAnsi="宋体"/>
                <w:color w:val="000000" w:themeColor="text1"/>
                <w:szCs w:val="21"/>
              </w:rPr>
              <w:t>要</w:t>
            </w:r>
          </w:p>
          <w:p>
            <w:pPr>
              <w:spacing w:line="360" w:lineRule="auto"/>
              <w:jc w:val="center"/>
              <w:rPr>
                <w:rFonts w:ascii="宋体" w:hAnsi="宋体"/>
                <w:color w:val="000000" w:themeColor="text1"/>
                <w:szCs w:val="21"/>
              </w:rPr>
            </w:pPr>
            <w:r>
              <w:rPr>
                <w:rFonts w:hint="eastAsia" w:ascii="宋体" w:hAnsi="宋体"/>
                <w:color w:val="000000" w:themeColor="text1"/>
                <w:szCs w:val="21"/>
              </w:rPr>
              <w:t>工</w:t>
            </w:r>
          </w:p>
          <w:p>
            <w:pPr>
              <w:spacing w:line="360" w:lineRule="auto"/>
              <w:jc w:val="center"/>
              <w:rPr>
                <w:rFonts w:ascii="宋体" w:hAnsi="宋体"/>
                <w:color w:val="000000" w:themeColor="text1"/>
                <w:szCs w:val="21"/>
              </w:rPr>
            </w:pPr>
            <w:r>
              <w:rPr>
                <w:rFonts w:hint="eastAsia" w:ascii="宋体" w:hAnsi="宋体"/>
                <w:color w:val="000000" w:themeColor="text1"/>
                <w:szCs w:val="21"/>
              </w:rPr>
              <w:t>作</w:t>
            </w:r>
          </w:p>
        </w:tc>
        <w:tc>
          <w:tcPr>
            <w:tcW w:w="7720" w:type="dxa"/>
            <w:gridSpan w:val="4"/>
            <w:vAlign w:val="center"/>
          </w:tcPr>
          <w:p>
            <w:pPr>
              <w:spacing w:line="360" w:lineRule="auto"/>
              <w:jc w:val="center"/>
              <w:rPr>
                <w:rFonts w:ascii="宋体" w:hAnsi="宋体"/>
                <w:color w:val="000000" w:themeColor="text1"/>
                <w:szCs w:val="21"/>
              </w:rPr>
            </w:pPr>
          </w:p>
        </w:tc>
      </w:tr>
      <w:bookmarkEnd w:id="1097"/>
    </w:tbl>
    <w:p>
      <w:pPr>
        <w:spacing w:line="360" w:lineRule="auto"/>
        <w:rPr>
          <w:rFonts w:ascii="宋体"/>
          <w:szCs w:val="21"/>
        </w:rPr>
      </w:pPr>
    </w:p>
    <w:p>
      <w:pPr>
        <w:pStyle w:val="4"/>
        <w:rPr>
          <w:rFonts w:ascii="宋体"/>
        </w:rPr>
      </w:pPr>
      <w:bookmarkStart w:id="1109" w:name="_Toc29997"/>
      <w:bookmarkStart w:id="1110" w:name="_Toc7503"/>
      <w:r>
        <w:rPr>
          <w:rFonts w:hint="eastAsia"/>
        </w:rPr>
        <w:t>三</w:t>
      </w:r>
      <w:r>
        <w:t>、商</w:t>
      </w:r>
      <w:r>
        <w:rPr>
          <w:rFonts w:hint="eastAsia"/>
        </w:rPr>
        <w:t>务标部分</w:t>
      </w:r>
      <w:bookmarkEnd w:id="1109"/>
      <w:bookmarkEnd w:id="1110"/>
    </w:p>
    <w:p>
      <w:pPr>
        <w:pStyle w:val="5"/>
        <w:jc w:val="center"/>
      </w:pPr>
      <w:bookmarkStart w:id="1111" w:name="_Toc17790"/>
      <w:bookmarkStart w:id="1112" w:name="_Toc16464"/>
      <w:r>
        <w:rPr>
          <w:rFonts w:hint="eastAsia"/>
        </w:rPr>
        <w:t>（一）投标函及投标函附录</w:t>
      </w:r>
      <w:bookmarkEnd w:id="1111"/>
      <w:bookmarkEnd w:id="1112"/>
    </w:p>
    <w:p>
      <w:pPr>
        <w:spacing w:before="312" w:beforeLines="100" w:after="156" w:afterLines="50" w:line="510" w:lineRule="exact"/>
        <w:jc w:val="center"/>
        <w:rPr>
          <w:rFonts w:ascii="黑体" w:hAnsi="宋体" w:eastAsia="黑体"/>
          <w:b/>
          <w:sz w:val="24"/>
          <w:szCs w:val="22"/>
        </w:rPr>
      </w:pPr>
      <w:r>
        <w:rPr>
          <w:rFonts w:hint="eastAsia" w:ascii="黑体" w:hAnsi="宋体" w:eastAsia="黑体"/>
          <w:b/>
          <w:sz w:val="24"/>
          <w:szCs w:val="22"/>
        </w:rPr>
        <w:t>（一）投标函</w:t>
      </w:r>
    </w:p>
    <w:p>
      <w:pPr>
        <w:spacing w:line="400" w:lineRule="exact"/>
        <w:rPr>
          <w:rFonts w:ascii="宋体" w:hAnsi="宋体"/>
          <w:szCs w:val="21"/>
        </w:rPr>
      </w:pPr>
      <w:r>
        <w:rPr>
          <w:rFonts w:hint="eastAsia" w:ascii="宋体" w:hAnsi="宋体"/>
          <w:szCs w:val="21"/>
        </w:rPr>
        <w:t>致：（招标人名称）</w:t>
      </w:r>
    </w:p>
    <w:p>
      <w:pPr>
        <w:spacing w:line="400" w:lineRule="exact"/>
        <w:ind w:firstLine="420" w:firstLineChars="200"/>
        <w:rPr>
          <w:rFonts w:ascii="宋体" w:hAnsi="宋体"/>
          <w:szCs w:val="21"/>
        </w:rPr>
      </w:pPr>
      <w:r>
        <w:rPr>
          <w:rFonts w:hint="eastAsia" w:ascii="宋体" w:hAnsi="宋体"/>
          <w:szCs w:val="21"/>
        </w:rPr>
        <w:t>在充分研究（项目名称）（以下简称“本工程”）标段招标文件的全部内容后，我方兹以：</w:t>
      </w:r>
    </w:p>
    <w:p>
      <w:pPr>
        <w:spacing w:line="400" w:lineRule="exact"/>
        <w:ind w:firstLine="1050" w:firstLineChars="500"/>
        <w:rPr>
          <w:rFonts w:ascii="宋体" w:hAnsi="宋体"/>
          <w:szCs w:val="21"/>
        </w:rPr>
      </w:pPr>
      <w:r>
        <w:rPr>
          <w:rFonts w:hint="eastAsia" w:ascii="宋体" w:hAnsi="宋体"/>
          <w:szCs w:val="21"/>
        </w:rPr>
        <w:t>人民币（大写）：</w:t>
      </w:r>
      <w:r>
        <w:rPr>
          <w:rFonts w:hint="eastAsia" w:ascii="宋体" w:hAnsi="宋体"/>
          <w:szCs w:val="21"/>
          <w:lang w:val="en-US" w:eastAsia="zh-CN"/>
        </w:rPr>
        <w:t xml:space="preserve">   </w:t>
      </w:r>
      <w:r>
        <w:rPr>
          <w:rFonts w:hint="eastAsia" w:ascii="宋体" w:hAnsi="宋体"/>
          <w:szCs w:val="21"/>
        </w:rPr>
        <w:t>元</w:t>
      </w:r>
    </w:p>
    <w:p>
      <w:pPr>
        <w:spacing w:line="400" w:lineRule="exact"/>
        <w:ind w:firstLine="1050" w:firstLineChars="500"/>
        <w:rPr>
          <w:rFonts w:ascii="宋体" w:hAnsi="宋体"/>
          <w:szCs w:val="21"/>
        </w:rPr>
      </w:pPr>
      <w:r>
        <w:rPr>
          <w:rFonts w:hint="eastAsia" w:ascii="宋体" w:hAnsi="宋体"/>
          <w:szCs w:val="21"/>
        </w:rPr>
        <w:t>RMB￥：</w:t>
      </w:r>
      <w:r>
        <w:rPr>
          <w:rFonts w:hint="eastAsia" w:ascii="宋体" w:hAnsi="宋体"/>
          <w:szCs w:val="21"/>
          <w:lang w:val="en-US" w:eastAsia="zh-CN"/>
        </w:rPr>
        <w:t xml:space="preserve">   </w:t>
      </w:r>
      <w:r>
        <w:rPr>
          <w:rFonts w:hint="eastAsia" w:ascii="宋体" w:hAnsi="宋体"/>
          <w:szCs w:val="21"/>
        </w:rPr>
        <w:t>元</w:t>
      </w:r>
    </w:p>
    <w:p>
      <w:pPr>
        <w:spacing w:line="400" w:lineRule="exact"/>
        <w:rPr>
          <w:rFonts w:ascii="宋体" w:hAnsi="宋体"/>
          <w:szCs w:val="21"/>
        </w:rPr>
      </w:pPr>
      <w:r>
        <w:rPr>
          <w:rFonts w:hint="eastAsia" w:ascii="宋体" w:hAnsi="宋体"/>
          <w:szCs w:val="21"/>
        </w:rPr>
        <w:t>的投标价格和按合同约定有权得到的其它金额，并严格按照合同约定，施工、竣工和交付本工程并维修其中的任何缺陷。</w:t>
      </w:r>
    </w:p>
    <w:p>
      <w:pPr>
        <w:spacing w:line="400" w:lineRule="exact"/>
        <w:rPr>
          <w:rFonts w:ascii="宋体" w:hAnsi="宋体"/>
          <w:szCs w:val="21"/>
        </w:rPr>
      </w:pPr>
      <w:r>
        <w:rPr>
          <w:rFonts w:hint="eastAsia" w:ascii="宋体" w:hAnsi="宋体"/>
          <w:szCs w:val="21"/>
        </w:rPr>
        <w:t>如果我方中标，我方保证在</w:t>
      </w:r>
      <w:r>
        <w:rPr>
          <w:rFonts w:hint="eastAsia" w:ascii="宋体" w:hAnsi="宋体"/>
          <w:szCs w:val="21"/>
          <w:lang w:val="en-US" w:eastAsia="zh-CN"/>
        </w:rPr>
        <w:t xml:space="preserve"> </w:t>
      </w:r>
      <w:r>
        <w:rPr>
          <w:rFonts w:hint="eastAsia" w:ascii="宋体" w:hAnsi="宋体"/>
          <w:szCs w:val="21"/>
        </w:rPr>
        <w:t>年</w:t>
      </w:r>
      <w:r>
        <w:rPr>
          <w:rFonts w:hint="eastAsia" w:ascii="宋体" w:hAnsi="宋体"/>
          <w:szCs w:val="21"/>
          <w:lang w:val="en-US" w:eastAsia="zh-CN"/>
        </w:rPr>
        <w:t xml:space="preserve"> </w:t>
      </w:r>
      <w:r>
        <w:rPr>
          <w:rFonts w:hint="eastAsia" w:ascii="宋体" w:hAnsi="宋体"/>
          <w:szCs w:val="21"/>
        </w:rPr>
        <w:t>月</w:t>
      </w:r>
      <w:r>
        <w:rPr>
          <w:rFonts w:hint="eastAsia" w:ascii="宋体" w:hAnsi="宋体"/>
          <w:szCs w:val="21"/>
          <w:lang w:val="en-US" w:eastAsia="zh-CN"/>
        </w:rPr>
        <w:t xml:space="preserve"> </w:t>
      </w:r>
      <w:r>
        <w:rPr>
          <w:rFonts w:hint="eastAsia" w:ascii="宋体" w:hAnsi="宋体"/>
          <w:szCs w:val="21"/>
        </w:rPr>
        <w:t>日或按照合同约定的开工日期开始本工程的施工，</w:t>
      </w:r>
      <w:r>
        <w:rPr>
          <w:rFonts w:hint="eastAsia" w:ascii="宋体" w:hAnsi="宋体"/>
          <w:szCs w:val="21"/>
          <w:u w:val="single"/>
          <w:lang w:val="en-US" w:eastAsia="zh-CN"/>
        </w:rPr>
        <w:t xml:space="preserve">  </w:t>
      </w:r>
      <w:r>
        <w:rPr>
          <w:rFonts w:hint="eastAsia" w:ascii="宋体" w:hAnsi="宋体"/>
          <w:szCs w:val="21"/>
        </w:rPr>
        <w:t>天（日历</w:t>
      </w:r>
      <w:r>
        <w:rPr>
          <w:rFonts w:hint="eastAsia" w:ascii="宋体" w:hAnsi="宋体"/>
          <w:szCs w:val="21"/>
          <w:lang w:val="en-US" w:eastAsia="zh-CN"/>
        </w:rPr>
        <w:t>天</w:t>
      </w:r>
      <w:r>
        <w:rPr>
          <w:rFonts w:hint="eastAsia" w:ascii="宋体" w:hAnsi="宋体"/>
          <w:szCs w:val="21"/>
        </w:rPr>
        <w:t>）内竣工，并确保工程质量达到_______标准，投标有效期为</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日历天。我方同意本投标函在招标文件规定的提交投标文件截止时间后，在招标文件规定的投标有效期期满前对我方具有约束力，且随时准备接受你方发出的中标通知书。</w:t>
      </w:r>
    </w:p>
    <w:p>
      <w:pPr>
        <w:spacing w:line="400" w:lineRule="exact"/>
        <w:ind w:firstLine="420" w:firstLineChars="200"/>
        <w:rPr>
          <w:rFonts w:ascii="宋体" w:hAnsi="宋体"/>
          <w:szCs w:val="21"/>
        </w:rPr>
      </w:pPr>
      <w:r>
        <w:rPr>
          <w:rFonts w:hint="eastAsia" w:ascii="宋体" w:hAnsi="宋体"/>
          <w:szCs w:val="21"/>
        </w:rPr>
        <w:t>随本投标函一道上交的投标函附录是本投标函的组成部分，对我方构成约束力。</w:t>
      </w:r>
    </w:p>
    <w:p>
      <w:pPr>
        <w:spacing w:line="400" w:lineRule="exact"/>
        <w:ind w:firstLine="420" w:firstLineChars="200"/>
        <w:rPr>
          <w:rFonts w:ascii="宋体" w:hAnsi="宋体"/>
          <w:szCs w:val="21"/>
        </w:rPr>
      </w:pPr>
      <w:r>
        <w:rPr>
          <w:rFonts w:hint="eastAsia" w:ascii="宋体" w:hAnsi="宋体"/>
          <w:szCs w:val="21"/>
        </w:rPr>
        <w:t>递交投标保证金一份，金额为人民币（大写）：元（￥：元）。</w:t>
      </w:r>
    </w:p>
    <w:p>
      <w:pPr>
        <w:spacing w:line="400" w:lineRule="exact"/>
        <w:ind w:firstLine="420" w:firstLineChars="200"/>
        <w:rPr>
          <w:rFonts w:ascii="宋体" w:hAnsi="宋体"/>
          <w:szCs w:val="21"/>
        </w:rPr>
      </w:pPr>
      <w:r>
        <w:rPr>
          <w:rFonts w:hint="eastAsia" w:ascii="宋体" w:hAnsi="宋体"/>
          <w:szCs w:val="21"/>
        </w:rPr>
        <w:t>在签署协议书之前，你方的中标通知书连同本投标函，包括投标函附录，对双方具有约束力。</w:t>
      </w:r>
    </w:p>
    <w:p>
      <w:pPr>
        <w:spacing w:line="400" w:lineRule="exact"/>
        <w:ind w:firstLine="420" w:firstLineChars="200"/>
        <w:rPr>
          <w:rFonts w:ascii="宋体" w:hAnsi="宋体"/>
          <w:szCs w:val="21"/>
        </w:rPr>
      </w:pPr>
    </w:p>
    <w:p>
      <w:pPr>
        <w:spacing w:line="400" w:lineRule="exact"/>
        <w:ind w:firstLine="420" w:firstLineChars="200"/>
        <w:jc w:val="right"/>
        <w:rPr>
          <w:rFonts w:ascii="宋体" w:hAnsi="宋体"/>
          <w:szCs w:val="21"/>
        </w:rPr>
      </w:pPr>
      <w:r>
        <w:rPr>
          <w:rFonts w:hint="eastAsia" w:ascii="宋体" w:hAnsi="宋体"/>
          <w:szCs w:val="21"/>
        </w:rPr>
        <w:t>投标人（单位电子签章）：</w:t>
      </w:r>
    </w:p>
    <w:p>
      <w:pPr>
        <w:spacing w:line="400" w:lineRule="exact"/>
        <w:ind w:firstLine="420" w:firstLineChars="200"/>
        <w:jc w:val="right"/>
        <w:rPr>
          <w:rFonts w:ascii="宋体" w:hAnsi="宋体"/>
          <w:szCs w:val="21"/>
        </w:rPr>
      </w:pPr>
      <w:r>
        <w:rPr>
          <w:rFonts w:hint="eastAsia" w:ascii="宋体" w:hAnsi="宋体"/>
          <w:szCs w:val="21"/>
        </w:rPr>
        <w:t>法定代表人（电子签名）：</w:t>
      </w:r>
    </w:p>
    <w:p>
      <w:pPr>
        <w:spacing w:line="400" w:lineRule="exact"/>
        <w:ind w:firstLine="482" w:firstLineChars="200"/>
        <w:jc w:val="right"/>
        <w:rPr>
          <w:rFonts w:ascii="宋体" w:hAnsi="宋体"/>
          <w:color w:val="000000" w:themeColor="text1"/>
          <w:szCs w:val="21"/>
        </w:rPr>
      </w:pPr>
      <w:bookmarkStart w:id="1113" w:name="_Toc290899043"/>
      <w:r>
        <w:rPr>
          <w:rFonts w:ascii="黑体" w:hAnsi="黑体" w:eastAsia="黑体" w:cs="黑体"/>
          <w:b/>
          <w:sz w:val="24"/>
        </w:rPr>
        <w:tab/>
      </w:r>
      <w:bookmarkEnd w:id="1113"/>
      <w:r>
        <w:rPr>
          <w:rFonts w:hint="eastAsia" w:ascii="宋体" w:hAnsi="宋体"/>
          <w:color w:val="000000" w:themeColor="text1"/>
          <w:szCs w:val="21"/>
        </w:rPr>
        <w:t>日期：年月日</w:t>
      </w:r>
    </w:p>
    <w:p>
      <w:pPr>
        <w:spacing w:line="400" w:lineRule="exact"/>
        <w:ind w:right="315" w:firstLine="420" w:firstLineChars="200"/>
        <w:jc w:val="right"/>
        <w:rPr>
          <w:rFonts w:ascii="宋体" w:hAnsi="宋体"/>
          <w:szCs w:val="21"/>
        </w:rPr>
      </w:pPr>
    </w:p>
    <w:p>
      <w:pPr>
        <w:pStyle w:val="27"/>
        <w:rPr>
          <w:rFonts w:ascii="宋体" w:hAnsi="宋体"/>
          <w:szCs w:val="21"/>
        </w:rPr>
      </w:pPr>
    </w:p>
    <w:p>
      <w:pPr>
        <w:pStyle w:val="24"/>
        <w:rPr>
          <w:rFonts w:ascii="宋体" w:hAnsi="宋体"/>
          <w:szCs w:val="21"/>
        </w:rPr>
      </w:pPr>
    </w:p>
    <w:p>
      <w:pPr>
        <w:pStyle w:val="22"/>
        <w:rPr>
          <w:rFonts w:ascii="宋体" w:hAnsi="宋体"/>
          <w:szCs w:val="21"/>
        </w:rPr>
      </w:pPr>
    </w:p>
    <w:p>
      <w:pPr>
        <w:rPr>
          <w:rFonts w:ascii="宋体" w:hAnsi="宋体"/>
          <w:szCs w:val="21"/>
        </w:rPr>
      </w:pPr>
    </w:p>
    <w:p>
      <w:pPr>
        <w:pStyle w:val="27"/>
        <w:rPr>
          <w:rFonts w:ascii="宋体" w:hAnsi="宋体"/>
          <w:szCs w:val="21"/>
        </w:rPr>
      </w:pPr>
    </w:p>
    <w:p>
      <w:pPr>
        <w:pStyle w:val="24"/>
        <w:rPr>
          <w:rFonts w:ascii="宋体" w:hAnsi="宋体"/>
          <w:szCs w:val="21"/>
        </w:rPr>
      </w:pPr>
    </w:p>
    <w:p>
      <w:pPr>
        <w:pStyle w:val="22"/>
        <w:rPr>
          <w:rFonts w:ascii="宋体" w:hAnsi="宋体"/>
          <w:szCs w:val="21"/>
        </w:rPr>
      </w:pPr>
    </w:p>
    <w:p>
      <w:pPr>
        <w:rPr>
          <w:rFonts w:ascii="宋体" w:hAnsi="宋体"/>
          <w:szCs w:val="21"/>
        </w:rPr>
      </w:pPr>
    </w:p>
    <w:p>
      <w:pPr>
        <w:pStyle w:val="27"/>
      </w:pPr>
    </w:p>
    <w:p>
      <w:pPr>
        <w:spacing w:line="300" w:lineRule="exact"/>
        <w:ind w:firstLine="3584" w:firstLineChars="1700"/>
        <w:rPr>
          <w:b/>
        </w:rPr>
      </w:pPr>
    </w:p>
    <w:p>
      <w:pPr>
        <w:spacing w:line="300" w:lineRule="exact"/>
        <w:ind w:firstLine="3584" w:firstLineChars="1700"/>
        <w:rPr>
          <w:b/>
        </w:rPr>
      </w:pPr>
      <w:r>
        <w:rPr>
          <w:rFonts w:hint="eastAsia"/>
          <w:b/>
        </w:rPr>
        <w:t>（二</w:t>
      </w:r>
      <w:r>
        <w:rPr>
          <w:b/>
        </w:rPr>
        <w:t>）</w:t>
      </w:r>
      <w:r>
        <w:rPr>
          <w:rFonts w:hint="eastAsia"/>
          <w:b/>
        </w:rPr>
        <w:t>投标函附录</w:t>
      </w:r>
    </w:p>
    <w:p>
      <w:pPr>
        <w:spacing w:line="300" w:lineRule="exact"/>
        <w:ind w:firstLine="5120" w:firstLineChars="1700"/>
        <w:rPr>
          <w:rFonts w:ascii="Calibri" w:hAnsi="Calibri"/>
          <w:b/>
          <w:sz w:val="30"/>
          <w:szCs w:val="30"/>
        </w:rPr>
      </w:pPr>
    </w:p>
    <w:tbl>
      <w:tblPr>
        <w:tblStyle w:val="44"/>
        <w:tblW w:w="93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758"/>
        <w:gridCol w:w="1368"/>
        <w:gridCol w:w="758"/>
        <w:gridCol w:w="1215"/>
        <w:gridCol w:w="757"/>
        <w:gridCol w:w="1368"/>
        <w:gridCol w:w="758"/>
        <w:gridCol w:w="42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937" w:type="dxa"/>
            <w:vAlign w:val="center"/>
          </w:tcPr>
          <w:p>
            <w:pPr>
              <w:jc w:val="center"/>
              <w:rPr>
                <w:rFonts w:ascii="宋体" w:hAnsi="宋体"/>
                <w:szCs w:val="21"/>
              </w:rPr>
            </w:pPr>
            <w:r>
              <w:rPr>
                <w:rFonts w:hint="eastAsia" w:ascii="宋体" w:hAnsi="宋体"/>
                <w:szCs w:val="21"/>
              </w:rPr>
              <w:t>工程名称</w:t>
            </w:r>
          </w:p>
        </w:tc>
        <w:tc>
          <w:tcPr>
            <w:tcW w:w="7402" w:type="dxa"/>
            <w:gridSpan w:val="8"/>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937" w:type="dxa"/>
            <w:vAlign w:val="center"/>
          </w:tcPr>
          <w:p>
            <w:pPr>
              <w:jc w:val="center"/>
              <w:rPr>
                <w:rFonts w:ascii="宋体" w:hAnsi="宋体"/>
                <w:szCs w:val="21"/>
              </w:rPr>
            </w:pPr>
            <w:r>
              <w:rPr>
                <w:rFonts w:hint="eastAsia" w:ascii="宋体" w:hAnsi="宋体"/>
                <w:szCs w:val="21"/>
              </w:rPr>
              <w:t>投 标 人</w:t>
            </w:r>
          </w:p>
        </w:tc>
        <w:tc>
          <w:tcPr>
            <w:tcW w:w="7402" w:type="dxa"/>
            <w:gridSpan w:val="8"/>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937" w:type="dxa"/>
            <w:vAlign w:val="center"/>
          </w:tcPr>
          <w:p>
            <w:pPr>
              <w:jc w:val="center"/>
              <w:rPr>
                <w:rFonts w:ascii="宋体" w:hAnsi="宋体"/>
                <w:szCs w:val="21"/>
              </w:rPr>
            </w:pPr>
            <w:r>
              <w:rPr>
                <w:rFonts w:hint="eastAsia" w:ascii="宋体" w:hAnsi="宋体"/>
                <w:szCs w:val="21"/>
              </w:rPr>
              <w:t>投标范围</w:t>
            </w:r>
          </w:p>
        </w:tc>
        <w:tc>
          <w:tcPr>
            <w:tcW w:w="7402" w:type="dxa"/>
            <w:gridSpan w:val="8"/>
            <w:vAlign w:val="center"/>
          </w:tcPr>
          <w:p>
            <w:pPr>
              <w:jc w:val="right"/>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937" w:type="dxa"/>
            <w:vAlign w:val="center"/>
          </w:tcPr>
          <w:p>
            <w:pPr>
              <w:jc w:val="center"/>
              <w:rPr>
                <w:rFonts w:ascii="宋体" w:hAnsi="宋体"/>
                <w:szCs w:val="21"/>
              </w:rPr>
            </w:pPr>
            <w:r>
              <w:rPr>
                <w:rFonts w:hint="eastAsia" w:ascii="宋体" w:hAnsi="宋体"/>
                <w:szCs w:val="21"/>
              </w:rPr>
              <w:t>招标控制价</w:t>
            </w:r>
          </w:p>
        </w:tc>
        <w:tc>
          <w:tcPr>
            <w:tcW w:w="7402" w:type="dxa"/>
            <w:gridSpan w:val="8"/>
            <w:vAlign w:val="center"/>
          </w:tcPr>
          <w:p>
            <w:pPr>
              <w:rPr>
                <w:rFonts w:ascii="宋体" w:hAnsi="宋体"/>
                <w:szCs w:val="21"/>
              </w:rPr>
            </w:pPr>
            <w:r>
              <w:rPr>
                <w:rFonts w:hint="eastAsia" w:ascii="宋体" w:hAnsi="宋体"/>
                <w:szCs w:val="21"/>
              </w:rPr>
              <w:t>本标段招标控制价元，投标报价超出招标控制价视为废标。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1937" w:type="dxa"/>
            <w:vAlign w:val="center"/>
          </w:tcPr>
          <w:p>
            <w:pPr>
              <w:jc w:val="center"/>
              <w:rPr>
                <w:rFonts w:ascii="宋体" w:hAnsi="宋体"/>
                <w:szCs w:val="21"/>
              </w:rPr>
            </w:pPr>
            <w:r>
              <w:rPr>
                <w:rFonts w:hint="eastAsia" w:ascii="宋体" w:hAnsi="宋体"/>
                <w:szCs w:val="21"/>
              </w:rPr>
              <w:t>评标报价</w:t>
            </w:r>
          </w:p>
        </w:tc>
        <w:tc>
          <w:tcPr>
            <w:tcW w:w="7402" w:type="dxa"/>
            <w:gridSpan w:val="8"/>
            <w:vAlign w:val="center"/>
          </w:tcPr>
          <w:p>
            <w:pPr>
              <w:rPr>
                <w:rFonts w:ascii="宋体" w:hAnsi="宋体"/>
                <w:szCs w:val="21"/>
              </w:rPr>
            </w:pPr>
            <w:r>
              <w:rPr>
                <w:rFonts w:hint="eastAsia" w:ascii="宋体" w:hAnsi="宋体"/>
                <w:szCs w:val="21"/>
              </w:rPr>
              <w:t xml:space="preserve">人民币（大写）：元；RMB￥：元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37" w:type="dxa"/>
            <w:vAlign w:val="center"/>
          </w:tcPr>
          <w:p>
            <w:pPr>
              <w:jc w:val="center"/>
              <w:rPr>
                <w:rFonts w:ascii="宋体" w:hAnsi="宋体"/>
                <w:szCs w:val="21"/>
              </w:rPr>
            </w:pPr>
            <w:r>
              <w:rPr>
                <w:rFonts w:hint="eastAsia" w:ascii="宋体" w:hAnsi="宋体"/>
                <w:szCs w:val="21"/>
              </w:rPr>
              <w:t>投标工期</w:t>
            </w:r>
          </w:p>
        </w:tc>
        <w:tc>
          <w:tcPr>
            <w:tcW w:w="7402" w:type="dxa"/>
            <w:gridSpan w:val="8"/>
            <w:vAlign w:val="center"/>
          </w:tcPr>
          <w:p>
            <w:pPr>
              <w:rPr>
                <w:rFonts w:ascii="宋体" w:hAnsi="宋体"/>
                <w:szCs w:val="21"/>
              </w:rPr>
            </w:pPr>
            <w:r>
              <w:rPr>
                <w:rFonts w:hint="eastAsia" w:ascii="宋体" w:hAnsi="宋体"/>
                <w:szCs w:val="21"/>
              </w:rPr>
              <w:t>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37" w:type="dxa"/>
            <w:vAlign w:val="center"/>
          </w:tcPr>
          <w:p>
            <w:pPr>
              <w:jc w:val="center"/>
              <w:rPr>
                <w:rFonts w:ascii="宋体" w:hAnsi="宋体"/>
                <w:szCs w:val="21"/>
              </w:rPr>
            </w:pPr>
            <w:r>
              <w:rPr>
                <w:rFonts w:hint="eastAsia" w:ascii="宋体" w:hAnsi="宋体"/>
                <w:szCs w:val="21"/>
              </w:rPr>
              <w:t>投标质量</w:t>
            </w:r>
          </w:p>
        </w:tc>
        <w:tc>
          <w:tcPr>
            <w:tcW w:w="7402" w:type="dxa"/>
            <w:gridSpan w:val="8"/>
            <w:vAlign w:val="center"/>
          </w:tcPr>
          <w:p>
            <w:pP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937" w:type="dxa"/>
            <w:vAlign w:val="center"/>
          </w:tcPr>
          <w:p>
            <w:pPr>
              <w:jc w:val="center"/>
              <w:rPr>
                <w:rFonts w:ascii="宋体" w:hAnsi="宋体"/>
                <w:szCs w:val="21"/>
              </w:rPr>
            </w:pPr>
            <w:r>
              <w:rPr>
                <w:rFonts w:hint="eastAsia" w:ascii="宋体" w:hAnsi="宋体"/>
                <w:szCs w:val="21"/>
              </w:rPr>
              <w:t>项目经理</w:t>
            </w:r>
          </w:p>
        </w:tc>
        <w:tc>
          <w:tcPr>
            <w:tcW w:w="758" w:type="dxa"/>
            <w:vAlign w:val="center"/>
          </w:tcPr>
          <w:p>
            <w:pPr>
              <w:jc w:val="center"/>
              <w:rPr>
                <w:rFonts w:ascii="宋体" w:hAnsi="宋体"/>
                <w:szCs w:val="21"/>
              </w:rPr>
            </w:pPr>
            <w:r>
              <w:rPr>
                <w:rFonts w:hint="eastAsia" w:ascii="宋体" w:hAnsi="宋体"/>
                <w:szCs w:val="21"/>
              </w:rPr>
              <w:t>姓名</w:t>
            </w:r>
          </w:p>
        </w:tc>
        <w:tc>
          <w:tcPr>
            <w:tcW w:w="1368" w:type="dxa"/>
            <w:vAlign w:val="center"/>
          </w:tcPr>
          <w:p>
            <w:pPr>
              <w:jc w:val="center"/>
              <w:rPr>
                <w:rFonts w:ascii="宋体" w:hAnsi="宋体"/>
                <w:szCs w:val="21"/>
              </w:rPr>
            </w:pPr>
          </w:p>
        </w:tc>
        <w:tc>
          <w:tcPr>
            <w:tcW w:w="758" w:type="dxa"/>
            <w:vAlign w:val="center"/>
          </w:tcPr>
          <w:p>
            <w:pPr>
              <w:jc w:val="center"/>
              <w:rPr>
                <w:rFonts w:ascii="宋体" w:hAnsi="宋体"/>
                <w:szCs w:val="21"/>
              </w:rPr>
            </w:pPr>
            <w:r>
              <w:rPr>
                <w:rFonts w:hint="eastAsia" w:ascii="宋体" w:hAnsi="宋体"/>
                <w:szCs w:val="21"/>
              </w:rPr>
              <w:t>职称</w:t>
            </w:r>
          </w:p>
        </w:tc>
        <w:tc>
          <w:tcPr>
            <w:tcW w:w="1215" w:type="dxa"/>
            <w:vAlign w:val="center"/>
          </w:tcPr>
          <w:p>
            <w:pPr>
              <w:jc w:val="center"/>
              <w:rPr>
                <w:rFonts w:ascii="宋体" w:hAnsi="宋体"/>
                <w:szCs w:val="21"/>
              </w:rPr>
            </w:pPr>
          </w:p>
        </w:tc>
        <w:tc>
          <w:tcPr>
            <w:tcW w:w="757" w:type="dxa"/>
            <w:vAlign w:val="center"/>
          </w:tcPr>
          <w:p>
            <w:pPr>
              <w:jc w:val="center"/>
              <w:rPr>
                <w:rFonts w:ascii="宋体" w:hAnsi="宋体"/>
                <w:szCs w:val="21"/>
              </w:rPr>
            </w:pPr>
            <w:r>
              <w:rPr>
                <w:rFonts w:hint="eastAsia" w:ascii="宋体" w:hAnsi="宋体"/>
                <w:szCs w:val="21"/>
              </w:rPr>
              <w:t>职业</w:t>
            </w:r>
          </w:p>
          <w:p>
            <w:pPr>
              <w:jc w:val="center"/>
              <w:rPr>
                <w:rFonts w:ascii="宋体" w:hAnsi="宋体"/>
                <w:szCs w:val="21"/>
              </w:rPr>
            </w:pPr>
            <w:r>
              <w:rPr>
                <w:rFonts w:hint="eastAsia" w:ascii="宋体" w:hAnsi="宋体"/>
                <w:szCs w:val="21"/>
              </w:rPr>
              <w:t>资格</w:t>
            </w:r>
          </w:p>
        </w:tc>
        <w:tc>
          <w:tcPr>
            <w:tcW w:w="1368" w:type="dxa"/>
            <w:vAlign w:val="center"/>
          </w:tcPr>
          <w:p>
            <w:pPr>
              <w:jc w:val="center"/>
              <w:rPr>
                <w:rFonts w:ascii="宋体" w:hAnsi="宋体"/>
                <w:szCs w:val="21"/>
              </w:rPr>
            </w:pPr>
          </w:p>
        </w:tc>
        <w:tc>
          <w:tcPr>
            <w:tcW w:w="758" w:type="dxa"/>
            <w:vAlign w:val="center"/>
          </w:tcPr>
          <w:p>
            <w:pPr>
              <w:jc w:val="center"/>
              <w:rPr>
                <w:rFonts w:ascii="宋体" w:hAnsi="宋体"/>
                <w:szCs w:val="21"/>
              </w:rPr>
            </w:pPr>
            <w:r>
              <w:rPr>
                <w:rFonts w:hint="eastAsia" w:ascii="宋体" w:hAnsi="宋体"/>
                <w:szCs w:val="21"/>
              </w:rPr>
              <w:t>编号</w:t>
            </w:r>
          </w:p>
        </w:tc>
        <w:tc>
          <w:tcPr>
            <w:tcW w:w="420" w:type="dxa"/>
            <w:vAlign w:val="center"/>
          </w:tcPr>
          <w:p>
            <w:pPr>
              <w:jc w:val="center"/>
              <w:rPr>
                <w:rFonts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937" w:type="dxa"/>
            <w:vAlign w:val="center"/>
          </w:tcPr>
          <w:p>
            <w:pPr>
              <w:jc w:val="center"/>
              <w:rPr>
                <w:rFonts w:ascii="宋体" w:hAnsi="宋体"/>
                <w:szCs w:val="21"/>
              </w:rPr>
            </w:pPr>
            <w:r>
              <w:rPr>
                <w:rFonts w:hint="eastAsia" w:ascii="宋体" w:hAnsi="宋体"/>
                <w:szCs w:val="21"/>
              </w:rPr>
              <w:t>技术负责人</w:t>
            </w:r>
          </w:p>
        </w:tc>
        <w:tc>
          <w:tcPr>
            <w:tcW w:w="758" w:type="dxa"/>
            <w:vAlign w:val="center"/>
          </w:tcPr>
          <w:p>
            <w:pPr>
              <w:jc w:val="center"/>
              <w:rPr>
                <w:rFonts w:ascii="宋体" w:hAnsi="宋体"/>
                <w:szCs w:val="21"/>
              </w:rPr>
            </w:pPr>
            <w:r>
              <w:rPr>
                <w:rFonts w:hint="eastAsia" w:ascii="宋体" w:hAnsi="宋体"/>
                <w:szCs w:val="21"/>
              </w:rPr>
              <w:t>姓名</w:t>
            </w:r>
          </w:p>
        </w:tc>
        <w:tc>
          <w:tcPr>
            <w:tcW w:w="1368" w:type="dxa"/>
            <w:vAlign w:val="center"/>
          </w:tcPr>
          <w:p>
            <w:pPr>
              <w:jc w:val="center"/>
              <w:rPr>
                <w:rFonts w:ascii="宋体" w:hAnsi="宋体"/>
                <w:szCs w:val="21"/>
              </w:rPr>
            </w:pPr>
          </w:p>
        </w:tc>
        <w:tc>
          <w:tcPr>
            <w:tcW w:w="758" w:type="dxa"/>
            <w:vAlign w:val="center"/>
          </w:tcPr>
          <w:p>
            <w:pPr>
              <w:jc w:val="center"/>
              <w:rPr>
                <w:rFonts w:ascii="宋体" w:hAnsi="宋体"/>
                <w:szCs w:val="21"/>
              </w:rPr>
            </w:pPr>
            <w:r>
              <w:rPr>
                <w:rFonts w:hint="eastAsia" w:ascii="宋体" w:hAnsi="宋体"/>
                <w:szCs w:val="21"/>
              </w:rPr>
              <w:t>职称</w:t>
            </w:r>
          </w:p>
        </w:tc>
        <w:tc>
          <w:tcPr>
            <w:tcW w:w="1215" w:type="dxa"/>
            <w:vAlign w:val="center"/>
          </w:tcPr>
          <w:p>
            <w:pPr>
              <w:jc w:val="center"/>
              <w:rPr>
                <w:rFonts w:ascii="宋体" w:hAnsi="宋体"/>
                <w:szCs w:val="21"/>
              </w:rPr>
            </w:pPr>
          </w:p>
        </w:tc>
        <w:tc>
          <w:tcPr>
            <w:tcW w:w="757" w:type="dxa"/>
            <w:vAlign w:val="center"/>
          </w:tcPr>
          <w:p>
            <w:pPr>
              <w:jc w:val="center"/>
              <w:rPr>
                <w:rFonts w:ascii="宋体" w:hAnsi="宋体"/>
                <w:szCs w:val="21"/>
              </w:rPr>
            </w:pPr>
            <w:r>
              <w:rPr>
                <w:rFonts w:hint="eastAsia" w:ascii="宋体" w:hAnsi="宋体"/>
                <w:szCs w:val="21"/>
              </w:rPr>
              <w:t>编号</w:t>
            </w:r>
          </w:p>
        </w:tc>
        <w:tc>
          <w:tcPr>
            <w:tcW w:w="2546" w:type="dxa"/>
            <w:gridSpan w:val="3"/>
            <w:vAlign w:val="center"/>
          </w:tcPr>
          <w:p>
            <w:pPr>
              <w:jc w:val="center"/>
              <w:rPr>
                <w:rFonts w:ascii="宋体" w:hAnsi="宋体"/>
                <w:szCs w:val="21"/>
              </w:rPr>
            </w:pPr>
          </w:p>
        </w:tc>
      </w:tr>
    </w:tbl>
    <w:p>
      <w:pPr>
        <w:spacing w:line="300" w:lineRule="exact"/>
        <w:rPr>
          <w:rFonts w:ascii="黑体" w:hAnsi="黑体" w:eastAsia="黑体" w:cs="黑体"/>
          <w:b/>
          <w:sz w:val="24"/>
        </w:rPr>
      </w:pPr>
      <w:bookmarkStart w:id="1114" w:name="_Toc276021113"/>
    </w:p>
    <w:p>
      <w:pPr>
        <w:spacing w:line="300" w:lineRule="exact"/>
        <w:ind w:firstLine="5670" w:firstLineChars="2700"/>
        <w:rPr>
          <w:rFonts w:ascii="宋体" w:hAnsi="宋体"/>
          <w:szCs w:val="21"/>
        </w:rPr>
      </w:pPr>
    </w:p>
    <w:p>
      <w:pPr>
        <w:spacing w:line="300" w:lineRule="exact"/>
        <w:ind w:firstLine="5670" w:firstLineChars="2700"/>
        <w:rPr>
          <w:rFonts w:ascii="宋体" w:hAnsi="宋体"/>
          <w:szCs w:val="21"/>
        </w:rPr>
      </w:pPr>
      <w:r>
        <w:rPr>
          <w:rFonts w:hint="eastAsia" w:ascii="Calibri" w:hAnsi="Calibri"/>
          <w:szCs w:val="21"/>
        </w:rPr>
        <w:t>投标人：（单位电子签章）</w:t>
      </w:r>
    </w:p>
    <w:p>
      <w:pPr>
        <w:spacing w:line="300" w:lineRule="exact"/>
        <w:ind w:firstLine="5670" w:firstLineChars="2700"/>
        <w:rPr>
          <w:rFonts w:ascii="宋体" w:hAnsi="宋体"/>
          <w:szCs w:val="21"/>
        </w:rPr>
      </w:pPr>
      <w:r>
        <w:rPr>
          <w:rFonts w:hint="eastAsia" w:ascii="宋体" w:hAnsi="宋体"/>
          <w:szCs w:val="21"/>
        </w:rPr>
        <w:t>日期：     年  月   日</w:t>
      </w:r>
      <w:bookmarkStart w:id="1115" w:name="_Toc276021110"/>
      <w:bookmarkEnd w:id="1115"/>
    </w:p>
    <w:p>
      <w:pPr>
        <w:pStyle w:val="5"/>
        <w:tabs>
          <w:tab w:val="left" w:pos="2114"/>
          <w:tab w:val="center" w:pos="4153"/>
        </w:tabs>
      </w:pPr>
    </w:p>
    <w:p>
      <w:pPr>
        <w:pStyle w:val="5"/>
        <w:tabs>
          <w:tab w:val="left" w:pos="2114"/>
          <w:tab w:val="center" w:pos="4153"/>
        </w:tabs>
      </w:pPr>
      <w:bookmarkStart w:id="1116" w:name="_Toc626"/>
      <w:r>
        <w:rPr>
          <w:rFonts w:hint="eastAsia"/>
        </w:rPr>
        <w:t>（二）已标价工程量清单</w:t>
      </w:r>
      <w:bookmarkEnd w:id="1114"/>
      <w:bookmarkEnd w:id="1116"/>
    </w:p>
    <w:p>
      <w:pPr>
        <w:spacing w:line="360" w:lineRule="auto"/>
        <w:ind w:firstLine="420" w:firstLineChars="200"/>
        <w:rPr>
          <w:rFonts w:ascii="宋体" w:hAnsi="宋体"/>
          <w:szCs w:val="21"/>
        </w:rPr>
      </w:pPr>
      <w:r>
        <w:rPr>
          <w:rFonts w:hint="eastAsia" w:ascii="宋体" w:hAnsi="宋体"/>
          <w:szCs w:val="21"/>
        </w:rPr>
        <w:t>说明：已标价工程量清单按第五章“工程量清单”中的相关清单表格式填写。构成合同文件的已标价工程量清单包括第五章“工程量清单”有关工程量清单、投标报价以及其他说明的内容。</w:t>
      </w:r>
    </w:p>
    <w:p>
      <w:pPr>
        <w:spacing w:line="360" w:lineRule="auto"/>
        <w:rPr>
          <w:rFonts w:ascii="宋体" w:hAnsi="宋体"/>
          <w:szCs w:val="21"/>
        </w:rPr>
      </w:pPr>
      <w:r>
        <w:rPr>
          <w:rFonts w:ascii="宋体" w:hAnsi="宋体"/>
          <w:szCs w:val="21"/>
        </w:rPr>
        <w:br w:type="page"/>
      </w:r>
    </w:p>
    <w:p>
      <w:pPr>
        <w:pStyle w:val="5"/>
        <w:jc w:val="center"/>
      </w:pPr>
      <w:bookmarkStart w:id="1117" w:name="_Toc12428"/>
      <w:bookmarkStart w:id="1118" w:name="_Toc276021117"/>
      <w:r>
        <w:rPr>
          <w:rFonts w:hint="eastAsia"/>
        </w:rPr>
        <w:t>（</w:t>
      </w:r>
      <w:r>
        <w:rPr>
          <w:rFonts w:hint="eastAsia"/>
          <w:lang w:val="en-US" w:eastAsia="zh-CN"/>
        </w:rPr>
        <w:t>三</w:t>
      </w:r>
      <w:r>
        <w:t>）</w:t>
      </w:r>
      <w:r>
        <w:rPr>
          <w:rFonts w:hint="eastAsia"/>
        </w:rPr>
        <w:t>承诺书</w:t>
      </w:r>
      <w:bookmarkEnd w:id="1117"/>
    </w:p>
    <w:p>
      <w:pPr>
        <w:pStyle w:val="6"/>
        <w:jc w:val="center"/>
      </w:pPr>
      <w:r>
        <w:rPr>
          <w:rFonts w:hint="eastAsia"/>
        </w:rPr>
        <w:t>承诺书(一)</w:t>
      </w:r>
    </w:p>
    <w:p>
      <w:pPr>
        <w:spacing w:after="312" w:afterLines="100" w:line="440" w:lineRule="exact"/>
        <w:rPr>
          <w:rFonts w:ascii="宋体" w:hAnsi="宋体"/>
          <w:szCs w:val="21"/>
        </w:rPr>
      </w:pPr>
      <w:r>
        <w:rPr>
          <w:rFonts w:hint="eastAsia" w:ascii="宋体" w:hAnsi="宋体"/>
          <w:position w:val="-7"/>
          <w:szCs w:val="21"/>
        </w:rPr>
        <w:t>————————</w:t>
      </w:r>
      <w:r>
        <w:rPr>
          <w:rFonts w:hint="eastAsia" w:ascii="宋体" w:hAnsi="宋体"/>
          <w:szCs w:val="21"/>
        </w:rPr>
        <w:t>（招标人名称）：</w:t>
      </w:r>
    </w:p>
    <w:p>
      <w:pPr>
        <w:spacing w:line="440" w:lineRule="exact"/>
        <w:ind w:firstLine="420" w:firstLineChars="200"/>
        <w:rPr>
          <w:rFonts w:ascii="宋体" w:hAnsi="宋体"/>
          <w:szCs w:val="21"/>
        </w:rPr>
      </w:pPr>
      <w:r>
        <w:rPr>
          <w:rFonts w:hint="eastAsia" w:ascii="宋体" w:hAnsi="宋体"/>
          <w:szCs w:val="21"/>
        </w:rPr>
        <w:t>我方在此声明，我方拟派往（项目名称）标段（以下简称“本工程”）的项目经理（项目经理姓名）在本项目投标之日起不再担任其他正在施工建设项目的项目经理。我方保证上述信息的真实和准确，如果发现并证实项目经理有在建工程，我方愿意自动放弃中标资格。</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r>
        <w:rPr>
          <w:rFonts w:hint="eastAsia" w:ascii="宋体" w:hAnsi="宋体"/>
          <w:szCs w:val="21"/>
        </w:rPr>
        <w:t>特此承诺</w:t>
      </w: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ind w:firstLine="420" w:firstLineChars="200"/>
        <w:rPr>
          <w:rFonts w:ascii="宋体" w:hAnsi="宋体"/>
          <w:szCs w:val="21"/>
        </w:rPr>
      </w:pPr>
    </w:p>
    <w:p>
      <w:pPr>
        <w:spacing w:line="440" w:lineRule="exact"/>
        <w:jc w:val="right"/>
        <w:rPr>
          <w:rFonts w:ascii="宋体" w:hAnsi="宋体"/>
          <w:szCs w:val="21"/>
        </w:rPr>
      </w:pPr>
      <w:r>
        <w:rPr>
          <w:rFonts w:hint="eastAsia" w:ascii="宋体" w:hAnsi="宋体"/>
          <w:szCs w:val="21"/>
        </w:rPr>
        <w:t>投标人：（单位电子签章）</w:t>
      </w:r>
    </w:p>
    <w:p>
      <w:pPr>
        <w:wordWrap w:val="0"/>
        <w:spacing w:line="440" w:lineRule="exact"/>
        <w:jc w:val="right"/>
        <w:rPr>
          <w:rFonts w:ascii="宋体" w:hAnsi="宋体"/>
          <w:szCs w:val="21"/>
        </w:rPr>
      </w:pPr>
      <w:r>
        <w:rPr>
          <w:rFonts w:hint="eastAsia" w:ascii="宋体" w:hAnsi="宋体"/>
          <w:szCs w:val="21"/>
        </w:rPr>
        <w:t>法定代表人：（法定代表人电子签名）</w:t>
      </w:r>
    </w:p>
    <w:p>
      <w:pPr>
        <w:spacing w:line="440" w:lineRule="exact"/>
        <w:jc w:val="right"/>
        <w:rPr>
          <w:rFonts w:ascii="宋体" w:hAnsi="宋体"/>
          <w:szCs w:val="21"/>
        </w:rPr>
      </w:pPr>
    </w:p>
    <w:p>
      <w:pPr>
        <w:spacing w:line="440" w:lineRule="exact"/>
        <w:jc w:val="right"/>
        <w:rPr>
          <w:rFonts w:ascii="宋体" w:hAnsi="宋体"/>
          <w:szCs w:val="21"/>
        </w:rPr>
      </w:pPr>
      <w:r>
        <w:rPr>
          <w:rFonts w:hint="eastAsia" w:ascii="宋体" w:hAnsi="宋体"/>
          <w:szCs w:val="21"/>
        </w:rPr>
        <w:t>年月日</w:t>
      </w:r>
    </w:p>
    <w:p>
      <w:pPr>
        <w:spacing w:before="156" w:beforeLines="50" w:after="312" w:afterLines="100" w:line="440" w:lineRule="exact"/>
        <w:ind w:right="420"/>
        <w:jc w:val="center"/>
        <w:rPr>
          <w:rFonts w:ascii="宋体" w:hAnsi="宋体"/>
          <w:szCs w:val="21"/>
        </w:rPr>
      </w:pPr>
      <w:r>
        <w:rPr>
          <w:rFonts w:ascii="宋体" w:hAnsi="宋体"/>
          <w:szCs w:val="21"/>
        </w:rPr>
        <w:br w:type="page"/>
      </w:r>
    </w:p>
    <w:p>
      <w:pPr>
        <w:pStyle w:val="6"/>
        <w:jc w:val="center"/>
      </w:pPr>
      <w:r>
        <w:rPr>
          <w:rFonts w:hint="eastAsia"/>
        </w:rPr>
        <w:t>承诺书(二)</w:t>
      </w:r>
    </w:p>
    <w:tbl>
      <w:tblPr>
        <w:tblStyle w:val="44"/>
        <w:tblW w:w="8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1224"/>
        <w:gridCol w:w="1836"/>
        <w:gridCol w:w="2448"/>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142" w:type="dxa"/>
            <w:vAlign w:val="center"/>
          </w:tcPr>
          <w:p>
            <w:pPr>
              <w:widowControl/>
              <w:spacing w:before="100" w:beforeAutospacing="1" w:line="480" w:lineRule="auto"/>
              <w:jc w:val="center"/>
              <w:rPr>
                <w:rFonts w:ascii="Arial" w:hAnsi="Arial" w:cs="Arial"/>
                <w:kern w:val="0"/>
                <w:szCs w:val="21"/>
              </w:rPr>
            </w:pPr>
            <w:r>
              <w:rPr>
                <w:rFonts w:hint="eastAsia" w:ascii="Arial" w:hAnsi="Arial" w:cs="Arial"/>
                <w:kern w:val="0"/>
                <w:szCs w:val="21"/>
              </w:rPr>
              <w:t>获奖证书、证件名称</w:t>
            </w:r>
          </w:p>
        </w:tc>
        <w:tc>
          <w:tcPr>
            <w:tcW w:w="1224" w:type="dxa"/>
            <w:vAlign w:val="center"/>
          </w:tcPr>
          <w:p>
            <w:pPr>
              <w:widowControl/>
              <w:spacing w:before="100" w:beforeAutospacing="1" w:line="480" w:lineRule="auto"/>
              <w:jc w:val="center"/>
              <w:rPr>
                <w:rFonts w:ascii="Arial" w:hAnsi="Arial" w:cs="Arial"/>
                <w:kern w:val="0"/>
                <w:szCs w:val="21"/>
              </w:rPr>
            </w:pPr>
            <w:r>
              <w:rPr>
                <w:rFonts w:hint="eastAsia" w:ascii="Arial" w:hAnsi="Arial" w:cs="Arial"/>
                <w:kern w:val="0"/>
                <w:szCs w:val="21"/>
              </w:rPr>
              <w:t>文件号</w:t>
            </w:r>
          </w:p>
        </w:tc>
        <w:tc>
          <w:tcPr>
            <w:tcW w:w="1836" w:type="dxa"/>
            <w:vAlign w:val="center"/>
          </w:tcPr>
          <w:p>
            <w:pPr>
              <w:widowControl/>
              <w:spacing w:before="100" w:beforeAutospacing="1" w:line="480" w:lineRule="auto"/>
              <w:jc w:val="center"/>
              <w:rPr>
                <w:rFonts w:ascii="Arial" w:hAnsi="Arial" w:cs="Arial"/>
                <w:kern w:val="0"/>
                <w:szCs w:val="21"/>
              </w:rPr>
            </w:pPr>
            <w:r>
              <w:rPr>
                <w:rFonts w:hint="eastAsia" w:ascii="Arial" w:hAnsi="Arial" w:cs="Arial"/>
                <w:kern w:val="0"/>
                <w:szCs w:val="21"/>
              </w:rPr>
              <w:t>所在网站</w:t>
            </w:r>
          </w:p>
        </w:tc>
        <w:tc>
          <w:tcPr>
            <w:tcW w:w="2448" w:type="dxa"/>
            <w:vAlign w:val="center"/>
          </w:tcPr>
          <w:p>
            <w:pPr>
              <w:widowControl/>
              <w:spacing w:before="100" w:beforeAutospacing="1" w:line="480" w:lineRule="auto"/>
              <w:jc w:val="center"/>
              <w:rPr>
                <w:rFonts w:ascii="Arial" w:hAnsi="Arial" w:cs="Arial"/>
                <w:kern w:val="0"/>
                <w:szCs w:val="21"/>
              </w:rPr>
            </w:pPr>
            <w:r>
              <w:rPr>
                <w:rFonts w:hint="eastAsia" w:ascii="Arial" w:hAnsi="Arial" w:cs="Arial"/>
                <w:kern w:val="0"/>
                <w:szCs w:val="21"/>
              </w:rPr>
              <w:t>所在网站网址：（http://）</w:t>
            </w:r>
          </w:p>
        </w:tc>
        <w:tc>
          <w:tcPr>
            <w:tcW w:w="918" w:type="dxa"/>
            <w:vAlign w:val="center"/>
          </w:tcPr>
          <w:p>
            <w:pPr>
              <w:widowControl/>
              <w:spacing w:before="100" w:beforeAutospacing="1" w:line="480" w:lineRule="auto"/>
              <w:jc w:val="center"/>
              <w:rPr>
                <w:rFonts w:ascii="Arial" w:hAnsi="Arial" w:cs="Arial"/>
                <w:kern w:val="0"/>
                <w:szCs w:val="21"/>
              </w:rPr>
            </w:pPr>
            <w:r>
              <w:rPr>
                <w:rFonts w:hint="eastAsia" w:ascii="Arial" w:hAnsi="Arial" w:cs="Arial"/>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142" w:type="dxa"/>
          </w:tcPr>
          <w:p>
            <w:pPr>
              <w:widowControl/>
              <w:spacing w:before="100" w:beforeAutospacing="1" w:line="480" w:lineRule="auto"/>
              <w:jc w:val="left"/>
              <w:rPr>
                <w:rFonts w:ascii="Arial" w:hAnsi="Arial" w:cs="Arial"/>
                <w:kern w:val="0"/>
                <w:szCs w:val="21"/>
              </w:rPr>
            </w:pPr>
          </w:p>
        </w:tc>
        <w:tc>
          <w:tcPr>
            <w:tcW w:w="1224" w:type="dxa"/>
          </w:tcPr>
          <w:p>
            <w:pPr>
              <w:widowControl/>
              <w:spacing w:before="100" w:beforeAutospacing="1" w:line="480" w:lineRule="auto"/>
              <w:jc w:val="left"/>
              <w:rPr>
                <w:rFonts w:ascii="Arial" w:hAnsi="Arial" w:cs="Arial"/>
                <w:kern w:val="0"/>
                <w:szCs w:val="21"/>
              </w:rPr>
            </w:pPr>
          </w:p>
        </w:tc>
        <w:tc>
          <w:tcPr>
            <w:tcW w:w="1836" w:type="dxa"/>
          </w:tcPr>
          <w:p>
            <w:pPr>
              <w:widowControl/>
              <w:spacing w:before="100" w:beforeAutospacing="1" w:line="480" w:lineRule="auto"/>
              <w:jc w:val="left"/>
              <w:rPr>
                <w:rFonts w:ascii="Arial" w:hAnsi="Arial" w:cs="Arial"/>
                <w:kern w:val="0"/>
                <w:szCs w:val="21"/>
              </w:rPr>
            </w:pPr>
          </w:p>
        </w:tc>
        <w:tc>
          <w:tcPr>
            <w:tcW w:w="2448" w:type="dxa"/>
          </w:tcPr>
          <w:p>
            <w:pPr>
              <w:widowControl/>
              <w:spacing w:before="100" w:beforeAutospacing="1" w:line="480" w:lineRule="auto"/>
              <w:jc w:val="left"/>
              <w:rPr>
                <w:rFonts w:ascii="Arial" w:hAnsi="Arial" w:cs="Arial"/>
                <w:kern w:val="0"/>
                <w:szCs w:val="21"/>
              </w:rPr>
            </w:pPr>
          </w:p>
        </w:tc>
        <w:tc>
          <w:tcPr>
            <w:tcW w:w="918" w:type="dxa"/>
          </w:tcPr>
          <w:p>
            <w:pPr>
              <w:widowControl/>
              <w:spacing w:before="100" w:beforeAutospacing="1" w:line="480" w:lineRule="auto"/>
              <w:jc w:val="left"/>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142" w:type="dxa"/>
          </w:tcPr>
          <w:p>
            <w:pPr>
              <w:widowControl/>
              <w:spacing w:before="100" w:beforeAutospacing="1" w:line="480" w:lineRule="auto"/>
              <w:jc w:val="left"/>
              <w:rPr>
                <w:rFonts w:ascii="Arial" w:hAnsi="Arial" w:cs="Arial"/>
                <w:kern w:val="0"/>
                <w:szCs w:val="21"/>
              </w:rPr>
            </w:pPr>
          </w:p>
        </w:tc>
        <w:tc>
          <w:tcPr>
            <w:tcW w:w="1224" w:type="dxa"/>
          </w:tcPr>
          <w:p>
            <w:pPr>
              <w:widowControl/>
              <w:spacing w:before="100" w:beforeAutospacing="1" w:line="480" w:lineRule="auto"/>
              <w:jc w:val="left"/>
              <w:rPr>
                <w:rFonts w:ascii="Arial" w:hAnsi="Arial" w:cs="Arial"/>
                <w:kern w:val="0"/>
                <w:szCs w:val="21"/>
              </w:rPr>
            </w:pPr>
          </w:p>
        </w:tc>
        <w:tc>
          <w:tcPr>
            <w:tcW w:w="1836" w:type="dxa"/>
          </w:tcPr>
          <w:p>
            <w:pPr>
              <w:widowControl/>
              <w:spacing w:before="100" w:beforeAutospacing="1" w:line="480" w:lineRule="auto"/>
              <w:jc w:val="left"/>
              <w:rPr>
                <w:rFonts w:ascii="Arial" w:hAnsi="Arial" w:cs="Arial"/>
                <w:kern w:val="0"/>
                <w:szCs w:val="21"/>
              </w:rPr>
            </w:pPr>
          </w:p>
        </w:tc>
        <w:tc>
          <w:tcPr>
            <w:tcW w:w="2448" w:type="dxa"/>
          </w:tcPr>
          <w:p>
            <w:pPr>
              <w:widowControl/>
              <w:spacing w:before="100" w:beforeAutospacing="1" w:line="480" w:lineRule="auto"/>
              <w:jc w:val="left"/>
              <w:rPr>
                <w:rFonts w:ascii="Arial" w:hAnsi="Arial" w:cs="Arial"/>
                <w:kern w:val="0"/>
                <w:szCs w:val="21"/>
              </w:rPr>
            </w:pPr>
          </w:p>
        </w:tc>
        <w:tc>
          <w:tcPr>
            <w:tcW w:w="918" w:type="dxa"/>
          </w:tcPr>
          <w:p>
            <w:pPr>
              <w:widowControl/>
              <w:spacing w:before="100" w:beforeAutospacing="1" w:line="480" w:lineRule="auto"/>
              <w:jc w:val="left"/>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142" w:type="dxa"/>
          </w:tcPr>
          <w:p>
            <w:pPr>
              <w:widowControl/>
              <w:spacing w:before="100" w:beforeAutospacing="1" w:line="480" w:lineRule="auto"/>
              <w:jc w:val="left"/>
              <w:rPr>
                <w:rFonts w:ascii="Arial" w:hAnsi="Arial" w:cs="Arial"/>
                <w:kern w:val="0"/>
                <w:szCs w:val="21"/>
              </w:rPr>
            </w:pPr>
          </w:p>
        </w:tc>
        <w:tc>
          <w:tcPr>
            <w:tcW w:w="1224" w:type="dxa"/>
          </w:tcPr>
          <w:p>
            <w:pPr>
              <w:widowControl/>
              <w:spacing w:before="100" w:beforeAutospacing="1" w:line="480" w:lineRule="auto"/>
              <w:jc w:val="left"/>
              <w:rPr>
                <w:rFonts w:ascii="Arial" w:hAnsi="Arial" w:cs="Arial"/>
                <w:kern w:val="0"/>
                <w:szCs w:val="21"/>
              </w:rPr>
            </w:pPr>
          </w:p>
        </w:tc>
        <w:tc>
          <w:tcPr>
            <w:tcW w:w="1836" w:type="dxa"/>
          </w:tcPr>
          <w:p>
            <w:pPr>
              <w:widowControl/>
              <w:spacing w:before="100" w:beforeAutospacing="1" w:line="480" w:lineRule="auto"/>
              <w:jc w:val="left"/>
              <w:rPr>
                <w:rFonts w:ascii="Arial" w:hAnsi="Arial" w:cs="Arial"/>
                <w:kern w:val="0"/>
                <w:szCs w:val="21"/>
              </w:rPr>
            </w:pPr>
          </w:p>
        </w:tc>
        <w:tc>
          <w:tcPr>
            <w:tcW w:w="2448" w:type="dxa"/>
          </w:tcPr>
          <w:p>
            <w:pPr>
              <w:widowControl/>
              <w:spacing w:before="100" w:beforeAutospacing="1" w:line="480" w:lineRule="auto"/>
              <w:jc w:val="left"/>
              <w:rPr>
                <w:rFonts w:ascii="Arial" w:hAnsi="Arial" w:cs="Arial"/>
                <w:kern w:val="0"/>
                <w:szCs w:val="21"/>
              </w:rPr>
            </w:pPr>
          </w:p>
        </w:tc>
        <w:tc>
          <w:tcPr>
            <w:tcW w:w="918" w:type="dxa"/>
          </w:tcPr>
          <w:p>
            <w:pPr>
              <w:widowControl/>
              <w:spacing w:before="100" w:beforeAutospacing="1" w:line="480" w:lineRule="auto"/>
              <w:jc w:val="left"/>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142" w:type="dxa"/>
          </w:tcPr>
          <w:p>
            <w:pPr>
              <w:widowControl/>
              <w:spacing w:before="100" w:beforeAutospacing="1" w:line="480" w:lineRule="auto"/>
              <w:jc w:val="left"/>
              <w:rPr>
                <w:rFonts w:ascii="Arial" w:hAnsi="Arial" w:cs="Arial"/>
                <w:kern w:val="0"/>
                <w:szCs w:val="21"/>
              </w:rPr>
            </w:pPr>
          </w:p>
        </w:tc>
        <w:tc>
          <w:tcPr>
            <w:tcW w:w="1224" w:type="dxa"/>
          </w:tcPr>
          <w:p>
            <w:pPr>
              <w:widowControl/>
              <w:spacing w:before="100" w:beforeAutospacing="1" w:line="480" w:lineRule="auto"/>
              <w:jc w:val="left"/>
              <w:rPr>
                <w:rFonts w:ascii="Arial" w:hAnsi="Arial" w:cs="Arial"/>
                <w:kern w:val="0"/>
                <w:szCs w:val="21"/>
              </w:rPr>
            </w:pPr>
          </w:p>
        </w:tc>
        <w:tc>
          <w:tcPr>
            <w:tcW w:w="1836" w:type="dxa"/>
          </w:tcPr>
          <w:p>
            <w:pPr>
              <w:widowControl/>
              <w:spacing w:before="100" w:beforeAutospacing="1" w:line="480" w:lineRule="auto"/>
              <w:jc w:val="left"/>
              <w:rPr>
                <w:rFonts w:ascii="Arial" w:hAnsi="Arial" w:cs="Arial"/>
                <w:kern w:val="0"/>
                <w:szCs w:val="21"/>
              </w:rPr>
            </w:pPr>
          </w:p>
        </w:tc>
        <w:tc>
          <w:tcPr>
            <w:tcW w:w="2448" w:type="dxa"/>
          </w:tcPr>
          <w:p>
            <w:pPr>
              <w:widowControl/>
              <w:spacing w:before="100" w:beforeAutospacing="1" w:line="480" w:lineRule="auto"/>
              <w:jc w:val="left"/>
              <w:rPr>
                <w:rFonts w:ascii="Arial" w:hAnsi="Arial" w:cs="Arial"/>
                <w:kern w:val="0"/>
                <w:szCs w:val="21"/>
              </w:rPr>
            </w:pPr>
          </w:p>
        </w:tc>
        <w:tc>
          <w:tcPr>
            <w:tcW w:w="918" w:type="dxa"/>
          </w:tcPr>
          <w:p>
            <w:pPr>
              <w:widowControl/>
              <w:spacing w:before="100" w:beforeAutospacing="1" w:line="480" w:lineRule="auto"/>
              <w:jc w:val="left"/>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142" w:type="dxa"/>
          </w:tcPr>
          <w:p>
            <w:pPr>
              <w:widowControl/>
              <w:spacing w:before="100" w:beforeAutospacing="1" w:line="480" w:lineRule="auto"/>
              <w:jc w:val="left"/>
              <w:rPr>
                <w:rFonts w:ascii="Arial" w:hAnsi="Arial" w:cs="Arial"/>
                <w:kern w:val="0"/>
                <w:szCs w:val="21"/>
              </w:rPr>
            </w:pPr>
          </w:p>
        </w:tc>
        <w:tc>
          <w:tcPr>
            <w:tcW w:w="1224" w:type="dxa"/>
          </w:tcPr>
          <w:p>
            <w:pPr>
              <w:widowControl/>
              <w:spacing w:before="100" w:beforeAutospacing="1" w:line="480" w:lineRule="auto"/>
              <w:jc w:val="left"/>
              <w:rPr>
                <w:rFonts w:ascii="Arial" w:hAnsi="Arial" w:cs="Arial"/>
                <w:kern w:val="0"/>
                <w:szCs w:val="21"/>
              </w:rPr>
            </w:pPr>
          </w:p>
        </w:tc>
        <w:tc>
          <w:tcPr>
            <w:tcW w:w="1836" w:type="dxa"/>
          </w:tcPr>
          <w:p>
            <w:pPr>
              <w:widowControl/>
              <w:spacing w:before="100" w:beforeAutospacing="1" w:line="480" w:lineRule="auto"/>
              <w:jc w:val="left"/>
              <w:rPr>
                <w:rFonts w:ascii="Arial" w:hAnsi="Arial" w:cs="Arial"/>
                <w:kern w:val="0"/>
                <w:szCs w:val="21"/>
              </w:rPr>
            </w:pPr>
          </w:p>
        </w:tc>
        <w:tc>
          <w:tcPr>
            <w:tcW w:w="2448" w:type="dxa"/>
          </w:tcPr>
          <w:p>
            <w:pPr>
              <w:widowControl/>
              <w:spacing w:before="100" w:beforeAutospacing="1" w:line="480" w:lineRule="auto"/>
              <w:jc w:val="left"/>
              <w:rPr>
                <w:rFonts w:ascii="Arial" w:hAnsi="Arial" w:cs="Arial"/>
                <w:kern w:val="0"/>
                <w:szCs w:val="21"/>
              </w:rPr>
            </w:pPr>
          </w:p>
        </w:tc>
        <w:tc>
          <w:tcPr>
            <w:tcW w:w="918" w:type="dxa"/>
          </w:tcPr>
          <w:p>
            <w:pPr>
              <w:widowControl/>
              <w:spacing w:before="100" w:beforeAutospacing="1" w:line="480" w:lineRule="auto"/>
              <w:jc w:val="left"/>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2142" w:type="dxa"/>
          </w:tcPr>
          <w:p>
            <w:pPr>
              <w:widowControl/>
              <w:spacing w:before="100" w:beforeAutospacing="1" w:line="480" w:lineRule="auto"/>
              <w:jc w:val="left"/>
              <w:rPr>
                <w:rFonts w:ascii="Arial" w:hAnsi="Arial" w:cs="Arial"/>
                <w:kern w:val="0"/>
                <w:szCs w:val="21"/>
              </w:rPr>
            </w:pPr>
          </w:p>
        </w:tc>
        <w:tc>
          <w:tcPr>
            <w:tcW w:w="1224" w:type="dxa"/>
          </w:tcPr>
          <w:p>
            <w:pPr>
              <w:widowControl/>
              <w:spacing w:before="100" w:beforeAutospacing="1" w:line="480" w:lineRule="auto"/>
              <w:jc w:val="left"/>
              <w:rPr>
                <w:rFonts w:ascii="Arial" w:hAnsi="Arial" w:cs="Arial"/>
                <w:kern w:val="0"/>
                <w:szCs w:val="21"/>
              </w:rPr>
            </w:pPr>
          </w:p>
        </w:tc>
        <w:tc>
          <w:tcPr>
            <w:tcW w:w="1836" w:type="dxa"/>
          </w:tcPr>
          <w:p>
            <w:pPr>
              <w:widowControl/>
              <w:spacing w:before="100" w:beforeAutospacing="1" w:line="480" w:lineRule="auto"/>
              <w:jc w:val="left"/>
              <w:rPr>
                <w:rFonts w:ascii="Arial" w:hAnsi="Arial" w:cs="Arial"/>
                <w:kern w:val="0"/>
                <w:szCs w:val="21"/>
              </w:rPr>
            </w:pPr>
          </w:p>
        </w:tc>
        <w:tc>
          <w:tcPr>
            <w:tcW w:w="2448" w:type="dxa"/>
          </w:tcPr>
          <w:p>
            <w:pPr>
              <w:widowControl/>
              <w:spacing w:before="100" w:beforeAutospacing="1" w:line="480" w:lineRule="auto"/>
              <w:jc w:val="left"/>
              <w:rPr>
                <w:rFonts w:ascii="Arial" w:hAnsi="Arial" w:cs="Arial"/>
                <w:kern w:val="0"/>
                <w:szCs w:val="21"/>
              </w:rPr>
            </w:pPr>
          </w:p>
        </w:tc>
        <w:tc>
          <w:tcPr>
            <w:tcW w:w="918" w:type="dxa"/>
          </w:tcPr>
          <w:p>
            <w:pPr>
              <w:widowControl/>
              <w:spacing w:before="100" w:beforeAutospacing="1" w:line="480" w:lineRule="auto"/>
              <w:jc w:val="left"/>
              <w:rPr>
                <w:rFonts w:ascii="Arial" w:hAnsi="Arial"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2142" w:type="dxa"/>
          </w:tcPr>
          <w:p>
            <w:pPr>
              <w:widowControl/>
              <w:spacing w:before="100" w:beforeAutospacing="1" w:line="480" w:lineRule="auto"/>
              <w:jc w:val="left"/>
              <w:rPr>
                <w:rFonts w:ascii="Arial" w:hAnsi="Arial" w:cs="Arial"/>
                <w:kern w:val="0"/>
                <w:szCs w:val="21"/>
              </w:rPr>
            </w:pPr>
          </w:p>
        </w:tc>
        <w:tc>
          <w:tcPr>
            <w:tcW w:w="1224" w:type="dxa"/>
          </w:tcPr>
          <w:p>
            <w:pPr>
              <w:widowControl/>
              <w:spacing w:before="100" w:beforeAutospacing="1" w:line="480" w:lineRule="auto"/>
              <w:jc w:val="left"/>
              <w:rPr>
                <w:rFonts w:ascii="Arial" w:hAnsi="Arial" w:cs="Arial"/>
                <w:kern w:val="0"/>
                <w:szCs w:val="21"/>
              </w:rPr>
            </w:pPr>
          </w:p>
        </w:tc>
        <w:tc>
          <w:tcPr>
            <w:tcW w:w="1836" w:type="dxa"/>
          </w:tcPr>
          <w:p>
            <w:pPr>
              <w:widowControl/>
              <w:spacing w:before="100" w:beforeAutospacing="1" w:line="480" w:lineRule="auto"/>
              <w:jc w:val="left"/>
              <w:rPr>
                <w:rFonts w:ascii="Arial" w:hAnsi="Arial" w:cs="Arial"/>
                <w:kern w:val="0"/>
                <w:szCs w:val="21"/>
              </w:rPr>
            </w:pPr>
          </w:p>
        </w:tc>
        <w:tc>
          <w:tcPr>
            <w:tcW w:w="2448" w:type="dxa"/>
          </w:tcPr>
          <w:p>
            <w:pPr>
              <w:widowControl/>
              <w:spacing w:before="100" w:beforeAutospacing="1" w:line="480" w:lineRule="auto"/>
              <w:jc w:val="left"/>
              <w:rPr>
                <w:rFonts w:ascii="Arial" w:hAnsi="Arial" w:cs="Arial"/>
                <w:kern w:val="0"/>
                <w:szCs w:val="21"/>
              </w:rPr>
            </w:pPr>
          </w:p>
        </w:tc>
        <w:tc>
          <w:tcPr>
            <w:tcW w:w="918" w:type="dxa"/>
          </w:tcPr>
          <w:p>
            <w:pPr>
              <w:widowControl/>
              <w:spacing w:before="100" w:beforeAutospacing="1" w:line="480" w:lineRule="auto"/>
              <w:jc w:val="left"/>
              <w:rPr>
                <w:rFonts w:ascii="Arial" w:hAnsi="Arial" w:cs="Arial"/>
                <w:kern w:val="0"/>
                <w:szCs w:val="21"/>
              </w:rPr>
            </w:pPr>
          </w:p>
        </w:tc>
      </w:tr>
    </w:tbl>
    <w:p>
      <w:pPr>
        <w:spacing w:after="312" w:afterLines="100" w:line="440" w:lineRule="exact"/>
        <w:rPr>
          <w:rFonts w:ascii="宋体" w:hAnsi="宋体"/>
          <w:szCs w:val="21"/>
        </w:rPr>
      </w:pPr>
      <w:r>
        <w:rPr>
          <w:rFonts w:hint="eastAsia" w:ascii="宋体" w:hAnsi="宋体"/>
          <w:szCs w:val="21"/>
        </w:rPr>
        <w:t>（招标人名称）：</w:t>
      </w:r>
    </w:p>
    <w:p>
      <w:pPr>
        <w:spacing w:line="440" w:lineRule="exact"/>
        <w:ind w:firstLine="420" w:firstLineChars="200"/>
        <w:rPr>
          <w:rFonts w:ascii="宋体" w:hAnsi="宋体"/>
          <w:szCs w:val="21"/>
        </w:rPr>
      </w:pPr>
      <w:r>
        <w:rPr>
          <w:rFonts w:hint="eastAsia" w:ascii="宋体" w:hAnsi="宋体"/>
          <w:szCs w:val="21"/>
        </w:rPr>
        <w:t>我方在此声明，我方所提供的以上资料均真实和准确。</w:t>
      </w:r>
    </w:p>
    <w:p>
      <w:pPr>
        <w:spacing w:line="440" w:lineRule="exact"/>
        <w:ind w:firstLine="420" w:firstLineChars="200"/>
        <w:rPr>
          <w:rFonts w:ascii="宋体" w:hAnsi="宋体"/>
          <w:szCs w:val="21"/>
        </w:rPr>
      </w:pPr>
      <w:r>
        <w:rPr>
          <w:rFonts w:hint="eastAsia" w:ascii="宋体" w:hAnsi="宋体"/>
          <w:szCs w:val="21"/>
        </w:rPr>
        <w:t>我方保证上述信息的真实和准确，并愿意承担因我方就此弄虚作假所引起的一切法律后果。</w:t>
      </w:r>
    </w:p>
    <w:p>
      <w:pPr>
        <w:spacing w:line="440" w:lineRule="exact"/>
        <w:ind w:firstLine="420" w:firstLineChars="200"/>
        <w:rPr>
          <w:rFonts w:ascii="宋体" w:hAnsi="宋体"/>
          <w:szCs w:val="21"/>
        </w:rPr>
      </w:pPr>
      <w:r>
        <w:rPr>
          <w:rFonts w:hint="eastAsia" w:ascii="宋体" w:hAnsi="宋体"/>
          <w:szCs w:val="21"/>
        </w:rPr>
        <w:t>特此承诺</w:t>
      </w:r>
    </w:p>
    <w:p>
      <w:pPr>
        <w:spacing w:line="440" w:lineRule="exact"/>
        <w:jc w:val="right"/>
        <w:rPr>
          <w:rFonts w:ascii="宋体" w:hAnsi="宋体"/>
          <w:szCs w:val="21"/>
        </w:rPr>
      </w:pPr>
      <w:r>
        <w:rPr>
          <w:rFonts w:hint="eastAsia" w:ascii="宋体" w:hAnsi="宋体"/>
          <w:szCs w:val="21"/>
        </w:rPr>
        <w:t>投标人：（单位电子签章）</w:t>
      </w:r>
    </w:p>
    <w:p>
      <w:pPr>
        <w:wordWrap w:val="0"/>
        <w:spacing w:line="440" w:lineRule="exact"/>
        <w:jc w:val="right"/>
        <w:rPr>
          <w:rFonts w:ascii="宋体" w:hAnsi="宋体"/>
          <w:szCs w:val="21"/>
        </w:rPr>
      </w:pPr>
      <w:r>
        <w:rPr>
          <w:rFonts w:hint="eastAsia" w:ascii="宋体" w:hAnsi="宋体"/>
          <w:szCs w:val="21"/>
        </w:rPr>
        <w:t>法定代表人：（法定代表人电子签名）</w:t>
      </w:r>
    </w:p>
    <w:p>
      <w:pPr>
        <w:spacing w:line="440" w:lineRule="exact"/>
        <w:jc w:val="right"/>
        <w:rPr>
          <w:rFonts w:ascii="宋体" w:hAnsi="宋体"/>
          <w:szCs w:val="21"/>
        </w:rPr>
      </w:pPr>
    </w:p>
    <w:p>
      <w:pPr>
        <w:spacing w:line="440" w:lineRule="exact"/>
        <w:jc w:val="right"/>
        <w:rPr>
          <w:rFonts w:ascii="宋体" w:hAnsi="宋体"/>
          <w:szCs w:val="21"/>
        </w:rPr>
      </w:pPr>
      <w:r>
        <w:rPr>
          <w:rFonts w:hint="eastAsia" w:ascii="宋体" w:hAnsi="宋体"/>
          <w:szCs w:val="21"/>
        </w:rPr>
        <w:t>年月日</w:t>
      </w:r>
    </w:p>
    <w:p>
      <w:pPr>
        <w:spacing w:before="156" w:beforeLines="50" w:after="312" w:afterLines="100" w:line="440" w:lineRule="exact"/>
        <w:ind w:right="420"/>
        <w:jc w:val="center"/>
        <w:rPr>
          <w:rFonts w:ascii="宋体" w:hAnsi="宋体"/>
          <w:szCs w:val="21"/>
        </w:rPr>
      </w:pPr>
    </w:p>
    <w:p>
      <w:pPr>
        <w:pStyle w:val="6"/>
        <w:jc w:val="center"/>
      </w:pPr>
      <w:bookmarkStart w:id="1119" w:name="_Toc13047"/>
      <w:bookmarkStart w:id="1120" w:name="_Toc381360563"/>
      <w:bookmarkStart w:id="1121" w:name="_Toc15586"/>
      <w:r>
        <w:rPr>
          <w:rFonts w:hint="eastAsia"/>
        </w:rPr>
        <w:t>承诺书(三)</w:t>
      </w:r>
      <w:bookmarkEnd w:id="1119"/>
      <w:bookmarkEnd w:id="1120"/>
      <w:bookmarkEnd w:id="1121"/>
    </w:p>
    <w:p>
      <w:pPr>
        <w:spacing w:before="312" w:beforeLines="100" w:after="312" w:afterLines="100"/>
        <w:jc w:val="center"/>
        <w:rPr>
          <w:rFonts w:ascii="黑体" w:hAnsi="宋体" w:eastAsia="黑体"/>
          <w:b/>
          <w:sz w:val="24"/>
        </w:rPr>
      </w:pPr>
      <w:r>
        <w:rPr>
          <w:rFonts w:hint="eastAsia" w:ascii="黑体" w:hAnsi="宋体" w:eastAsia="黑体"/>
          <w:b/>
          <w:sz w:val="24"/>
        </w:rPr>
        <w:t>信誉承诺书</w:t>
      </w:r>
    </w:p>
    <w:p/>
    <w:p>
      <w:pPr>
        <w:spacing w:after="312" w:afterLines="100" w:line="440" w:lineRule="exact"/>
        <w:rPr>
          <w:rFonts w:ascii="新宋体" w:hAnsi="新宋体" w:eastAsia="新宋体"/>
          <w:szCs w:val="21"/>
        </w:rPr>
      </w:pPr>
      <w:r>
        <w:rPr>
          <w:rFonts w:hint="eastAsia" w:ascii="新宋体" w:hAnsi="新宋体" w:eastAsia="新宋体"/>
          <w:szCs w:val="21"/>
        </w:rPr>
        <w:t>（招标人名称）：</w:t>
      </w:r>
    </w:p>
    <w:p>
      <w:pPr>
        <w:spacing w:line="360" w:lineRule="auto"/>
        <w:ind w:firstLine="735" w:firstLineChars="350"/>
      </w:pPr>
      <w:r>
        <w:rPr>
          <w:rFonts w:hint="eastAsia" w:ascii="新宋体" w:hAnsi="新宋体" w:eastAsia="新宋体"/>
          <w:szCs w:val="21"/>
        </w:rPr>
        <w:t>我方在此承诺，我方信誉良好，现阶段没有处于被责令停产、停业</w:t>
      </w:r>
      <w:r>
        <w:rPr>
          <w:rFonts w:hint="eastAsia" w:ascii="宋体" w:hAnsi="宋体"/>
          <w:szCs w:val="21"/>
        </w:rPr>
        <w:t>、行贿不良记录行为</w:t>
      </w:r>
      <w:r>
        <w:rPr>
          <w:rFonts w:hint="eastAsia" w:ascii="新宋体" w:hAnsi="新宋体" w:eastAsia="新宋体"/>
          <w:szCs w:val="21"/>
        </w:rPr>
        <w:t>，或者投标资格被取消，自</w:t>
      </w:r>
      <w:r>
        <w:rPr>
          <w:rFonts w:hint="eastAsia" w:ascii="新宋体" w:hAnsi="新宋体" w:eastAsia="新宋体"/>
          <w:szCs w:val="21"/>
          <w:u w:val="single"/>
          <w:lang w:val="en-US" w:eastAsia="zh-CN"/>
        </w:rPr>
        <w:t xml:space="preserve">    </w:t>
      </w:r>
      <w:r>
        <w:rPr>
          <w:rFonts w:hint="eastAsia" w:ascii="新宋体" w:hAnsi="新宋体" w:eastAsia="新宋体"/>
          <w:szCs w:val="21"/>
        </w:rPr>
        <w:t>年1月1日以来没有骗取中标或者严重违约或者重大工程质量安全生产事故等问题</w:t>
      </w:r>
      <w:r>
        <w:rPr>
          <w:rFonts w:hint="eastAsia"/>
        </w:rPr>
        <w:t>；</w:t>
      </w:r>
      <w:r>
        <w:rPr>
          <w:rFonts w:hint="eastAsia" w:ascii="新宋体" w:hAnsi="新宋体" w:eastAsia="新宋体"/>
          <w:szCs w:val="21"/>
        </w:rPr>
        <w:t>我方承诺上述信息的真实和准确，一经发现我方愿意无条件自动放弃中标资格。</w:t>
      </w:r>
    </w:p>
    <w:p>
      <w:pPr>
        <w:spacing w:line="360" w:lineRule="auto"/>
        <w:rPr>
          <w:rFonts w:ascii="新宋体" w:hAnsi="新宋体" w:eastAsia="新宋体"/>
          <w:szCs w:val="21"/>
        </w:rPr>
      </w:pPr>
    </w:p>
    <w:p>
      <w:pPr>
        <w:spacing w:line="360" w:lineRule="auto"/>
        <w:ind w:firstLine="420" w:firstLineChars="200"/>
        <w:rPr>
          <w:rFonts w:ascii="新宋体" w:hAnsi="新宋体" w:eastAsia="新宋体"/>
          <w:szCs w:val="21"/>
        </w:rPr>
      </w:pPr>
      <w:r>
        <w:rPr>
          <w:rFonts w:hint="eastAsia" w:ascii="新宋体" w:hAnsi="新宋体" w:eastAsia="新宋体"/>
          <w:szCs w:val="21"/>
        </w:rPr>
        <w:t>特此承诺</w:t>
      </w: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jc w:val="right"/>
        <w:rPr>
          <w:rFonts w:ascii="宋体" w:hAnsi="宋体"/>
          <w:szCs w:val="21"/>
        </w:rPr>
      </w:pPr>
      <w:r>
        <w:rPr>
          <w:rFonts w:hint="eastAsia" w:ascii="宋体" w:hAnsi="宋体"/>
          <w:szCs w:val="21"/>
        </w:rPr>
        <w:t>投标人：（单位电子签章）</w:t>
      </w:r>
    </w:p>
    <w:p>
      <w:pPr>
        <w:wordWrap w:val="0"/>
        <w:spacing w:line="440" w:lineRule="exact"/>
        <w:jc w:val="right"/>
        <w:rPr>
          <w:rFonts w:ascii="宋体" w:hAnsi="宋体"/>
          <w:szCs w:val="21"/>
        </w:rPr>
      </w:pPr>
      <w:r>
        <w:rPr>
          <w:rFonts w:hint="eastAsia" w:ascii="宋体" w:hAnsi="宋体"/>
          <w:szCs w:val="21"/>
        </w:rPr>
        <w:t>法定代表人：（法定代表人电子签名）</w:t>
      </w:r>
    </w:p>
    <w:p>
      <w:pPr>
        <w:spacing w:line="440" w:lineRule="exact"/>
        <w:jc w:val="right"/>
        <w:rPr>
          <w:rFonts w:ascii="宋体" w:hAnsi="宋体"/>
          <w:szCs w:val="21"/>
        </w:rPr>
      </w:pPr>
    </w:p>
    <w:p>
      <w:pPr>
        <w:spacing w:line="440" w:lineRule="exact"/>
        <w:jc w:val="right"/>
      </w:pPr>
      <w:r>
        <w:rPr>
          <w:rFonts w:hint="eastAsia" w:ascii="宋体" w:hAnsi="宋体"/>
          <w:szCs w:val="21"/>
        </w:rPr>
        <w:t>年月日</w:t>
      </w:r>
    </w:p>
    <w:p>
      <w:r>
        <w:br w:type="page"/>
      </w:r>
    </w:p>
    <w:p>
      <w:pPr>
        <w:pStyle w:val="5"/>
        <w:jc w:val="center"/>
      </w:pPr>
      <w:bookmarkStart w:id="1122" w:name="_Toc9962"/>
      <w:r>
        <w:rPr>
          <w:rFonts w:hint="eastAsia"/>
        </w:rPr>
        <w:t>（</w:t>
      </w:r>
      <w:r>
        <w:rPr>
          <w:rFonts w:hint="eastAsia"/>
          <w:lang w:val="en-US" w:eastAsia="zh-CN"/>
        </w:rPr>
        <w:t>四</w:t>
      </w:r>
      <w:r>
        <w:t>）</w:t>
      </w:r>
      <w:r>
        <w:rPr>
          <w:rFonts w:hint="eastAsia"/>
        </w:rPr>
        <w:t>其他材料</w:t>
      </w:r>
      <w:bookmarkEnd w:id="1118"/>
      <w:bookmarkEnd w:id="1122"/>
    </w:p>
    <w:p>
      <w:pPr>
        <w:spacing w:line="360" w:lineRule="auto"/>
        <w:ind w:firstLine="315" w:firstLineChars="150"/>
        <w:rPr>
          <w:rFonts w:ascii="新宋体" w:hAnsi="新宋体" w:eastAsia="新宋体"/>
          <w:szCs w:val="21"/>
        </w:rPr>
      </w:pPr>
      <w:r>
        <w:rPr>
          <w:rFonts w:hint="eastAsia" w:ascii="新宋体" w:hAnsi="新宋体" w:eastAsia="新宋体"/>
          <w:szCs w:val="21"/>
        </w:rPr>
        <w:t>投标人认为与本次投标有关的其他材料，如法定代表人身份证扫描件。</w:t>
      </w:r>
    </w:p>
    <w:p>
      <w:pPr>
        <w:jc w:val="center"/>
        <w:rPr>
          <w:rFonts w:ascii="黑体" w:hAnsi="宋体" w:eastAsia="黑体"/>
          <w:b/>
          <w:sz w:val="28"/>
          <w:szCs w:val="28"/>
        </w:rPr>
      </w:pPr>
      <w:bookmarkStart w:id="1123" w:name="_Toc276021118"/>
      <w:r>
        <w:rPr>
          <w:rFonts w:ascii="黑体" w:hAnsi="宋体" w:eastAsia="黑体"/>
          <w:b/>
          <w:sz w:val="28"/>
          <w:szCs w:val="28"/>
        </w:rPr>
        <w:br w:type="page"/>
      </w:r>
    </w:p>
    <w:p>
      <w:pPr>
        <w:pStyle w:val="4"/>
      </w:pPr>
      <w:bookmarkStart w:id="1124" w:name="_Toc26432"/>
      <w:r>
        <w:rPr>
          <w:rFonts w:hint="eastAsia"/>
        </w:rPr>
        <w:t>四、技术标</w:t>
      </w:r>
      <w:bookmarkEnd w:id="1123"/>
      <w:bookmarkEnd w:id="1124"/>
    </w:p>
    <w:p>
      <w:pPr>
        <w:spacing w:before="312" w:beforeLines="100" w:after="156" w:afterLines="50" w:line="360" w:lineRule="auto"/>
        <w:jc w:val="center"/>
        <w:rPr>
          <w:rFonts w:ascii="黑体" w:hAnsi="宋体" w:eastAsia="黑体"/>
          <w:sz w:val="28"/>
          <w:szCs w:val="28"/>
        </w:rPr>
      </w:pPr>
      <w:r>
        <w:rPr>
          <w:rFonts w:hint="eastAsia" w:ascii="黑体" w:hAnsi="宋体" w:eastAsia="黑体"/>
          <w:sz w:val="28"/>
          <w:szCs w:val="28"/>
        </w:rPr>
        <w:t>施工组织设计</w:t>
      </w:r>
    </w:p>
    <w:p>
      <w:pPr>
        <w:spacing w:line="360" w:lineRule="auto"/>
        <w:ind w:firstLine="420" w:firstLineChars="200"/>
        <w:rPr>
          <w:rFonts w:ascii="宋体" w:hAnsi="宋体"/>
          <w:szCs w:val="21"/>
        </w:rPr>
      </w:pPr>
      <w:r>
        <w:rPr>
          <w:rFonts w:hint="eastAsia" w:ascii="宋体" w:hAnsi="宋体"/>
          <w:szCs w:val="21"/>
        </w:rPr>
        <w:t>1．投标人应根据招标文件和对现场的勘察情况，采用文字并结合图表形式，参考以下要点编制本工程的施工组织设计：</w:t>
      </w:r>
    </w:p>
    <w:p>
      <w:pPr>
        <w:numPr>
          <w:ilvl w:val="0"/>
          <w:numId w:val="7"/>
        </w:numPr>
        <w:tabs>
          <w:tab w:val="clear" w:pos="840"/>
        </w:tabs>
        <w:spacing w:line="360" w:lineRule="auto"/>
        <w:rPr>
          <w:rFonts w:ascii="宋体" w:hAnsi="宋体"/>
          <w:szCs w:val="21"/>
        </w:rPr>
      </w:pPr>
      <w:r>
        <w:rPr>
          <w:rFonts w:hint="eastAsia" w:ascii="宋体" w:hAnsi="宋体"/>
          <w:szCs w:val="21"/>
        </w:rPr>
        <w:t>内容完整性；</w:t>
      </w:r>
    </w:p>
    <w:p>
      <w:pPr>
        <w:numPr>
          <w:ilvl w:val="0"/>
          <w:numId w:val="7"/>
        </w:numPr>
        <w:tabs>
          <w:tab w:val="clear" w:pos="840"/>
        </w:tabs>
        <w:spacing w:line="360" w:lineRule="auto"/>
        <w:rPr>
          <w:rFonts w:ascii="宋体" w:hAnsi="宋体"/>
          <w:szCs w:val="21"/>
        </w:rPr>
      </w:pPr>
      <w:r>
        <w:rPr>
          <w:rFonts w:hint="eastAsia" w:ascii="宋体" w:hAnsi="宋体"/>
          <w:szCs w:val="21"/>
        </w:rPr>
        <w:t>主要施工方案与技术措施；</w:t>
      </w:r>
    </w:p>
    <w:p>
      <w:pPr>
        <w:numPr>
          <w:ilvl w:val="0"/>
          <w:numId w:val="7"/>
        </w:numPr>
        <w:tabs>
          <w:tab w:val="clear" w:pos="840"/>
        </w:tabs>
        <w:spacing w:line="360" w:lineRule="auto"/>
        <w:rPr>
          <w:rFonts w:ascii="宋体" w:hAnsi="宋体"/>
          <w:szCs w:val="21"/>
        </w:rPr>
      </w:pPr>
      <w:r>
        <w:rPr>
          <w:rFonts w:hint="eastAsia" w:ascii="宋体" w:hAnsi="宋体"/>
          <w:szCs w:val="21"/>
        </w:rPr>
        <w:t>质量管理体系与措施；</w:t>
      </w:r>
    </w:p>
    <w:p>
      <w:pPr>
        <w:numPr>
          <w:ilvl w:val="0"/>
          <w:numId w:val="7"/>
        </w:numPr>
        <w:tabs>
          <w:tab w:val="clear" w:pos="840"/>
        </w:tabs>
        <w:spacing w:line="360" w:lineRule="auto"/>
        <w:rPr>
          <w:rFonts w:ascii="宋体" w:hAnsi="宋体"/>
          <w:szCs w:val="21"/>
        </w:rPr>
      </w:pPr>
      <w:r>
        <w:rPr>
          <w:rFonts w:hint="eastAsia" w:ascii="宋体" w:hAnsi="宋体"/>
          <w:szCs w:val="21"/>
        </w:rPr>
        <w:t>安全管理体系与措施；</w:t>
      </w:r>
    </w:p>
    <w:p>
      <w:pPr>
        <w:numPr>
          <w:ilvl w:val="0"/>
          <w:numId w:val="7"/>
        </w:numPr>
        <w:tabs>
          <w:tab w:val="clear" w:pos="840"/>
        </w:tabs>
        <w:spacing w:line="360" w:lineRule="auto"/>
        <w:rPr>
          <w:rFonts w:ascii="宋体" w:hAnsi="宋体"/>
          <w:szCs w:val="21"/>
        </w:rPr>
      </w:pPr>
      <w:r>
        <w:rPr>
          <w:rFonts w:hint="eastAsia" w:ascii="宋体" w:hAnsi="宋体"/>
          <w:szCs w:val="21"/>
        </w:rPr>
        <w:t>文明施工、环境保护管理体系及施工现场扬尘治理措施；</w:t>
      </w:r>
    </w:p>
    <w:p>
      <w:pPr>
        <w:numPr>
          <w:ilvl w:val="0"/>
          <w:numId w:val="7"/>
        </w:numPr>
        <w:tabs>
          <w:tab w:val="clear" w:pos="840"/>
        </w:tabs>
        <w:spacing w:line="360" w:lineRule="auto"/>
        <w:rPr>
          <w:rFonts w:ascii="宋体" w:hAnsi="宋体"/>
          <w:szCs w:val="21"/>
        </w:rPr>
      </w:pPr>
      <w:r>
        <w:rPr>
          <w:rFonts w:hint="eastAsia" w:ascii="宋体" w:hAnsi="宋体"/>
          <w:szCs w:val="21"/>
        </w:rPr>
        <w:t>工期保证措施；</w:t>
      </w:r>
    </w:p>
    <w:p>
      <w:pPr>
        <w:numPr>
          <w:ilvl w:val="0"/>
          <w:numId w:val="7"/>
        </w:numPr>
        <w:tabs>
          <w:tab w:val="clear" w:pos="840"/>
        </w:tabs>
        <w:spacing w:line="360" w:lineRule="auto"/>
        <w:rPr>
          <w:rFonts w:ascii="宋体" w:hAnsi="宋体"/>
          <w:szCs w:val="21"/>
        </w:rPr>
      </w:pPr>
      <w:r>
        <w:rPr>
          <w:rFonts w:hint="eastAsia" w:ascii="宋体" w:hAnsi="宋体"/>
          <w:szCs w:val="21"/>
        </w:rPr>
        <w:t>拟投入资源配备计划；</w:t>
      </w:r>
    </w:p>
    <w:p>
      <w:pPr>
        <w:numPr>
          <w:ilvl w:val="0"/>
          <w:numId w:val="7"/>
        </w:numPr>
        <w:tabs>
          <w:tab w:val="clear" w:pos="840"/>
        </w:tabs>
        <w:spacing w:line="360" w:lineRule="auto"/>
        <w:rPr>
          <w:rFonts w:ascii="宋体" w:hAnsi="宋体"/>
          <w:szCs w:val="21"/>
        </w:rPr>
      </w:pPr>
      <w:r>
        <w:rPr>
          <w:rFonts w:hint="eastAsia" w:ascii="宋体" w:hAnsi="宋体"/>
          <w:szCs w:val="21"/>
        </w:rPr>
        <w:t>施工进度表与网络计划图；</w:t>
      </w:r>
    </w:p>
    <w:p>
      <w:pPr>
        <w:numPr>
          <w:ilvl w:val="0"/>
          <w:numId w:val="7"/>
        </w:numPr>
        <w:tabs>
          <w:tab w:val="clear" w:pos="840"/>
        </w:tabs>
        <w:spacing w:line="360" w:lineRule="auto"/>
        <w:rPr>
          <w:rFonts w:ascii="宋体" w:hAnsi="宋体"/>
          <w:szCs w:val="21"/>
        </w:rPr>
      </w:pPr>
      <w:r>
        <w:rPr>
          <w:rFonts w:hint="eastAsia" w:ascii="宋体" w:hAnsi="宋体"/>
          <w:szCs w:val="21"/>
        </w:rPr>
        <w:t>施工总平面图布置；</w:t>
      </w:r>
    </w:p>
    <w:p>
      <w:pPr>
        <w:numPr>
          <w:ilvl w:val="0"/>
          <w:numId w:val="7"/>
        </w:numPr>
        <w:tabs>
          <w:tab w:val="clear" w:pos="840"/>
        </w:tabs>
        <w:spacing w:line="360" w:lineRule="auto"/>
        <w:rPr>
          <w:rFonts w:ascii="宋体" w:hAnsi="宋体"/>
          <w:szCs w:val="21"/>
        </w:rPr>
      </w:pPr>
      <w:r>
        <w:rPr>
          <w:rFonts w:hint="eastAsia" w:ascii="宋体" w:hAnsi="宋体"/>
          <w:szCs w:val="21"/>
        </w:rPr>
        <w:t>技术创新的应用实施措施；</w:t>
      </w:r>
    </w:p>
    <w:p>
      <w:pPr>
        <w:numPr>
          <w:ilvl w:val="0"/>
          <w:numId w:val="7"/>
        </w:numPr>
        <w:tabs>
          <w:tab w:val="clear" w:pos="840"/>
        </w:tabs>
        <w:spacing w:line="360" w:lineRule="auto"/>
        <w:rPr>
          <w:rFonts w:ascii="宋体" w:hAnsi="宋体"/>
          <w:szCs w:val="21"/>
        </w:rPr>
      </w:pPr>
      <w:r>
        <w:rPr>
          <w:rFonts w:hint="eastAsia"/>
          <w:szCs w:val="21"/>
        </w:rPr>
        <w:t>采用新工艺、新技术、新设备、新材料、</w:t>
      </w:r>
      <w:r>
        <w:rPr>
          <w:szCs w:val="21"/>
        </w:rPr>
        <w:t>BIM</w:t>
      </w:r>
      <w:r>
        <w:rPr>
          <w:rFonts w:hint="eastAsia"/>
          <w:szCs w:val="21"/>
        </w:rPr>
        <w:t>等的程度</w:t>
      </w:r>
      <w:r>
        <w:rPr>
          <w:rFonts w:hint="eastAsia" w:ascii="宋体" w:hAnsi="宋体"/>
          <w:szCs w:val="21"/>
        </w:rPr>
        <w:t>；</w:t>
      </w:r>
    </w:p>
    <w:p>
      <w:pPr>
        <w:numPr>
          <w:ilvl w:val="0"/>
          <w:numId w:val="7"/>
        </w:numPr>
        <w:tabs>
          <w:tab w:val="clear" w:pos="840"/>
        </w:tabs>
        <w:spacing w:line="360" w:lineRule="auto"/>
        <w:rPr>
          <w:rFonts w:ascii="宋体" w:hAnsi="宋体"/>
          <w:szCs w:val="21"/>
        </w:rPr>
      </w:pPr>
      <w:r>
        <w:rPr>
          <w:rFonts w:hint="eastAsia"/>
          <w:szCs w:val="21"/>
        </w:rPr>
        <w:t>施工现场实施信息化监控和数据处理</w:t>
      </w:r>
      <w:r>
        <w:rPr>
          <w:rFonts w:hint="eastAsia" w:ascii="宋体" w:hAnsi="宋体"/>
          <w:b/>
          <w:bCs/>
          <w:szCs w:val="21"/>
        </w:rPr>
        <w:t>；</w:t>
      </w:r>
    </w:p>
    <w:p>
      <w:pPr>
        <w:numPr>
          <w:ilvl w:val="0"/>
          <w:numId w:val="7"/>
        </w:numPr>
        <w:tabs>
          <w:tab w:val="clear" w:pos="840"/>
        </w:tabs>
        <w:spacing w:line="360" w:lineRule="auto"/>
        <w:rPr>
          <w:rFonts w:ascii="宋体" w:hAnsi="宋体"/>
          <w:szCs w:val="21"/>
        </w:rPr>
      </w:pPr>
      <w:r>
        <w:rPr>
          <w:rFonts w:hint="eastAsia"/>
          <w:szCs w:val="21"/>
        </w:rPr>
        <w:t>风险管理措施；</w:t>
      </w:r>
    </w:p>
    <w:p>
      <w:pPr>
        <w:spacing w:line="420" w:lineRule="exact"/>
        <w:ind w:left="420"/>
        <w:rPr>
          <w:rFonts w:ascii="宋体" w:hAnsi="宋体"/>
          <w:szCs w:val="21"/>
        </w:rPr>
      </w:pPr>
      <w:r>
        <w:rPr>
          <w:rFonts w:ascii="宋体" w:hAnsi="宋体"/>
          <w:szCs w:val="21"/>
        </w:rPr>
        <w:t>2</w:t>
      </w:r>
      <w:r>
        <w:rPr>
          <w:rFonts w:hint="eastAsia" w:ascii="宋体" w:hAnsi="宋体"/>
          <w:szCs w:val="21"/>
        </w:rPr>
        <w:t>．施工组织设计除采用文字表述外可附下列图表，图表及格式要求附后。若采用技术暗标评审，则下述表格应按照章节内容，严格按给定的格式附在相应的章节中。</w:t>
      </w:r>
      <w:bookmarkStart w:id="1125" w:name="_Toc276021120"/>
    </w:p>
    <w:p>
      <w:pPr>
        <w:spacing w:line="420" w:lineRule="exact"/>
        <w:rPr>
          <w:rFonts w:ascii="宋体" w:hAnsi="宋体"/>
          <w:szCs w:val="21"/>
        </w:rPr>
      </w:pPr>
      <w:r>
        <w:rPr>
          <w:rFonts w:ascii="宋体" w:hAnsi="宋体"/>
          <w:szCs w:val="21"/>
        </w:rPr>
        <w:br w:type="page"/>
      </w:r>
    </w:p>
    <w:p>
      <w:pPr>
        <w:spacing w:line="420" w:lineRule="exact"/>
        <w:jc w:val="left"/>
        <w:rPr>
          <w:rFonts w:ascii="宋体" w:hAnsi="宋体"/>
          <w:b/>
          <w:szCs w:val="21"/>
        </w:rPr>
      </w:pPr>
      <w:r>
        <w:rPr>
          <w:rFonts w:hint="eastAsia" w:ascii="宋体" w:hAnsi="宋体"/>
          <w:b/>
          <w:szCs w:val="21"/>
        </w:rPr>
        <w:t xml:space="preserve">   附表格式</w:t>
      </w:r>
      <w:bookmarkEnd w:id="1125"/>
      <w:r>
        <w:rPr>
          <w:rFonts w:hint="eastAsia" w:ascii="宋体" w:hAnsi="宋体"/>
          <w:b/>
          <w:szCs w:val="21"/>
        </w:rPr>
        <w:t>：</w:t>
      </w:r>
    </w:p>
    <w:p>
      <w:pPr>
        <w:spacing w:line="420" w:lineRule="exact"/>
        <w:ind w:left="420"/>
        <w:rPr>
          <w:rFonts w:ascii="宋体" w:hAnsi="宋体"/>
          <w:szCs w:val="21"/>
        </w:rPr>
      </w:pPr>
    </w:p>
    <w:p>
      <w:pPr>
        <w:spacing w:line="420" w:lineRule="exact"/>
        <w:ind w:left="420"/>
        <w:rPr>
          <w:rFonts w:ascii="宋体" w:hAnsi="宋体"/>
          <w:szCs w:val="21"/>
        </w:rPr>
      </w:pPr>
      <w:r>
        <w:rPr>
          <w:rFonts w:hint="eastAsia" w:ascii="宋体" w:hAnsi="宋体"/>
          <w:szCs w:val="21"/>
        </w:rPr>
        <w:t>附表一  拟投入本工程的主要施工设备表</w:t>
      </w:r>
    </w:p>
    <w:p>
      <w:pPr>
        <w:spacing w:line="420" w:lineRule="exact"/>
        <w:ind w:left="420"/>
        <w:rPr>
          <w:rFonts w:ascii="宋体" w:hAnsi="宋体"/>
          <w:szCs w:val="21"/>
        </w:rPr>
      </w:pPr>
      <w:r>
        <w:rPr>
          <w:rFonts w:hint="eastAsia" w:ascii="宋体" w:hAnsi="宋体"/>
          <w:szCs w:val="21"/>
        </w:rPr>
        <w:t>附表二  拟配备本工程的试验和检测仪器设备表</w:t>
      </w:r>
    </w:p>
    <w:p>
      <w:pPr>
        <w:spacing w:line="420" w:lineRule="exact"/>
        <w:ind w:left="420"/>
        <w:rPr>
          <w:rFonts w:ascii="宋体" w:hAnsi="宋体"/>
          <w:szCs w:val="21"/>
        </w:rPr>
      </w:pPr>
      <w:r>
        <w:rPr>
          <w:rFonts w:hint="eastAsia" w:ascii="宋体" w:hAnsi="宋体"/>
          <w:szCs w:val="21"/>
        </w:rPr>
        <w:t>附表三  劳动力计划表</w:t>
      </w:r>
    </w:p>
    <w:p>
      <w:pPr>
        <w:spacing w:line="420" w:lineRule="exact"/>
        <w:ind w:left="420"/>
        <w:rPr>
          <w:rFonts w:ascii="宋体" w:hAnsi="宋体"/>
          <w:szCs w:val="21"/>
        </w:rPr>
      </w:pPr>
      <w:r>
        <w:rPr>
          <w:rFonts w:hint="eastAsia" w:ascii="宋体" w:hAnsi="宋体"/>
          <w:szCs w:val="21"/>
        </w:rPr>
        <w:t>附表四  计划开、竣工日期和施工进度网络图</w:t>
      </w:r>
    </w:p>
    <w:p>
      <w:pPr>
        <w:spacing w:line="420" w:lineRule="exact"/>
        <w:ind w:left="420"/>
        <w:rPr>
          <w:rFonts w:ascii="宋体" w:hAnsi="宋体"/>
          <w:szCs w:val="21"/>
        </w:rPr>
      </w:pPr>
      <w:r>
        <w:rPr>
          <w:rFonts w:hint="eastAsia" w:ascii="宋体" w:hAnsi="宋体"/>
          <w:szCs w:val="21"/>
        </w:rPr>
        <w:t>附表五  施工总平面图</w:t>
      </w:r>
    </w:p>
    <w:p>
      <w:pPr>
        <w:spacing w:line="420" w:lineRule="exact"/>
        <w:ind w:left="420"/>
        <w:rPr>
          <w:rFonts w:ascii="宋体" w:hAnsi="宋体"/>
          <w:szCs w:val="21"/>
        </w:rPr>
      </w:pPr>
      <w:r>
        <w:rPr>
          <w:rFonts w:hint="eastAsia" w:ascii="宋体" w:hAnsi="宋体"/>
          <w:szCs w:val="21"/>
        </w:rPr>
        <w:t>附表六  临时用地表</w:t>
      </w:r>
    </w:p>
    <w:p>
      <w:pPr>
        <w:spacing w:line="420" w:lineRule="exact"/>
        <w:ind w:left="420"/>
        <w:rPr>
          <w:rFonts w:ascii="宋体" w:hAnsi="宋体"/>
          <w:szCs w:val="21"/>
        </w:rPr>
      </w:pPr>
      <w:r>
        <w:rPr>
          <w:rFonts w:hint="eastAsia" w:ascii="宋体" w:hAnsi="宋体"/>
          <w:szCs w:val="21"/>
        </w:rPr>
        <w:t>附表七  施工组织设计(技术暗标部分)编制及装订要求</w:t>
      </w:r>
    </w:p>
    <w:p>
      <w:pPr>
        <w:spacing w:line="420" w:lineRule="exact"/>
        <w:ind w:left="420"/>
        <w:rPr>
          <w:rFonts w:ascii="宋体" w:hAnsi="宋体"/>
          <w:szCs w:val="21"/>
        </w:rPr>
      </w:pPr>
      <w:r>
        <w:rPr>
          <w:rFonts w:hint="eastAsia" w:ascii="宋体" w:hAnsi="宋体"/>
          <w:szCs w:val="21"/>
        </w:rPr>
        <w:t>附表八  施工组织设计(技术暗标部分)封面</w:t>
      </w:r>
    </w:p>
    <w:p>
      <w:pPr>
        <w:spacing w:line="420" w:lineRule="exact"/>
        <w:rPr>
          <w:rFonts w:ascii="宋体" w:hAnsi="宋体"/>
          <w:szCs w:val="21"/>
        </w:rPr>
        <w:sectPr>
          <w:pgSz w:w="11906" w:h="16838"/>
          <w:pgMar w:top="1440" w:right="1800" w:bottom="1440" w:left="1800" w:header="851" w:footer="992" w:gutter="0"/>
          <w:cols w:space="720" w:num="1"/>
          <w:docGrid w:type="lines" w:linePitch="312" w:charSpace="0"/>
        </w:sectPr>
      </w:pPr>
    </w:p>
    <w:p>
      <w:pPr>
        <w:spacing w:before="156" w:beforeLines="50" w:after="312" w:afterLines="100" w:line="360" w:lineRule="auto"/>
        <w:jc w:val="center"/>
        <w:rPr>
          <w:rFonts w:ascii="黑体" w:hAnsi="宋体" w:eastAsia="黑体"/>
        </w:rPr>
      </w:pPr>
      <w:r>
        <w:rPr>
          <w:rFonts w:hint="eastAsia" w:ascii="黑体" w:hAnsi="宋体" w:eastAsia="黑体"/>
          <w:sz w:val="32"/>
          <w:szCs w:val="32"/>
        </w:rPr>
        <w:t>附表一  拟投入本工程的主要施工设备表</w:t>
      </w:r>
    </w:p>
    <w:tbl>
      <w:tblPr>
        <w:tblStyle w:val="44"/>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050"/>
        <w:gridCol w:w="666"/>
        <w:gridCol w:w="1009"/>
        <w:gridCol w:w="703"/>
        <w:gridCol w:w="703"/>
        <w:gridCol w:w="1164"/>
        <w:gridCol w:w="862"/>
        <w:gridCol w:w="862"/>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38" w:type="dxa"/>
            <w:vAlign w:val="center"/>
          </w:tcPr>
          <w:p>
            <w:pPr>
              <w:spacing w:line="360" w:lineRule="auto"/>
              <w:jc w:val="center"/>
              <w:rPr>
                <w:rFonts w:ascii="宋体" w:hAnsi="宋体"/>
                <w:szCs w:val="21"/>
              </w:rPr>
            </w:pPr>
            <w:r>
              <w:rPr>
                <w:rFonts w:hint="eastAsia" w:ascii="宋体" w:hAnsi="宋体"/>
                <w:szCs w:val="21"/>
              </w:rPr>
              <w:t>序号</w:t>
            </w:r>
          </w:p>
        </w:tc>
        <w:tc>
          <w:tcPr>
            <w:tcW w:w="1050" w:type="dxa"/>
            <w:vAlign w:val="center"/>
          </w:tcPr>
          <w:p>
            <w:pPr>
              <w:spacing w:line="360" w:lineRule="auto"/>
              <w:jc w:val="center"/>
              <w:rPr>
                <w:rFonts w:ascii="宋体" w:hAnsi="宋体"/>
                <w:szCs w:val="21"/>
              </w:rPr>
            </w:pPr>
            <w:r>
              <w:rPr>
                <w:rFonts w:hint="eastAsia" w:ascii="宋体" w:hAnsi="宋体"/>
                <w:szCs w:val="21"/>
              </w:rPr>
              <w:t>设备名称</w:t>
            </w:r>
          </w:p>
        </w:tc>
        <w:tc>
          <w:tcPr>
            <w:tcW w:w="666" w:type="dxa"/>
            <w:vAlign w:val="center"/>
          </w:tcPr>
          <w:p>
            <w:pPr>
              <w:spacing w:line="360" w:lineRule="auto"/>
              <w:jc w:val="center"/>
              <w:rPr>
                <w:rFonts w:ascii="宋体" w:hAnsi="宋体"/>
                <w:szCs w:val="21"/>
              </w:rPr>
            </w:pPr>
            <w:r>
              <w:rPr>
                <w:rFonts w:hint="eastAsia" w:ascii="宋体" w:hAnsi="宋体"/>
                <w:szCs w:val="21"/>
              </w:rPr>
              <w:t>型号</w:t>
            </w:r>
          </w:p>
          <w:p>
            <w:pPr>
              <w:spacing w:line="360" w:lineRule="auto"/>
              <w:jc w:val="center"/>
              <w:rPr>
                <w:rFonts w:ascii="宋体" w:hAnsi="宋体"/>
                <w:szCs w:val="21"/>
              </w:rPr>
            </w:pPr>
            <w:r>
              <w:rPr>
                <w:rFonts w:hint="eastAsia" w:ascii="宋体" w:hAnsi="宋体"/>
                <w:szCs w:val="21"/>
              </w:rPr>
              <w:t>规格</w:t>
            </w:r>
          </w:p>
        </w:tc>
        <w:tc>
          <w:tcPr>
            <w:tcW w:w="1009" w:type="dxa"/>
            <w:vAlign w:val="center"/>
          </w:tcPr>
          <w:p>
            <w:pPr>
              <w:spacing w:line="360" w:lineRule="auto"/>
              <w:jc w:val="center"/>
              <w:rPr>
                <w:rFonts w:ascii="宋体" w:hAnsi="宋体"/>
                <w:szCs w:val="21"/>
              </w:rPr>
            </w:pPr>
            <w:r>
              <w:rPr>
                <w:rFonts w:hint="eastAsia" w:ascii="宋体" w:hAnsi="宋体"/>
                <w:szCs w:val="21"/>
              </w:rPr>
              <w:t>数  量</w:t>
            </w:r>
          </w:p>
        </w:tc>
        <w:tc>
          <w:tcPr>
            <w:tcW w:w="703" w:type="dxa"/>
            <w:vAlign w:val="center"/>
          </w:tcPr>
          <w:p>
            <w:pPr>
              <w:spacing w:line="360" w:lineRule="auto"/>
              <w:jc w:val="center"/>
              <w:rPr>
                <w:rFonts w:ascii="宋体" w:hAnsi="宋体"/>
                <w:szCs w:val="21"/>
              </w:rPr>
            </w:pPr>
            <w:r>
              <w:rPr>
                <w:rFonts w:hint="eastAsia" w:ascii="宋体" w:hAnsi="宋体"/>
                <w:szCs w:val="21"/>
              </w:rPr>
              <w:t>国别</w:t>
            </w:r>
          </w:p>
          <w:p>
            <w:pPr>
              <w:spacing w:line="360" w:lineRule="auto"/>
              <w:jc w:val="center"/>
              <w:rPr>
                <w:rFonts w:ascii="宋体" w:hAnsi="宋体"/>
                <w:szCs w:val="21"/>
              </w:rPr>
            </w:pPr>
            <w:r>
              <w:rPr>
                <w:rFonts w:hint="eastAsia" w:ascii="宋体" w:hAnsi="宋体"/>
                <w:szCs w:val="21"/>
              </w:rPr>
              <w:t>产地</w:t>
            </w:r>
          </w:p>
        </w:tc>
        <w:tc>
          <w:tcPr>
            <w:tcW w:w="703" w:type="dxa"/>
            <w:vAlign w:val="center"/>
          </w:tcPr>
          <w:p>
            <w:pPr>
              <w:spacing w:line="360" w:lineRule="auto"/>
              <w:jc w:val="center"/>
              <w:rPr>
                <w:rFonts w:ascii="宋体" w:hAnsi="宋体"/>
                <w:szCs w:val="21"/>
              </w:rPr>
            </w:pPr>
            <w:r>
              <w:rPr>
                <w:rFonts w:hint="eastAsia" w:ascii="宋体" w:hAnsi="宋体"/>
                <w:szCs w:val="21"/>
              </w:rPr>
              <w:t>制造</w:t>
            </w:r>
          </w:p>
          <w:p>
            <w:pPr>
              <w:spacing w:line="360" w:lineRule="auto"/>
              <w:jc w:val="center"/>
              <w:rPr>
                <w:rFonts w:ascii="宋体" w:hAnsi="宋体"/>
                <w:szCs w:val="21"/>
              </w:rPr>
            </w:pPr>
            <w:r>
              <w:rPr>
                <w:rFonts w:hint="eastAsia" w:ascii="宋体" w:hAnsi="宋体"/>
                <w:szCs w:val="21"/>
              </w:rPr>
              <w:t>年份</w:t>
            </w:r>
          </w:p>
        </w:tc>
        <w:tc>
          <w:tcPr>
            <w:tcW w:w="1164" w:type="dxa"/>
            <w:vAlign w:val="center"/>
          </w:tcPr>
          <w:p>
            <w:pPr>
              <w:spacing w:line="360" w:lineRule="auto"/>
              <w:jc w:val="center"/>
              <w:rPr>
                <w:rFonts w:ascii="宋体" w:hAnsi="宋体"/>
                <w:szCs w:val="21"/>
              </w:rPr>
            </w:pPr>
            <w:r>
              <w:rPr>
                <w:rFonts w:hint="eastAsia" w:ascii="宋体" w:hAnsi="宋体"/>
                <w:szCs w:val="21"/>
              </w:rPr>
              <w:t>额定功率</w:t>
            </w:r>
          </w:p>
          <w:p>
            <w:pPr>
              <w:spacing w:line="360" w:lineRule="auto"/>
              <w:jc w:val="center"/>
              <w:rPr>
                <w:rFonts w:ascii="宋体" w:hAnsi="宋体"/>
                <w:szCs w:val="21"/>
              </w:rPr>
            </w:pPr>
            <w:r>
              <w:rPr>
                <w:rFonts w:hint="eastAsia" w:ascii="宋体" w:hAnsi="宋体"/>
                <w:szCs w:val="21"/>
              </w:rPr>
              <w:t>(KW)</w:t>
            </w:r>
          </w:p>
        </w:tc>
        <w:tc>
          <w:tcPr>
            <w:tcW w:w="862" w:type="dxa"/>
            <w:vAlign w:val="center"/>
          </w:tcPr>
          <w:p>
            <w:pPr>
              <w:spacing w:line="360" w:lineRule="auto"/>
              <w:jc w:val="center"/>
              <w:rPr>
                <w:rFonts w:ascii="宋体" w:hAnsi="宋体"/>
                <w:szCs w:val="21"/>
              </w:rPr>
            </w:pPr>
            <w:r>
              <w:rPr>
                <w:rFonts w:hint="eastAsia" w:ascii="宋体" w:hAnsi="宋体"/>
                <w:szCs w:val="21"/>
              </w:rPr>
              <w:t>生产</w:t>
            </w:r>
          </w:p>
          <w:p>
            <w:pPr>
              <w:spacing w:line="360" w:lineRule="auto"/>
              <w:jc w:val="center"/>
              <w:rPr>
                <w:rFonts w:ascii="宋体" w:hAnsi="宋体"/>
                <w:szCs w:val="21"/>
              </w:rPr>
            </w:pPr>
            <w:r>
              <w:rPr>
                <w:rFonts w:hint="eastAsia" w:ascii="宋体" w:hAnsi="宋体"/>
                <w:szCs w:val="21"/>
              </w:rPr>
              <w:t>能力</w:t>
            </w:r>
          </w:p>
        </w:tc>
        <w:tc>
          <w:tcPr>
            <w:tcW w:w="862" w:type="dxa"/>
            <w:vAlign w:val="center"/>
          </w:tcPr>
          <w:p>
            <w:pPr>
              <w:spacing w:line="360" w:lineRule="auto"/>
              <w:jc w:val="center"/>
              <w:rPr>
                <w:rFonts w:ascii="宋体" w:hAnsi="宋体"/>
                <w:szCs w:val="21"/>
              </w:rPr>
            </w:pPr>
            <w:r>
              <w:rPr>
                <w:rFonts w:hint="eastAsia" w:ascii="宋体" w:hAnsi="宋体"/>
                <w:szCs w:val="21"/>
              </w:rPr>
              <w:t>用于施</w:t>
            </w:r>
          </w:p>
          <w:p>
            <w:pPr>
              <w:spacing w:line="360" w:lineRule="auto"/>
              <w:jc w:val="center"/>
              <w:rPr>
                <w:rFonts w:ascii="宋体" w:hAnsi="宋体"/>
                <w:szCs w:val="21"/>
              </w:rPr>
            </w:pPr>
            <w:r>
              <w:rPr>
                <w:rFonts w:hint="eastAsia" w:ascii="宋体" w:hAnsi="宋体"/>
                <w:szCs w:val="21"/>
              </w:rPr>
              <w:t>工部位</w:t>
            </w:r>
          </w:p>
        </w:tc>
        <w:tc>
          <w:tcPr>
            <w:tcW w:w="757" w:type="dxa"/>
            <w:vAlign w:val="center"/>
          </w:tcPr>
          <w:p>
            <w:pPr>
              <w:spacing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szCs w:val="21"/>
              </w:rPr>
            </w:pPr>
          </w:p>
        </w:tc>
        <w:tc>
          <w:tcPr>
            <w:tcW w:w="1050" w:type="dxa"/>
            <w:vAlign w:val="center"/>
          </w:tcPr>
          <w:p>
            <w:pPr>
              <w:spacing w:line="360" w:lineRule="auto"/>
              <w:jc w:val="center"/>
              <w:rPr>
                <w:rFonts w:ascii="宋体" w:hAnsi="宋体"/>
                <w:szCs w:val="21"/>
              </w:rPr>
            </w:pPr>
          </w:p>
        </w:tc>
        <w:tc>
          <w:tcPr>
            <w:tcW w:w="666" w:type="dxa"/>
            <w:vAlign w:val="center"/>
          </w:tcPr>
          <w:p>
            <w:pPr>
              <w:spacing w:line="360" w:lineRule="auto"/>
              <w:jc w:val="center"/>
              <w:rPr>
                <w:rFonts w:ascii="宋体" w:hAnsi="宋体"/>
                <w:szCs w:val="21"/>
              </w:rPr>
            </w:pPr>
          </w:p>
        </w:tc>
        <w:tc>
          <w:tcPr>
            <w:tcW w:w="1009"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4"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75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szCs w:val="21"/>
              </w:rPr>
            </w:pPr>
          </w:p>
        </w:tc>
        <w:tc>
          <w:tcPr>
            <w:tcW w:w="1050" w:type="dxa"/>
            <w:vAlign w:val="center"/>
          </w:tcPr>
          <w:p>
            <w:pPr>
              <w:spacing w:line="360" w:lineRule="auto"/>
              <w:jc w:val="center"/>
              <w:rPr>
                <w:rFonts w:ascii="宋体" w:hAnsi="宋体"/>
                <w:szCs w:val="21"/>
              </w:rPr>
            </w:pPr>
          </w:p>
        </w:tc>
        <w:tc>
          <w:tcPr>
            <w:tcW w:w="666" w:type="dxa"/>
            <w:vAlign w:val="center"/>
          </w:tcPr>
          <w:p>
            <w:pPr>
              <w:spacing w:line="360" w:lineRule="auto"/>
              <w:jc w:val="center"/>
              <w:rPr>
                <w:rFonts w:ascii="宋体" w:hAnsi="宋体"/>
                <w:szCs w:val="21"/>
              </w:rPr>
            </w:pPr>
          </w:p>
        </w:tc>
        <w:tc>
          <w:tcPr>
            <w:tcW w:w="1009"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4"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75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szCs w:val="21"/>
              </w:rPr>
            </w:pPr>
          </w:p>
        </w:tc>
        <w:tc>
          <w:tcPr>
            <w:tcW w:w="1050" w:type="dxa"/>
            <w:vAlign w:val="center"/>
          </w:tcPr>
          <w:p>
            <w:pPr>
              <w:spacing w:line="360" w:lineRule="auto"/>
              <w:jc w:val="center"/>
              <w:rPr>
                <w:rFonts w:ascii="宋体" w:hAnsi="宋体"/>
                <w:szCs w:val="21"/>
              </w:rPr>
            </w:pPr>
          </w:p>
        </w:tc>
        <w:tc>
          <w:tcPr>
            <w:tcW w:w="666" w:type="dxa"/>
            <w:vAlign w:val="center"/>
          </w:tcPr>
          <w:p>
            <w:pPr>
              <w:spacing w:line="360" w:lineRule="auto"/>
              <w:jc w:val="center"/>
              <w:rPr>
                <w:rFonts w:ascii="宋体" w:hAnsi="宋体"/>
                <w:szCs w:val="21"/>
              </w:rPr>
            </w:pPr>
          </w:p>
        </w:tc>
        <w:tc>
          <w:tcPr>
            <w:tcW w:w="1009"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4"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75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szCs w:val="21"/>
              </w:rPr>
            </w:pPr>
          </w:p>
        </w:tc>
        <w:tc>
          <w:tcPr>
            <w:tcW w:w="1050" w:type="dxa"/>
            <w:vAlign w:val="center"/>
          </w:tcPr>
          <w:p>
            <w:pPr>
              <w:spacing w:line="360" w:lineRule="auto"/>
              <w:jc w:val="center"/>
              <w:rPr>
                <w:rFonts w:ascii="宋体" w:hAnsi="宋体"/>
                <w:szCs w:val="21"/>
              </w:rPr>
            </w:pPr>
          </w:p>
        </w:tc>
        <w:tc>
          <w:tcPr>
            <w:tcW w:w="666" w:type="dxa"/>
            <w:vAlign w:val="center"/>
          </w:tcPr>
          <w:p>
            <w:pPr>
              <w:spacing w:line="360" w:lineRule="auto"/>
              <w:jc w:val="center"/>
              <w:rPr>
                <w:rFonts w:ascii="宋体" w:hAnsi="宋体"/>
                <w:szCs w:val="21"/>
              </w:rPr>
            </w:pPr>
          </w:p>
        </w:tc>
        <w:tc>
          <w:tcPr>
            <w:tcW w:w="1009"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4"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75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szCs w:val="21"/>
              </w:rPr>
            </w:pPr>
          </w:p>
        </w:tc>
        <w:tc>
          <w:tcPr>
            <w:tcW w:w="1050" w:type="dxa"/>
            <w:vAlign w:val="center"/>
          </w:tcPr>
          <w:p>
            <w:pPr>
              <w:spacing w:line="360" w:lineRule="auto"/>
              <w:jc w:val="center"/>
              <w:rPr>
                <w:rFonts w:ascii="宋体" w:hAnsi="宋体"/>
                <w:szCs w:val="21"/>
              </w:rPr>
            </w:pPr>
          </w:p>
        </w:tc>
        <w:tc>
          <w:tcPr>
            <w:tcW w:w="666" w:type="dxa"/>
            <w:vAlign w:val="center"/>
          </w:tcPr>
          <w:p>
            <w:pPr>
              <w:spacing w:line="360" w:lineRule="auto"/>
              <w:jc w:val="center"/>
              <w:rPr>
                <w:rFonts w:ascii="宋体" w:hAnsi="宋体"/>
                <w:szCs w:val="21"/>
              </w:rPr>
            </w:pPr>
          </w:p>
        </w:tc>
        <w:tc>
          <w:tcPr>
            <w:tcW w:w="1009"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4"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75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szCs w:val="21"/>
              </w:rPr>
            </w:pPr>
          </w:p>
        </w:tc>
        <w:tc>
          <w:tcPr>
            <w:tcW w:w="1050" w:type="dxa"/>
            <w:vAlign w:val="center"/>
          </w:tcPr>
          <w:p>
            <w:pPr>
              <w:spacing w:line="360" w:lineRule="auto"/>
              <w:jc w:val="center"/>
              <w:rPr>
                <w:rFonts w:ascii="宋体" w:hAnsi="宋体"/>
                <w:szCs w:val="21"/>
              </w:rPr>
            </w:pPr>
          </w:p>
        </w:tc>
        <w:tc>
          <w:tcPr>
            <w:tcW w:w="666" w:type="dxa"/>
            <w:vAlign w:val="center"/>
          </w:tcPr>
          <w:p>
            <w:pPr>
              <w:spacing w:line="360" w:lineRule="auto"/>
              <w:jc w:val="center"/>
              <w:rPr>
                <w:rFonts w:ascii="宋体" w:hAnsi="宋体"/>
                <w:szCs w:val="21"/>
              </w:rPr>
            </w:pPr>
          </w:p>
        </w:tc>
        <w:tc>
          <w:tcPr>
            <w:tcW w:w="1009"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4"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75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szCs w:val="21"/>
              </w:rPr>
            </w:pPr>
          </w:p>
        </w:tc>
        <w:tc>
          <w:tcPr>
            <w:tcW w:w="1050" w:type="dxa"/>
            <w:vAlign w:val="center"/>
          </w:tcPr>
          <w:p>
            <w:pPr>
              <w:spacing w:line="360" w:lineRule="auto"/>
              <w:jc w:val="center"/>
              <w:rPr>
                <w:rFonts w:ascii="宋体" w:hAnsi="宋体"/>
                <w:szCs w:val="21"/>
              </w:rPr>
            </w:pPr>
          </w:p>
        </w:tc>
        <w:tc>
          <w:tcPr>
            <w:tcW w:w="666" w:type="dxa"/>
            <w:vAlign w:val="center"/>
          </w:tcPr>
          <w:p>
            <w:pPr>
              <w:spacing w:line="360" w:lineRule="auto"/>
              <w:jc w:val="center"/>
              <w:rPr>
                <w:rFonts w:ascii="宋体" w:hAnsi="宋体"/>
                <w:szCs w:val="21"/>
              </w:rPr>
            </w:pPr>
          </w:p>
        </w:tc>
        <w:tc>
          <w:tcPr>
            <w:tcW w:w="1009"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4"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75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szCs w:val="21"/>
              </w:rPr>
            </w:pPr>
          </w:p>
        </w:tc>
        <w:tc>
          <w:tcPr>
            <w:tcW w:w="1050" w:type="dxa"/>
            <w:vAlign w:val="center"/>
          </w:tcPr>
          <w:p>
            <w:pPr>
              <w:spacing w:line="360" w:lineRule="auto"/>
              <w:jc w:val="center"/>
              <w:rPr>
                <w:rFonts w:ascii="宋体" w:hAnsi="宋体"/>
                <w:szCs w:val="21"/>
              </w:rPr>
            </w:pPr>
          </w:p>
        </w:tc>
        <w:tc>
          <w:tcPr>
            <w:tcW w:w="666" w:type="dxa"/>
            <w:vAlign w:val="center"/>
          </w:tcPr>
          <w:p>
            <w:pPr>
              <w:spacing w:line="360" w:lineRule="auto"/>
              <w:jc w:val="center"/>
              <w:rPr>
                <w:rFonts w:ascii="宋体" w:hAnsi="宋体"/>
                <w:szCs w:val="21"/>
              </w:rPr>
            </w:pPr>
          </w:p>
        </w:tc>
        <w:tc>
          <w:tcPr>
            <w:tcW w:w="1009"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4"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75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szCs w:val="21"/>
              </w:rPr>
            </w:pPr>
          </w:p>
        </w:tc>
        <w:tc>
          <w:tcPr>
            <w:tcW w:w="1050" w:type="dxa"/>
            <w:vAlign w:val="center"/>
          </w:tcPr>
          <w:p>
            <w:pPr>
              <w:spacing w:line="360" w:lineRule="auto"/>
              <w:jc w:val="center"/>
              <w:rPr>
                <w:rFonts w:ascii="宋体" w:hAnsi="宋体"/>
                <w:szCs w:val="21"/>
              </w:rPr>
            </w:pPr>
          </w:p>
        </w:tc>
        <w:tc>
          <w:tcPr>
            <w:tcW w:w="666" w:type="dxa"/>
            <w:vAlign w:val="center"/>
          </w:tcPr>
          <w:p>
            <w:pPr>
              <w:spacing w:line="360" w:lineRule="auto"/>
              <w:jc w:val="center"/>
              <w:rPr>
                <w:rFonts w:ascii="宋体" w:hAnsi="宋体"/>
                <w:szCs w:val="21"/>
              </w:rPr>
            </w:pPr>
          </w:p>
        </w:tc>
        <w:tc>
          <w:tcPr>
            <w:tcW w:w="1009"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4"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75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szCs w:val="21"/>
              </w:rPr>
            </w:pPr>
          </w:p>
        </w:tc>
        <w:tc>
          <w:tcPr>
            <w:tcW w:w="1050" w:type="dxa"/>
            <w:vAlign w:val="center"/>
          </w:tcPr>
          <w:p>
            <w:pPr>
              <w:spacing w:line="360" w:lineRule="auto"/>
              <w:jc w:val="center"/>
              <w:rPr>
                <w:rFonts w:ascii="宋体" w:hAnsi="宋体"/>
                <w:szCs w:val="21"/>
              </w:rPr>
            </w:pPr>
          </w:p>
        </w:tc>
        <w:tc>
          <w:tcPr>
            <w:tcW w:w="666" w:type="dxa"/>
            <w:vAlign w:val="center"/>
          </w:tcPr>
          <w:p>
            <w:pPr>
              <w:spacing w:line="360" w:lineRule="auto"/>
              <w:jc w:val="center"/>
              <w:rPr>
                <w:rFonts w:ascii="宋体" w:hAnsi="宋体"/>
                <w:szCs w:val="21"/>
              </w:rPr>
            </w:pPr>
          </w:p>
        </w:tc>
        <w:tc>
          <w:tcPr>
            <w:tcW w:w="1009"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4"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75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szCs w:val="21"/>
              </w:rPr>
            </w:pPr>
          </w:p>
        </w:tc>
        <w:tc>
          <w:tcPr>
            <w:tcW w:w="1050" w:type="dxa"/>
            <w:vAlign w:val="center"/>
          </w:tcPr>
          <w:p>
            <w:pPr>
              <w:spacing w:line="360" w:lineRule="auto"/>
              <w:jc w:val="center"/>
              <w:rPr>
                <w:rFonts w:ascii="宋体" w:hAnsi="宋体"/>
                <w:szCs w:val="21"/>
              </w:rPr>
            </w:pPr>
          </w:p>
        </w:tc>
        <w:tc>
          <w:tcPr>
            <w:tcW w:w="666" w:type="dxa"/>
            <w:vAlign w:val="center"/>
          </w:tcPr>
          <w:p>
            <w:pPr>
              <w:spacing w:line="360" w:lineRule="auto"/>
              <w:jc w:val="center"/>
              <w:rPr>
                <w:rFonts w:ascii="宋体" w:hAnsi="宋体"/>
                <w:szCs w:val="21"/>
              </w:rPr>
            </w:pPr>
          </w:p>
        </w:tc>
        <w:tc>
          <w:tcPr>
            <w:tcW w:w="1009"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4"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75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szCs w:val="21"/>
              </w:rPr>
            </w:pPr>
          </w:p>
        </w:tc>
        <w:tc>
          <w:tcPr>
            <w:tcW w:w="1050" w:type="dxa"/>
            <w:vAlign w:val="center"/>
          </w:tcPr>
          <w:p>
            <w:pPr>
              <w:spacing w:line="360" w:lineRule="auto"/>
              <w:jc w:val="center"/>
              <w:rPr>
                <w:rFonts w:ascii="宋体" w:hAnsi="宋体"/>
                <w:szCs w:val="21"/>
              </w:rPr>
            </w:pPr>
          </w:p>
        </w:tc>
        <w:tc>
          <w:tcPr>
            <w:tcW w:w="666" w:type="dxa"/>
            <w:vAlign w:val="center"/>
          </w:tcPr>
          <w:p>
            <w:pPr>
              <w:spacing w:line="360" w:lineRule="auto"/>
              <w:jc w:val="center"/>
              <w:rPr>
                <w:rFonts w:ascii="宋体" w:hAnsi="宋体"/>
                <w:szCs w:val="21"/>
              </w:rPr>
            </w:pPr>
          </w:p>
        </w:tc>
        <w:tc>
          <w:tcPr>
            <w:tcW w:w="1009"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4"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75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szCs w:val="21"/>
              </w:rPr>
            </w:pPr>
          </w:p>
        </w:tc>
        <w:tc>
          <w:tcPr>
            <w:tcW w:w="1050" w:type="dxa"/>
            <w:vAlign w:val="center"/>
          </w:tcPr>
          <w:p>
            <w:pPr>
              <w:spacing w:line="360" w:lineRule="auto"/>
              <w:jc w:val="center"/>
              <w:rPr>
                <w:rFonts w:ascii="宋体" w:hAnsi="宋体"/>
                <w:szCs w:val="21"/>
              </w:rPr>
            </w:pPr>
          </w:p>
        </w:tc>
        <w:tc>
          <w:tcPr>
            <w:tcW w:w="666" w:type="dxa"/>
            <w:vAlign w:val="center"/>
          </w:tcPr>
          <w:p>
            <w:pPr>
              <w:spacing w:line="360" w:lineRule="auto"/>
              <w:jc w:val="center"/>
              <w:rPr>
                <w:rFonts w:ascii="宋体" w:hAnsi="宋体"/>
                <w:szCs w:val="21"/>
              </w:rPr>
            </w:pPr>
          </w:p>
        </w:tc>
        <w:tc>
          <w:tcPr>
            <w:tcW w:w="1009"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4"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75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szCs w:val="21"/>
              </w:rPr>
            </w:pPr>
          </w:p>
        </w:tc>
        <w:tc>
          <w:tcPr>
            <w:tcW w:w="1050" w:type="dxa"/>
            <w:vAlign w:val="center"/>
          </w:tcPr>
          <w:p>
            <w:pPr>
              <w:spacing w:line="360" w:lineRule="auto"/>
              <w:jc w:val="center"/>
              <w:rPr>
                <w:rFonts w:ascii="宋体" w:hAnsi="宋体"/>
                <w:szCs w:val="21"/>
              </w:rPr>
            </w:pPr>
          </w:p>
        </w:tc>
        <w:tc>
          <w:tcPr>
            <w:tcW w:w="666" w:type="dxa"/>
            <w:vAlign w:val="center"/>
          </w:tcPr>
          <w:p>
            <w:pPr>
              <w:spacing w:line="360" w:lineRule="auto"/>
              <w:jc w:val="center"/>
              <w:rPr>
                <w:rFonts w:ascii="宋体" w:hAnsi="宋体"/>
                <w:szCs w:val="21"/>
              </w:rPr>
            </w:pPr>
          </w:p>
        </w:tc>
        <w:tc>
          <w:tcPr>
            <w:tcW w:w="1009"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4"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75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szCs w:val="21"/>
              </w:rPr>
            </w:pPr>
          </w:p>
        </w:tc>
        <w:tc>
          <w:tcPr>
            <w:tcW w:w="1050" w:type="dxa"/>
            <w:vAlign w:val="center"/>
          </w:tcPr>
          <w:p>
            <w:pPr>
              <w:spacing w:line="360" w:lineRule="auto"/>
              <w:jc w:val="center"/>
              <w:rPr>
                <w:rFonts w:ascii="宋体" w:hAnsi="宋体"/>
                <w:szCs w:val="21"/>
              </w:rPr>
            </w:pPr>
          </w:p>
        </w:tc>
        <w:tc>
          <w:tcPr>
            <w:tcW w:w="666" w:type="dxa"/>
            <w:vAlign w:val="center"/>
          </w:tcPr>
          <w:p>
            <w:pPr>
              <w:spacing w:line="360" w:lineRule="auto"/>
              <w:jc w:val="center"/>
              <w:rPr>
                <w:rFonts w:ascii="宋体" w:hAnsi="宋体"/>
                <w:szCs w:val="21"/>
              </w:rPr>
            </w:pPr>
          </w:p>
        </w:tc>
        <w:tc>
          <w:tcPr>
            <w:tcW w:w="1009"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4"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75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szCs w:val="21"/>
              </w:rPr>
            </w:pPr>
          </w:p>
        </w:tc>
        <w:tc>
          <w:tcPr>
            <w:tcW w:w="1050" w:type="dxa"/>
            <w:vAlign w:val="center"/>
          </w:tcPr>
          <w:p>
            <w:pPr>
              <w:spacing w:line="360" w:lineRule="auto"/>
              <w:jc w:val="center"/>
              <w:rPr>
                <w:rFonts w:ascii="宋体" w:hAnsi="宋体"/>
                <w:szCs w:val="21"/>
              </w:rPr>
            </w:pPr>
          </w:p>
        </w:tc>
        <w:tc>
          <w:tcPr>
            <w:tcW w:w="666" w:type="dxa"/>
            <w:vAlign w:val="center"/>
          </w:tcPr>
          <w:p>
            <w:pPr>
              <w:spacing w:line="360" w:lineRule="auto"/>
              <w:jc w:val="center"/>
              <w:rPr>
                <w:rFonts w:ascii="宋体" w:hAnsi="宋体"/>
                <w:szCs w:val="21"/>
              </w:rPr>
            </w:pPr>
          </w:p>
        </w:tc>
        <w:tc>
          <w:tcPr>
            <w:tcW w:w="1009"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4"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75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szCs w:val="21"/>
              </w:rPr>
            </w:pPr>
          </w:p>
        </w:tc>
        <w:tc>
          <w:tcPr>
            <w:tcW w:w="1050" w:type="dxa"/>
            <w:vAlign w:val="center"/>
          </w:tcPr>
          <w:p>
            <w:pPr>
              <w:spacing w:line="360" w:lineRule="auto"/>
              <w:jc w:val="center"/>
              <w:rPr>
                <w:rFonts w:ascii="宋体" w:hAnsi="宋体"/>
                <w:szCs w:val="21"/>
              </w:rPr>
            </w:pPr>
          </w:p>
        </w:tc>
        <w:tc>
          <w:tcPr>
            <w:tcW w:w="666" w:type="dxa"/>
            <w:vAlign w:val="center"/>
          </w:tcPr>
          <w:p>
            <w:pPr>
              <w:spacing w:line="360" w:lineRule="auto"/>
              <w:jc w:val="center"/>
              <w:rPr>
                <w:rFonts w:ascii="宋体" w:hAnsi="宋体"/>
                <w:szCs w:val="21"/>
              </w:rPr>
            </w:pPr>
          </w:p>
        </w:tc>
        <w:tc>
          <w:tcPr>
            <w:tcW w:w="1009"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4"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75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szCs w:val="21"/>
              </w:rPr>
            </w:pPr>
          </w:p>
        </w:tc>
        <w:tc>
          <w:tcPr>
            <w:tcW w:w="1050" w:type="dxa"/>
            <w:vAlign w:val="center"/>
          </w:tcPr>
          <w:p>
            <w:pPr>
              <w:spacing w:line="360" w:lineRule="auto"/>
              <w:jc w:val="center"/>
              <w:rPr>
                <w:rFonts w:ascii="宋体" w:hAnsi="宋体"/>
                <w:szCs w:val="21"/>
              </w:rPr>
            </w:pPr>
          </w:p>
        </w:tc>
        <w:tc>
          <w:tcPr>
            <w:tcW w:w="666" w:type="dxa"/>
            <w:vAlign w:val="center"/>
          </w:tcPr>
          <w:p>
            <w:pPr>
              <w:spacing w:line="360" w:lineRule="auto"/>
              <w:jc w:val="center"/>
              <w:rPr>
                <w:rFonts w:ascii="宋体" w:hAnsi="宋体"/>
                <w:szCs w:val="21"/>
              </w:rPr>
            </w:pPr>
          </w:p>
        </w:tc>
        <w:tc>
          <w:tcPr>
            <w:tcW w:w="1009"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4"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75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szCs w:val="21"/>
              </w:rPr>
            </w:pPr>
          </w:p>
        </w:tc>
        <w:tc>
          <w:tcPr>
            <w:tcW w:w="1050" w:type="dxa"/>
            <w:vAlign w:val="center"/>
          </w:tcPr>
          <w:p>
            <w:pPr>
              <w:spacing w:line="360" w:lineRule="auto"/>
              <w:jc w:val="center"/>
              <w:rPr>
                <w:rFonts w:ascii="宋体" w:hAnsi="宋体"/>
                <w:szCs w:val="21"/>
              </w:rPr>
            </w:pPr>
          </w:p>
        </w:tc>
        <w:tc>
          <w:tcPr>
            <w:tcW w:w="666" w:type="dxa"/>
            <w:vAlign w:val="center"/>
          </w:tcPr>
          <w:p>
            <w:pPr>
              <w:spacing w:line="360" w:lineRule="auto"/>
              <w:jc w:val="center"/>
              <w:rPr>
                <w:rFonts w:ascii="宋体" w:hAnsi="宋体"/>
                <w:szCs w:val="21"/>
              </w:rPr>
            </w:pPr>
          </w:p>
        </w:tc>
        <w:tc>
          <w:tcPr>
            <w:tcW w:w="1009"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4"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75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szCs w:val="21"/>
              </w:rPr>
            </w:pPr>
          </w:p>
        </w:tc>
        <w:tc>
          <w:tcPr>
            <w:tcW w:w="1050" w:type="dxa"/>
            <w:vAlign w:val="center"/>
          </w:tcPr>
          <w:p>
            <w:pPr>
              <w:spacing w:line="360" w:lineRule="auto"/>
              <w:jc w:val="center"/>
              <w:rPr>
                <w:rFonts w:ascii="宋体" w:hAnsi="宋体"/>
                <w:szCs w:val="21"/>
              </w:rPr>
            </w:pPr>
          </w:p>
        </w:tc>
        <w:tc>
          <w:tcPr>
            <w:tcW w:w="666" w:type="dxa"/>
            <w:vAlign w:val="center"/>
          </w:tcPr>
          <w:p>
            <w:pPr>
              <w:spacing w:line="360" w:lineRule="auto"/>
              <w:jc w:val="center"/>
              <w:rPr>
                <w:rFonts w:ascii="宋体" w:hAnsi="宋体"/>
                <w:szCs w:val="21"/>
              </w:rPr>
            </w:pPr>
          </w:p>
        </w:tc>
        <w:tc>
          <w:tcPr>
            <w:tcW w:w="1009"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4"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75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szCs w:val="21"/>
              </w:rPr>
            </w:pPr>
          </w:p>
        </w:tc>
        <w:tc>
          <w:tcPr>
            <w:tcW w:w="1050" w:type="dxa"/>
            <w:vAlign w:val="center"/>
          </w:tcPr>
          <w:p>
            <w:pPr>
              <w:spacing w:line="360" w:lineRule="auto"/>
              <w:jc w:val="center"/>
              <w:rPr>
                <w:rFonts w:ascii="宋体" w:hAnsi="宋体"/>
                <w:szCs w:val="21"/>
              </w:rPr>
            </w:pPr>
          </w:p>
        </w:tc>
        <w:tc>
          <w:tcPr>
            <w:tcW w:w="666" w:type="dxa"/>
            <w:vAlign w:val="center"/>
          </w:tcPr>
          <w:p>
            <w:pPr>
              <w:spacing w:line="360" w:lineRule="auto"/>
              <w:jc w:val="center"/>
              <w:rPr>
                <w:rFonts w:ascii="宋体" w:hAnsi="宋体"/>
                <w:szCs w:val="21"/>
              </w:rPr>
            </w:pPr>
          </w:p>
        </w:tc>
        <w:tc>
          <w:tcPr>
            <w:tcW w:w="1009"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4"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75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38" w:type="dxa"/>
            <w:vAlign w:val="center"/>
          </w:tcPr>
          <w:p>
            <w:pPr>
              <w:spacing w:line="360" w:lineRule="auto"/>
              <w:jc w:val="center"/>
              <w:rPr>
                <w:rFonts w:ascii="宋体" w:hAnsi="宋体"/>
                <w:szCs w:val="21"/>
              </w:rPr>
            </w:pPr>
          </w:p>
        </w:tc>
        <w:tc>
          <w:tcPr>
            <w:tcW w:w="1050" w:type="dxa"/>
            <w:vAlign w:val="center"/>
          </w:tcPr>
          <w:p>
            <w:pPr>
              <w:spacing w:line="360" w:lineRule="auto"/>
              <w:jc w:val="center"/>
              <w:rPr>
                <w:rFonts w:ascii="宋体" w:hAnsi="宋体"/>
                <w:szCs w:val="21"/>
              </w:rPr>
            </w:pPr>
          </w:p>
        </w:tc>
        <w:tc>
          <w:tcPr>
            <w:tcW w:w="666" w:type="dxa"/>
            <w:vAlign w:val="center"/>
          </w:tcPr>
          <w:p>
            <w:pPr>
              <w:spacing w:line="360" w:lineRule="auto"/>
              <w:jc w:val="center"/>
              <w:rPr>
                <w:rFonts w:ascii="宋体" w:hAnsi="宋体"/>
                <w:szCs w:val="21"/>
              </w:rPr>
            </w:pPr>
          </w:p>
        </w:tc>
        <w:tc>
          <w:tcPr>
            <w:tcW w:w="1009"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4"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75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638" w:type="dxa"/>
            <w:vAlign w:val="center"/>
          </w:tcPr>
          <w:p>
            <w:pPr>
              <w:spacing w:line="360" w:lineRule="auto"/>
              <w:jc w:val="center"/>
              <w:rPr>
                <w:rFonts w:ascii="宋体" w:hAnsi="宋体"/>
                <w:szCs w:val="21"/>
              </w:rPr>
            </w:pPr>
          </w:p>
        </w:tc>
        <w:tc>
          <w:tcPr>
            <w:tcW w:w="1050" w:type="dxa"/>
            <w:vAlign w:val="center"/>
          </w:tcPr>
          <w:p>
            <w:pPr>
              <w:spacing w:line="360" w:lineRule="auto"/>
              <w:jc w:val="center"/>
              <w:rPr>
                <w:rFonts w:ascii="宋体" w:hAnsi="宋体"/>
                <w:szCs w:val="21"/>
              </w:rPr>
            </w:pPr>
          </w:p>
        </w:tc>
        <w:tc>
          <w:tcPr>
            <w:tcW w:w="666" w:type="dxa"/>
            <w:vAlign w:val="center"/>
          </w:tcPr>
          <w:p>
            <w:pPr>
              <w:spacing w:line="360" w:lineRule="auto"/>
              <w:jc w:val="center"/>
              <w:rPr>
                <w:rFonts w:ascii="宋体" w:hAnsi="宋体"/>
                <w:szCs w:val="21"/>
              </w:rPr>
            </w:pPr>
          </w:p>
        </w:tc>
        <w:tc>
          <w:tcPr>
            <w:tcW w:w="1009"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4"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862" w:type="dxa"/>
            <w:vAlign w:val="center"/>
          </w:tcPr>
          <w:p>
            <w:pPr>
              <w:spacing w:line="360" w:lineRule="auto"/>
              <w:jc w:val="center"/>
              <w:rPr>
                <w:rFonts w:ascii="宋体" w:hAnsi="宋体"/>
                <w:szCs w:val="21"/>
              </w:rPr>
            </w:pPr>
          </w:p>
        </w:tc>
        <w:tc>
          <w:tcPr>
            <w:tcW w:w="757" w:type="dxa"/>
            <w:vAlign w:val="center"/>
          </w:tcPr>
          <w:p>
            <w:pPr>
              <w:spacing w:line="360" w:lineRule="auto"/>
              <w:jc w:val="center"/>
              <w:rPr>
                <w:rFonts w:ascii="宋体" w:hAnsi="宋体"/>
                <w:szCs w:val="21"/>
              </w:rPr>
            </w:pPr>
          </w:p>
        </w:tc>
      </w:tr>
    </w:tbl>
    <w:p>
      <w:pPr>
        <w:spacing w:before="156" w:beforeLines="50" w:after="312" w:afterLines="100" w:line="360" w:lineRule="auto"/>
        <w:jc w:val="center"/>
        <w:rPr>
          <w:rFonts w:ascii="黑体" w:hAnsi="宋体" w:eastAsia="黑体"/>
        </w:rPr>
      </w:pPr>
      <w:r>
        <w:rPr>
          <w:rFonts w:ascii="宋体" w:hAnsi="宋体"/>
          <w:szCs w:val="21"/>
        </w:rPr>
        <w:br w:type="page"/>
      </w:r>
      <w:r>
        <w:rPr>
          <w:rFonts w:hint="eastAsia" w:ascii="黑体" w:hAnsi="宋体" w:eastAsia="黑体"/>
          <w:sz w:val="32"/>
          <w:szCs w:val="32"/>
        </w:rPr>
        <w:t>附表二  拟配备本工程的试验和检测仪器设备表</w:t>
      </w:r>
    </w:p>
    <w:tbl>
      <w:tblPr>
        <w:tblStyle w:val="44"/>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052"/>
        <w:gridCol w:w="667"/>
        <w:gridCol w:w="1010"/>
        <w:gridCol w:w="703"/>
        <w:gridCol w:w="703"/>
        <w:gridCol w:w="1161"/>
        <w:gridCol w:w="1635"/>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41" w:type="dxa"/>
            <w:vAlign w:val="center"/>
          </w:tcPr>
          <w:p>
            <w:pPr>
              <w:spacing w:line="360" w:lineRule="auto"/>
              <w:jc w:val="center"/>
              <w:rPr>
                <w:rFonts w:ascii="宋体" w:hAnsi="宋体"/>
                <w:szCs w:val="21"/>
              </w:rPr>
            </w:pPr>
            <w:r>
              <w:rPr>
                <w:rFonts w:hint="eastAsia" w:ascii="宋体" w:hAnsi="宋体"/>
                <w:szCs w:val="21"/>
              </w:rPr>
              <w:t>序号</w:t>
            </w:r>
          </w:p>
        </w:tc>
        <w:tc>
          <w:tcPr>
            <w:tcW w:w="1052" w:type="dxa"/>
            <w:vAlign w:val="center"/>
          </w:tcPr>
          <w:p>
            <w:pPr>
              <w:spacing w:line="360" w:lineRule="auto"/>
              <w:jc w:val="center"/>
              <w:rPr>
                <w:rFonts w:ascii="宋体" w:hAnsi="宋体"/>
                <w:szCs w:val="21"/>
              </w:rPr>
            </w:pPr>
            <w:r>
              <w:rPr>
                <w:rFonts w:hint="eastAsia" w:ascii="宋体" w:hAnsi="宋体"/>
                <w:szCs w:val="21"/>
              </w:rPr>
              <w:t>仪器设备</w:t>
            </w:r>
          </w:p>
          <w:p>
            <w:pPr>
              <w:spacing w:line="360" w:lineRule="auto"/>
              <w:jc w:val="center"/>
              <w:rPr>
                <w:rFonts w:ascii="宋体" w:hAnsi="宋体"/>
                <w:szCs w:val="21"/>
              </w:rPr>
            </w:pPr>
            <w:r>
              <w:rPr>
                <w:rFonts w:hint="eastAsia" w:ascii="宋体" w:hAnsi="宋体"/>
                <w:szCs w:val="21"/>
              </w:rPr>
              <w:t>名    称</w:t>
            </w:r>
          </w:p>
        </w:tc>
        <w:tc>
          <w:tcPr>
            <w:tcW w:w="667" w:type="dxa"/>
            <w:vAlign w:val="center"/>
          </w:tcPr>
          <w:p>
            <w:pPr>
              <w:spacing w:line="360" w:lineRule="auto"/>
              <w:jc w:val="center"/>
              <w:rPr>
                <w:rFonts w:ascii="宋体" w:hAnsi="宋体"/>
                <w:szCs w:val="21"/>
              </w:rPr>
            </w:pPr>
            <w:r>
              <w:rPr>
                <w:rFonts w:hint="eastAsia" w:ascii="宋体" w:hAnsi="宋体"/>
                <w:szCs w:val="21"/>
              </w:rPr>
              <w:t>型号</w:t>
            </w:r>
          </w:p>
          <w:p>
            <w:pPr>
              <w:spacing w:line="360" w:lineRule="auto"/>
              <w:jc w:val="center"/>
              <w:rPr>
                <w:rFonts w:ascii="宋体" w:hAnsi="宋体"/>
                <w:szCs w:val="21"/>
              </w:rPr>
            </w:pPr>
            <w:r>
              <w:rPr>
                <w:rFonts w:hint="eastAsia" w:ascii="宋体" w:hAnsi="宋体"/>
                <w:szCs w:val="21"/>
              </w:rPr>
              <w:t>规格</w:t>
            </w:r>
          </w:p>
        </w:tc>
        <w:tc>
          <w:tcPr>
            <w:tcW w:w="1010" w:type="dxa"/>
            <w:vAlign w:val="center"/>
          </w:tcPr>
          <w:p>
            <w:pPr>
              <w:spacing w:line="360" w:lineRule="auto"/>
              <w:jc w:val="center"/>
              <w:rPr>
                <w:rFonts w:ascii="宋体" w:hAnsi="宋体"/>
                <w:szCs w:val="21"/>
              </w:rPr>
            </w:pPr>
            <w:r>
              <w:rPr>
                <w:rFonts w:hint="eastAsia" w:ascii="宋体" w:hAnsi="宋体"/>
                <w:szCs w:val="21"/>
              </w:rPr>
              <w:t>数  量</w:t>
            </w:r>
          </w:p>
        </w:tc>
        <w:tc>
          <w:tcPr>
            <w:tcW w:w="703" w:type="dxa"/>
            <w:vAlign w:val="center"/>
          </w:tcPr>
          <w:p>
            <w:pPr>
              <w:spacing w:line="360" w:lineRule="auto"/>
              <w:jc w:val="center"/>
              <w:rPr>
                <w:rFonts w:ascii="宋体" w:hAnsi="宋体"/>
                <w:szCs w:val="21"/>
              </w:rPr>
            </w:pPr>
            <w:r>
              <w:rPr>
                <w:rFonts w:hint="eastAsia" w:ascii="宋体" w:hAnsi="宋体"/>
                <w:szCs w:val="21"/>
              </w:rPr>
              <w:t>国别</w:t>
            </w:r>
          </w:p>
          <w:p>
            <w:pPr>
              <w:spacing w:line="360" w:lineRule="auto"/>
              <w:jc w:val="center"/>
              <w:rPr>
                <w:rFonts w:ascii="宋体" w:hAnsi="宋体"/>
                <w:szCs w:val="21"/>
              </w:rPr>
            </w:pPr>
            <w:r>
              <w:rPr>
                <w:rFonts w:hint="eastAsia" w:ascii="宋体" w:hAnsi="宋体"/>
                <w:szCs w:val="21"/>
              </w:rPr>
              <w:t>产地</w:t>
            </w:r>
          </w:p>
        </w:tc>
        <w:tc>
          <w:tcPr>
            <w:tcW w:w="703" w:type="dxa"/>
            <w:vAlign w:val="center"/>
          </w:tcPr>
          <w:p>
            <w:pPr>
              <w:spacing w:line="360" w:lineRule="auto"/>
              <w:jc w:val="center"/>
              <w:rPr>
                <w:rFonts w:ascii="宋体" w:hAnsi="宋体"/>
                <w:szCs w:val="21"/>
              </w:rPr>
            </w:pPr>
            <w:r>
              <w:rPr>
                <w:rFonts w:hint="eastAsia" w:ascii="宋体" w:hAnsi="宋体"/>
                <w:szCs w:val="21"/>
              </w:rPr>
              <w:t>制造</w:t>
            </w:r>
          </w:p>
          <w:p>
            <w:pPr>
              <w:spacing w:line="360" w:lineRule="auto"/>
              <w:jc w:val="center"/>
              <w:rPr>
                <w:rFonts w:ascii="宋体" w:hAnsi="宋体"/>
                <w:szCs w:val="21"/>
              </w:rPr>
            </w:pPr>
            <w:r>
              <w:rPr>
                <w:rFonts w:hint="eastAsia" w:ascii="宋体" w:hAnsi="宋体"/>
                <w:szCs w:val="21"/>
              </w:rPr>
              <w:t>年份</w:t>
            </w:r>
          </w:p>
        </w:tc>
        <w:tc>
          <w:tcPr>
            <w:tcW w:w="1161" w:type="dxa"/>
            <w:vAlign w:val="center"/>
          </w:tcPr>
          <w:p>
            <w:pPr>
              <w:spacing w:line="360" w:lineRule="auto"/>
              <w:jc w:val="center"/>
              <w:rPr>
                <w:rFonts w:ascii="宋体" w:hAnsi="宋体"/>
                <w:szCs w:val="21"/>
              </w:rPr>
            </w:pPr>
            <w:r>
              <w:rPr>
                <w:rFonts w:hint="eastAsia" w:ascii="宋体" w:hAnsi="宋体"/>
                <w:szCs w:val="21"/>
              </w:rPr>
              <w:t>已使用台</w:t>
            </w:r>
          </w:p>
          <w:p>
            <w:pPr>
              <w:spacing w:line="360" w:lineRule="auto"/>
              <w:jc w:val="center"/>
              <w:rPr>
                <w:rFonts w:ascii="宋体" w:hAnsi="宋体"/>
                <w:szCs w:val="21"/>
              </w:rPr>
            </w:pPr>
            <w:r>
              <w:rPr>
                <w:rFonts w:hint="eastAsia" w:ascii="宋体" w:hAnsi="宋体"/>
                <w:szCs w:val="21"/>
              </w:rPr>
              <w:t>时    数</w:t>
            </w:r>
          </w:p>
        </w:tc>
        <w:tc>
          <w:tcPr>
            <w:tcW w:w="1635" w:type="dxa"/>
            <w:vAlign w:val="center"/>
          </w:tcPr>
          <w:p>
            <w:pPr>
              <w:spacing w:line="360" w:lineRule="auto"/>
              <w:jc w:val="center"/>
              <w:rPr>
                <w:rFonts w:ascii="宋体" w:hAnsi="宋体"/>
                <w:szCs w:val="21"/>
              </w:rPr>
            </w:pPr>
            <w:r>
              <w:rPr>
                <w:rFonts w:hint="eastAsia" w:ascii="宋体" w:hAnsi="宋体"/>
                <w:szCs w:val="21"/>
              </w:rPr>
              <w:t>用  途</w:t>
            </w:r>
          </w:p>
        </w:tc>
        <w:tc>
          <w:tcPr>
            <w:tcW w:w="842" w:type="dxa"/>
            <w:vAlign w:val="center"/>
          </w:tcPr>
          <w:p>
            <w:pPr>
              <w:spacing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pPr>
              <w:spacing w:line="360" w:lineRule="auto"/>
              <w:jc w:val="center"/>
              <w:rPr>
                <w:rFonts w:ascii="宋体" w:hAnsi="宋体"/>
                <w:szCs w:val="21"/>
              </w:rPr>
            </w:pPr>
          </w:p>
        </w:tc>
        <w:tc>
          <w:tcPr>
            <w:tcW w:w="1052" w:type="dxa"/>
            <w:vAlign w:val="center"/>
          </w:tcPr>
          <w:p>
            <w:pPr>
              <w:spacing w:line="360" w:lineRule="auto"/>
              <w:jc w:val="center"/>
              <w:rPr>
                <w:rFonts w:ascii="宋体" w:hAnsi="宋体"/>
                <w:szCs w:val="21"/>
              </w:rPr>
            </w:pPr>
          </w:p>
        </w:tc>
        <w:tc>
          <w:tcPr>
            <w:tcW w:w="667" w:type="dxa"/>
            <w:vAlign w:val="center"/>
          </w:tcPr>
          <w:p>
            <w:pPr>
              <w:spacing w:line="360" w:lineRule="auto"/>
              <w:jc w:val="center"/>
              <w:rPr>
                <w:rFonts w:ascii="宋体" w:hAnsi="宋体"/>
                <w:szCs w:val="21"/>
              </w:rPr>
            </w:pPr>
          </w:p>
        </w:tc>
        <w:tc>
          <w:tcPr>
            <w:tcW w:w="1010"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1" w:type="dxa"/>
            <w:vAlign w:val="center"/>
          </w:tcPr>
          <w:p>
            <w:pPr>
              <w:spacing w:line="360" w:lineRule="auto"/>
              <w:jc w:val="center"/>
              <w:rPr>
                <w:rFonts w:ascii="宋体" w:hAnsi="宋体"/>
                <w:szCs w:val="21"/>
              </w:rPr>
            </w:pPr>
          </w:p>
        </w:tc>
        <w:tc>
          <w:tcPr>
            <w:tcW w:w="1635" w:type="dxa"/>
            <w:vAlign w:val="center"/>
          </w:tcPr>
          <w:p>
            <w:pPr>
              <w:spacing w:line="360" w:lineRule="auto"/>
              <w:jc w:val="center"/>
              <w:rPr>
                <w:rFonts w:ascii="宋体" w:hAnsi="宋体"/>
                <w:szCs w:val="21"/>
              </w:rPr>
            </w:pPr>
          </w:p>
        </w:tc>
        <w:tc>
          <w:tcPr>
            <w:tcW w:w="84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pPr>
              <w:spacing w:line="360" w:lineRule="auto"/>
              <w:jc w:val="center"/>
              <w:rPr>
                <w:rFonts w:ascii="宋体" w:hAnsi="宋体"/>
                <w:szCs w:val="21"/>
              </w:rPr>
            </w:pPr>
          </w:p>
        </w:tc>
        <w:tc>
          <w:tcPr>
            <w:tcW w:w="1052" w:type="dxa"/>
            <w:vAlign w:val="center"/>
          </w:tcPr>
          <w:p>
            <w:pPr>
              <w:spacing w:line="360" w:lineRule="auto"/>
              <w:jc w:val="center"/>
              <w:rPr>
                <w:rFonts w:ascii="宋体" w:hAnsi="宋体"/>
                <w:szCs w:val="21"/>
              </w:rPr>
            </w:pPr>
          </w:p>
        </w:tc>
        <w:tc>
          <w:tcPr>
            <w:tcW w:w="667" w:type="dxa"/>
            <w:vAlign w:val="center"/>
          </w:tcPr>
          <w:p>
            <w:pPr>
              <w:spacing w:line="360" w:lineRule="auto"/>
              <w:jc w:val="center"/>
              <w:rPr>
                <w:rFonts w:ascii="宋体" w:hAnsi="宋体"/>
                <w:szCs w:val="21"/>
              </w:rPr>
            </w:pPr>
          </w:p>
        </w:tc>
        <w:tc>
          <w:tcPr>
            <w:tcW w:w="1010"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1" w:type="dxa"/>
            <w:vAlign w:val="center"/>
          </w:tcPr>
          <w:p>
            <w:pPr>
              <w:spacing w:line="360" w:lineRule="auto"/>
              <w:jc w:val="center"/>
              <w:rPr>
                <w:rFonts w:ascii="宋体" w:hAnsi="宋体"/>
                <w:szCs w:val="21"/>
              </w:rPr>
            </w:pPr>
          </w:p>
        </w:tc>
        <w:tc>
          <w:tcPr>
            <w:tcW w:w="1635" w:type="dxa"/>
            <w:vAlign w:val="center"/>
          </w:tcPr>
          <w:p>
            <w:pPr>
              <w:spacing w:line="360" w:lineRule="auto"/>
              <w:jc w:val="center"/>
              <w:rPr>
                <w:rFonts w:ascii="宋体" w:hAnsi="宋体"/>
                <w:szCs w:val="21"/>
              </w:rPr>
            </w:pPr>
          </w:p>
        </w:tc>
        <w:tc>
          <w:tcPr>
            <w:tcW w:w="84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pPr>
              <w:spacing w:line="360" w:lineRule="auto"/>
              <w:jc w:val="center"/>
              <w:rPr>
                <w:rFonts w:ascii="宋体" w:hAnsi="宋体"/>
                <w:szCs w:val="21"/>
              </w:rPr>
            </w:pPr>
          </w:p>
        </w:tc>
        <w:tc>
          <w:tcPr>
            <w:tcW w:w="1052" w:type="dxa"/>
            <w:vAlign w:val="center"/>
          </w:tcPr>
          <w:p>
            <w:pPr>
              <w:spacing w:line="360" w:lineRule="auto"/>
              <w:jc w:val="center"/>
              <w:rPr>
                <w:rFonts w:ascii="宋体" w:hAnsi="宋体"/>
                <w:szCs w:val="21"/>
              </w:rPr>
            </w:pPr>
          </w:p>
        </w:tc>
        <w:tc>
          <w:tcPr>
            <w:tcW w:w="667" w:type="dxa"/>
            <w:vAlign w:val="center"/>
          </w:tcPr>
          <w:p>
            <w:pPr>
              <w:spacing w:line="360" w:lineRule="auto"/>
              <w:jc w:val="center"/>
              <w:rPr>
                <w:rFonts w:ascii="宋体" w:hAnsi="宋体"/>
                <w:szCs w:val="21"/>
              </w:rPr>
            </w:pPr>
          </w:p>
        </w:tc>
        <w:tc>
          <w:tcPr>
            <w:tcW w:w="1010"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1" w:type="dxa"/>
            <w:vAlign w:val="center"/>
          </w:tcPr>
          <w:p>
            <w:pPr>
              <w:spacing w:line="360" w:lineRule="auto"/>
              <w:jc w:val="center"/>
              <w:rPr>
                <w:rFonts w:ascii="宋体" w:hAnsi="宋体"/>
                <w:szCs w:val="21"/>
              </w:rPr>
            </w:pPr>
          </w:p>
        </w:tc>
        <w:tc>
          <w:tcPr>
            <w:tcW w:w="1635" w:type="dxa"/>
            <w:vAlign w:val="center"/>
          </w:tcPr>
          <w:p>
            <w:pPr>
              <w:spacing w:line="360" w:lineRule="auto"/>
              <w:jc w:val="center"/>
              <w:rPr>
                <w:rFonts w:ascii="宋体" w:hAnsi="宋体"/>
                <w:szCs w:val="21"/>
              </w:rPr>
            </w:pPr>
          </w:p>
        </w:tc>
        <w:tc>
          <w:tcPr>
            <w:tcW w:w="84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pPr>
              <w:spacing w:line="360" w:lineRule="auto"/>
              <w:jc w:val="center"/>
              <w:rPr>
                <w:rFonts w:ascii="宋体" w:hAnsi="宋体"/>
                <w:szCs w:val="21"/>
              </w:rPr>
            </w:pPr>
          </w:p>
        </w:tc>
        <w:tc>
          <w:tcPr>
            <w:tcW w:w="1052" w:type="dxa"/>
            <w:vAlign w:val="center"/>
          </w:tcPr>
          <w:p>
            <w:pPr>
              <w:spacing w:line="360" w:lineRule="auto"/>
              <w:jc w:val="center"/>
              <w:rPr>
                <w:rFonts w:ascii="宋体" w:hAnsi="宋体"/>
                <w:szCs w:val="21"/>
              </w:rPr>
            </w:pPr>
          </w:p>
        </w:tc>
        <w:tc>
          <w:tcPr>
            <w:tcW w:w="667" w:type="dxa"/>
            <w:vAlign w:val="center"/>
          </w:tcPr>
          <w:p>
            <w:pPr>
              <w:spacing w:line="360" w:lineRule="auto"/>
              <w:jc w:val="center"/>
              <w:rPr>
                <w:rFonts w:ascii="宋体" w:hAnsi="宋体"/>
                <w:szCs w:val="21"/>
              </w:rPr>
            </w:pPr>
          </w:p>
        </w:tc>
        <w:tc>
          <w:tcPr>
            <w:tcW w:w="1010"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1" w:type="dxa"/>
            <w:vAlign w:val="center"/>
          </w:tcPr>
          <w:p>
            <w:pPr>
              <w:spacing w:line="360" w:lineRule="auto"/>
              <w:jc w:val="center"/>
              <w:rPr>
                <w:rFonts w:ascii="宋体" w:hAnsi="宋体"/>
                <w:szCs w:val="21"/>
              </w:rPr>
            </w:pPr>
          </w:p>
        </w:tc>
        <w:tc>
          <w:tcPr>
            <w:tcW w:w="1635" w:type="dxa"/>
            <w:vAlign w:val="center"/>
          </w:tcPr>
          <w:p>
            <w:pPr>
              <w:spacing w:line="360" w:lineRule="auto"/>
              <w:jc w:val="center"/>
              <w:rPr>
                <w:rFonts w:ascii="宋体" w:hAnsi="宋体"/>
                <w:szCs w:val="21"/>
              </w:rPr>
            </w:pPr>
          </w:p>
        </w:tc>
        <w:tc>
          <w:tcPr>
            <w:tcW w:w="84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pPr>
              <w:spacing w:line="360" w:lineRule="auto"/>
              <w:jc w:val="center"/>
              <w:rPr>
                <w:rFonts w:ascii="宋体" w:hAnsi="宋体"/>
                <w:szCs w:val="21"/>
              </w:rPr>
            </w:pPr>
          </w:p>
        </w:tc>
        <w:tc>
          <w:tcPr>
            <w:tcW w:w="1052" w:type="dxa"/>
            <w:vAlign w:val="center"/>
          </w:tcPr>
          <w:p>
            <w:pPr>
              <w:spacing w:line="360" w:lineRule="auto"/>
              <w:jc w:val="center"/>
              <w:rPr>
                <w:rFonts w:ascii="宋体" w:hAnsi="宋体"/>
                <w:szCs w:val="21"/>
              </w:rPr>
            </w:pPr>
          </w:p>
        </w:tc>
        <w:tc>
          <w:tcPr>
            <w:tcW w:w="667" w:type="dxa"/>
            <w:vAlign w:val="center"/>
          </w:tcPr>
          <w:p>
            <w:pPr>
              <w:spacing w:line="360" w:lineRule="auto"/>
              <w:jc w:val="center"/>
              <w:rPr>
                <w:rFonts w:ascii="宋体" w:hAnsi="宋体"/>
                <w:szCs w:val="21"/>
              </w:rPr>
            </w:pPr>
          </w:p>
        </w:tc>
        <w:tc>
          <w:tcPr>
            <w:tcW w:w="1010"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1" w:type="dxa"/>
            <w:vAlign w:val="center"/>
          </w:tcPr>
          <w:p>
            <w:pPr>
              <w:spacing w:line="360" w:lineRule="auto"/>
              <w:jc w:val="center"/>
              <w:rPr>
                <w:rFonts w:ascii="宋体" w:hAnsi="宋体"/>
                <w:szCs w:val="21"/>
              </w:rPr>
            </w:pPr>
          </w:p>
        </w:tc>
        <w:tc>
          <w:tcPr>
            <w:tcW w:w="1635" w:type="dxa"/>
            <w:vAlign w:val="center"/>
          </w:tcPr>
          <w:p>
            <w:pPr>
              <w:spacing w:line="360" w:lineRule="auto"/>
              <w:jc w:val="center"/>
              <w:rPr>
                <w:rFonts w:ascii="宋体" w:hAnsi="宋体"/>
                <w:szCs w:val="21"/>
              </w:rPr>
            </w:pPr>
          </w:p>
        </w:tc>
        <w:tc>
          <w:tcPr>
            <w:tcW w:w="84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pPr>
              <w:spacing w:line="360" w:lineRule="auto"/>
              <w:jc w:val="center"/>
              <w:rPr>
                <w:rFonts w:ascii="宋体" w:hAnsi="宋体"/>
                <w:szCs w:val="21"/>
              </w:rPr>
            </w:pPr>
          </w:p>
        </w:tc>
        <w:tc>
          <w:tcPr>
            <w:tcW w:w="1052" w:type="dxa"/>
            <w:vAlign w:val="center"/>
          </w:tcPr>
          <w:p>
            <w:pPr>
              <w:spacing w:line="360" w:lineRule="auto"/>
              <w:jc w:val="center"/>
              <w:rPr>
                <w:rFonts w:ascii="宋体" w:hAnsi="宋体"/>
                <w:szCs w:val="21"/>
              </w:rPr>
            </w:pPr>
          </w:p>
        </w:tc>
        <w:tc>
          <w:tcPr>
            <w:tcW w:w="667" w:type="dxa"/>
            <w:vAlign w:val="center"/>
          </w:tcPr>
          <w:p>
            <w:pPr>
              <w:spacing w:line="360" w:lineRule="auto"/>
              <w:jc w:val="center"/>
              <w:rPr>
                <w:rFonts w:ascii="宋体" w:hAnsi="宋体"/>
                <w:szCs w:val="21"/>
              </w:rPr>
            </w:pPr>
          </w:p>
        </w:tc>
        <w:tc>
          <w:tcPr>
            <w:tcW w:w="1010"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1" w:type="dxa"/>
            <w:vAlign w:val="center"/>
          </w:tcPr>
          <w:p>
            <w:pPr>
              <w:spacing w:line="360" w:lineRule="auto"/>
              <w:jc w:val="center"/>
              <w:rPr>
                <w:rFonts w:ascii="宋体" w:hAnsi="宋体"/>
                <w:szCs w:val="21"/>
              </w:rPr>
            </w:pPr>
          </w:p>
        </w:tc>
        <w:tc>
          <w:tcPr>
            <w:tcW w:w="1635" w:type="dxa"/>
            <w:vAlign w:val="center"/>
          </w:tcPr>
          <w:p>
            <w:pPr>
              <w:spacing w:line="360" w:lineRule="auto"/>
              <w:jc w:val="center"/>
              <w:rPr>
                <w:rFonts w:ascii="宋体" w:hAnsi="宋体"/>
                <w:szCs w:val="21"/>
              </w:rPr>
            </w:pPr>
          </w:p>
        </w:tc>
        <w:tc>
          <w:tcPr>
            <w:tcW w:w="84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pPr>
              <w:spacing w:line="360" w:lineRule="auto"/>
              <w:jc w:val="center"/>
              <w:rPr>
                <w:rFonts w:ascii="宋体" w:hAnsi="宋体"/>
                <w:szCs w:val="21"/>
              </w:rPr>
            </w:pPr>
          </w:p>
        </w:tc>
        <w:tc>
          <w:tcPr>
            <w:tcW w:w="1052" w:type="dxa"/>
            <w:vAlign w:val="center"/>
          </w:tcPr>
          <w:p>
            <w:pPr>
              <w:spacing w:line="360" w:lineRule="auto"/>
              <w:jc w:val="center"/>
              <w:rPr>
                <w:rFonts w:ascii="宋体" w:hAnsi="宋体"/>
                <w:szCs w:val="21"/>
              </w:rPr>
            </w:pPr>
          </w:p>
        </w:tc>
        <w:tc>
          <w:tcPr>
            <w:tcW w:w="667" w:type="dxa"/>
            <w:vAlign w:val="center"/>
          </w:tcPr>
          <w:p>
            <w:pPr>
              <w:spacing w:line="360" w:lineRule="auto"/>
              <w:jc w:val="center"/>
              <w:rPr>
                <w:rFonts w:ascii="宋体" w:hAnsi="宋体"/>
                <w:szCs w:val="21"/>
              </w:rPr>
            </w:pPr>
          </w:p>
        </w:tc>
        <w:tc>
          <w:tcPr>
            <w:tcW w:w="1010"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1" w:type="dxa"/>
            <w:vAlign w:val="center"/>
          </w:tcPr>
          <w:p>
            <w:pPr>
              <w:spacing w:line="360" w:lineRule="auto"/>
              <w:jc w:val="center"/>
              <w:rPr>
                <w:rFonts w:ascii="宋体" w:hAnsi="宋体"/>
                <w:szCs w:val="21"/>
              </w:rPr>
            </w:pPr>
          </w:p>
        </w:tc>
        <w:tc>
          <w:tcPr>
            <w:tcW w:w="1635" w:type="dxa"/>
            <w:vAlign w:val="center"/>
          </w:tcPr>
          <w:p>
            <w:pPr>
              <w:spacing w:line="360" w:lineRule="auto"/>
              <w:jc w:val="center"/>
              <w:rPr>
                <w:rFonts w:ascii="宋体" w:hAnsi="宋体"/>
                <w:szCs w:val="21"/>
              </w:rPr>
            </w:pPr>
          </w:p>
        </w:tc>
        <w:tc>
          <w:tcPr>
            <w:tcW w:w="84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pPr>
              <w:spacing w:line="360" w:lineRule="auto"/>
              <w:jc w:val="center"/>
              <w:rPr>
                <w:rFonts w:ascii="宋体" w:hAnsi="宋体"/>
                <w:szCs w:val="21"/>
              </w:rPr>
            </w:pPr>
          </w:p>
        </w:tc>
        <w:tc>
          <w:tcPr>
            <w:tcW w:w="1052" w:type="dxa"/>
            <w:vAlign w:val="center"/>
          </w:tcPr>
          <w:p>
            <w:pPr>
              <w:spacing w:line="360" w:lineRule="auto"/>
              <w:jc w:val="center"/>
              <w:rPr>
                <w:rFonts w:ascii="宋体" w:hAnsi="宋体"/>
                <w:szCs w:val="21"/>
              </w:rPr>
            </w:pPr>
          </w:p>
        </w:tc>
        <w:tc>
          <w:tcPr>
            <w:tcW w:w="667" w:type="dxa"/>
            <w:vAlign w:val="center"/>
          </w:tcPr>
          <w:p>
            <w:pPr>
              <w:spacing w:line="360" w:lineRule="auto"/>
              <w:jc w:val="center"/>
              <w:rPr>
                <w:rFonts w:ascii="宋体" w:hAnsi="宋体"/>
                <w:szCs w:val="21"/>
              </w:rPr>
            </w:pPr>
          </w:p>
        </w:tc>
        <w:tc>
          <w:tcPr>
            <w:tcW w:w="1010"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1" w:type="dxa"/>
            <w:vAlign w:val="center"/>
          </w:tcPr>
          <w:p>
            <w:pPr>
              <w:spacing w:line="360" w:lineRule="auto"/>
              <w:jc w:val="center"/>
              <w:rPr>
                <w:rFonts w:ascii="宋体" w:hAnsi="宋体"/>
                <w:szCs w:val="21"/>
              </w:rPr>
            </w:pPr>
          </w:p>
        </w:tc>
        <w:tc>
          <w:tcPr>
            <w:tcW w:w="1635" w:type="dxa"/>
            <w:vAlign w:val="center"/>
          </w:tcPr>
          <w:p>
            <w:pPr>
              <w:spacing w:line="360" w:lineRule="auto"/>
              <w:jc w:val="center"/>
              <w:rPr>
                <w:rFonts w:ascii="宋体" w:hAnsi="宋体"/>
                <w:szCs w:val="21"/>
              </w:rPr>
            </w:pPr>
          </w:p>
        </w:tc>
        <w:tc>
          <w:tcPr>
            <w:tcW w:w="84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pPr>
              <w:spacing w:line="360" w:lineRule="auto"/>
              <w:jc w:val="center"/>
              <w:rPr>
                <w:rFonts w:ascii="宋体" w:hAnsi="宋体"/>
                <w:szCs w:val="21"/>
              </w:rPr>
            </w:pPr>
          </w:p>
        </w:tc>
        <w:tc>
          <w:tcPr>
            <w:tcW w:w="1052" w:type="dxa"/>
            <w:vAlign w:val="center"/>
          </w:tcPr>
          <w:p>
            <w:pPr>
              <w:spacing w:line="360" w:lineRule="auto"/>
              <w:jc w:val="center"/>
              <w:rPr>
                <w:rFonts w:ascii="宋体" w:hAnsi="宋体"/>
                <w:szCs w:val="21"/>
              </w:rPr>
            </w:pPr>
          </w:p>
        </w:tc>
        <w:tc>
          <w:tcPr>
            <w:tcW w:w="667" w:type="dxa"/>
            <w:vAlign w:val="center"/>
          </w:tcPr>
          <w:p>
            <w:pPr>
              <w:spacing w:line="360" w:lineRule="auto"/>
              <w:jc w:val="center"/>
              <w:rPr>
                <w:rFonts w:ascii="宋体" w:hAnsi="宋体"/>
                <w:szCs w:val="21"/>
              </w:rPr>
            </w:pPr>
          </w:p>
        </w:tc>
        <w:tc>
          <w:tcPr>
            <w:tcW w:w="1010"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1" w:type="dxa"/>
            <w:vAlign w:val="center"/>
          </w:tcPr>
          <w:p>
            <w:pPr>
              <w:spacing w:line="360" w:lineRule="auto"/>
              <w:jc w:val="center"/>
              <w:rPr>
                <w:rFonts w:ascii="宋体" w:hAnsi="宋体"/>
                <w:szCs w:val="21"/>
              </w:rPr>
            </w:pPr>
          </w:p>
        </w:tc>
        <w:tc>
          <w:tcPr>
            <w:tcW w:w="1635" w:type="dxa"/>
            <w:vAlign w:val="center"/>
          </w:tcPr>
          <w:p>
            <w:pPr>
              <w:spacing w:line="360" w:lineRule="auto"/>
              <w:jc w:val="center"/>
              <w:rPr>
                <w:rFonts w:ascii="宋体" w:hAnsi="宋体"/>
                <w:szCs w:val="21"/>
              </w:rPr>
            </w:pPr>
          </w:p>
        </w:tc>
        <w:tc>
          <w:tcPr>
            <w:tcW w:w="84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pPr>
              <w:spacing w:line="360" w:lineRule="auto"/>
              <w:jc w:val="center"/>
              <w:rPr>
                <w:rFonts w:ascii="宋体" w:hAnsi="宋体"/>
                <w:szCs w:val="21"/>
              </w:rPr>
            </w:pPr>
          </w:p>
        </w:tc>
        <w:tc>
          <w:tcPr>
            <w:tcW w:w="1052" w:type="dxa"/>
            <w:vAlign w:val="center"/>
          </w:tcPr>
          <w:p>
            <w:pPr>
              <w:spacing w:line="360" w:lineRule="auto"/>
              <w:jc w:val="center"/>
              <w:rPr>
                <w:rFonts w:ascii="宋体" w:hAnsi="宋体"/>
                <w:szCs w:val="21"/>
              </w:rPr>
            </w:pPr>
          </w:p>
        </w:tc>
        <w:tc>
          <w:tcPr>
            <w:tcW w:w="667" w:type="dxa"/>
            <w:vAlign w:val="center"/>
          </w:tcPr>
          <w:p>
            <w:pPr>
              <w:spacing w:line="360" w:lineRule="auto"/>
              <w:jc w:val="center"/>
              <w:rPr>
                <w:rFonts w:ascii="宋体" w:hAnsi="宋体"/>
                <w:szCs w:val="21"/>
              </w:rPr>
            </w:pPr>
          </w:p>
        </w:tc>
        <w:tc>
          <w:tcPr>
            <w:tcW w:w="1010"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1" w:type="dxa"/>
            <w:vAlign w:val="center"/>
          </w:tcPr>
          <w:p>
            <w:pPr>
              <w:spacing w:line="360" w:lineRule="auto"/>
              <w:jc w:val="center"/>
              <w:rPr>
                <w:rFonts w:ascii="宋体" w:hAnsi="宋体"/>
                <w:szCs w:val="21"/>
              </w:rPr>
            </w:pPr>
          </w:p>
        </w:tc>
        <w:tc>
          <w:tcPr>
            <w:tcW w:w="1635" w:type="dxa"/>
            <w:vAlign w:val="center"/>
          </w:tcPr>
          <w:p>
            <w:pPr>
              <w:spacing w:line="360" w:lineRule="auto"/>
              <w:jc w:val="center"/>
              <w:rPr>
                <w:rFonts w:ascii="宋体" w:hAnsi="宋体"/>
                <w:szCs w:val="21"/>
              </w:rPr>
            </w:pPr>
          </w:p>
        </w:tc>
        <w:tc>
          <w:tcPr>
            <w:tcW w:w="84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pPr>
              <w:spacing w:line="360" w:lineRule="auto"/>
              <w:jc w:val="center"/>
              <w:rPr>
                <w:rFonts w:ascii="宋体" w:hAnsi="宋体"/>
                <w:szCs w:val="21"/>
              </w:rPr>
            </w:pPr>
          </w:p>
        </w:tc>
        <w:tc>
          <w:tcPr>
            <w:tcW w:w="1052" w:type="dxa"/>
            <w:vAlign w:val="center"/>
          </w:tcPr>
          <w:p>
            <w:pPr>
              <w:spacing w:line="360" w:lineRule="auto"/>
              <w:jc w:val="center"/>
              <w:rPr>
                <w:rFonts w:ascii="宋体" w:hAnsi="宋体"/>
                <w:szCs w:val="21"/>
              </w:rPr>
            </w:pPr>
          </w:p>
        </w:tc>
        <w:tc>
          <w:tcPr>
            <w:tcW w:w="667" w:type="dxa"/>
            <w:vAlign w:val="center"/>
          </w:tcPr>
          <w:p>
            <w:pPr>
              <w:spacing w:line="360" w:lineRule="auto"/>
              <w:jc w:val="center"/>
              <w:rPr>
                <w:rFonts w:ascii="宋体" w:hAnsi="宋体"/>
                <w:szCs w:val="21"/>
              </w:rPr>
            </w:pPr>
          </w:p>
        </w:tc>
        <w:tc>
          <w:tcPr>
            <w:tcW w:w="1010"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1" w:type="dxa"/>
            <w:vAlign w:val="center"/>
          </w:tcPr>
          <w:p>
            <w:pPr>
              <w:spacing w:line="360" w:lineRule="auto"/>
              <w:jc w:val="center"/>
              <w:rPr>
                <w:rFonts w:ascii="宋体" w:hAnsi="宋体"/>
                <w:szCs w:val="21"/>
              </w:rPr>
            </w:pPr>
          </w:p>
        </w:tc>
        <w:tc>
          <w:tcPr>
            <w:tcW w:w="1635" w:type="dxa"/>
            <w:vAlign w:val="center"/>
          </w:tcPr>
          <w:p>
            <w:pPr>
              <w:spacing w:line="360" w:lineRule="auto"/>
              <w:jc w:val="center"/>
              <w:rPr>
                <w:rFonts w:ascii="宋体" w:hAnsi="宋体"/>
                <w:szCs w:val="21"/>
              </w:rPr>
            </w:pPr>
          </w:p>
        </w:tc>
        <w:tc>
          <w:tcPr>
            <w:tcW w:w="84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pPr>
              <w:spacing w:line="360" w:lineRule="auto"/>
              <w:jc w:val="center"/>
              <w:rPr>
                <w:rFonts w:ascii="宋体" w:hAnsi="宋体"/>
                <w:szCs w:val="21"/>
              </w:rPr>
            </w:pPr>
          </w:p>
        </w:tc>
        <w:tc>
          <w:tcPr>
            <w:tcW w:w="1052" w:type="dxa"/>
            <w:vAlign w:val="center"/>
          </w:tcPr>
          <w:p>
            <w:pPr>
              <w:spacing w:line="360" w:lineRule="auto"/>
              <w:jc w:val="center"/>
              <w:rPr>
                <w:rFonts w:ascii="宋体" w:hAnsi="宋体"/>
                <w:szCs w:val="21"/>
              </w:rPr>
            </w:pPr>
          </w:p>
        </w:tc>
        <w:tc>
          <w:tcPr>
            <w:tcW w:w="667" w:type="dxa"/>
            <w:vAlign w:val="center"/>
          </w:tcPr>
          <w:p>
            <w:pPr>
              <w:spacing w:line="360" w:lineRule="auto"/>
              <w:jc w:val="center"/>
              <w:rPr>
                <w:rFonts w:ascii="宋体" w:hAnsi="宋体"/>
                <w:szCs w:val="21"/>
              </w:rPr>
            </w:pPr>
          </w:p>
        </w:tc>
        <w:tc>
          <w:tcPr>
            <w:tcW w:w="1010"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1" w:type="dxa"/>
            <w:vAlign w:val="center"/>
          </w:tcPr>
          <w:p>
            <w:pPr>
              <w:spacing w:line="360" w:lineRule="auto"/>
              <w:jc w:val="center"/>
              <w:rPr>
                <w:rFonts w:ascii="宋体" w:hAnsi="宋体"/>
                <w:szCs w:val="21"/>
              </w:rPr>
            </w:pPr>
          </w:p>
        </w:tc>
        <w:tc>
          <w:tcPr>
            <w:tcW w:w="1635" w:type="dxa"/>
            <w:vAlign w:val="center"/>
          </w:tcPr>
          <w:p>
            <w:pPr>
              <w:spacing w:line="360" w:lineRule="auto"/>
              <w:jc w:val="center"/>
              <w:rPr>
                <w:rFonts w:ascii="宋体" w:hAnsi="宋体"/>
                <w:szCs w:val="21"/>
              </w:rPr>
            </w:pPr>
          </w:p>
        </w:tc>
        <w:tc>
          <w:tcPr>
            <w:tcW w:w="84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pPr>
              <w:spacing w:line="360" w:lineRule="auto"/>
              <w:jc w:val="center"/>
              <w:rPr>
                <w:rFonts w:ascii="宋体" w:hAnsi="宋体"/>
                <w:szCs w:val="21"/>
              </w:rPr>
            </w:pPr>
          </w:p>
        </w:tc>
        <w:tc>
          <w:tcPr>
            <w:tcW w:w="1052" w:type="dxa"/>
            <w:vAlign w:val="center"/>
          </w:tcPr>
          <w:p>
            <w:pPr>
              <w:spacing w:line="360" w:lineRule="auto"/>
              <w:jc w:val="center"/>
              <w:rPr>
                <w:rFonts w:ascii="宋体" w:hAnsi="宋体"/>
                <w:szCs w:val="21"/>
              </w:rPr>
            </w:pPr>
          </w:p>
        </w:tc>
        <w:tc>
          <w:tcPr>
            <w:tcW w:w="667" w:type="dxa"/>
            <w:vAlign w:val="center"/>
          </w:tcPr>
          <w:p>
            <w:pPr>
              <w:spacing w:line="360" w:lineRule="auto"/>
              <w:jc w:val="center"/>
              <w:rPr>
                <w:rFonts w:ascii="宋体" w:hAnsi="宋体"/>
                <w:szCs w:val="21"/>
              </w:rPr>
            </w:pPr>
          </w:p>
        </w:tc>
        <w:tc>
          <w:tcPr>
            <w:tcW w:w="1010"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1" w:type="dxa"/>
            <w:vAlign w:val="center"/>
          </w:tcPr>
          <w:p>
            <w:pPr>
              <w:spacing w:line="360" w:lineRule="auto"/>
              <w:jc w:val="center"/>
              <w:rPr>
                <w:rFonts w:ascii="宋体" w:hAnsi="宋体"/>
                <w:szCs w:val="21"/>
              </w:rPr>
            </w:pPr>
          </w:p>
        </w:tc>
        <w:tc>
          <w:tcPr>
            <w:tcW w:w="1635" w:type="dxa"/>
            <w:vAlign w:val="center"/>
          </w:tcPr>
          <w:p>
            <w:pPr>
              <w:spacing w:line="360" w:lineRule="auto"/>
              <w:jc w:val="center"/>
              <w:rPr>
                <w:rFonts w:ascii="宋体" w:hAnsi="宋体"/>
                <w:szCs w:val="21"/>
              </w:rPr>
            </w:pPr>
          </w:p>
        </w:tc>
        <w:tc>
          <w:tcPr>
            <w:tcW w:w="84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pPr>
              <w:spacing w:line="360" w:lineRule="auto"/>
              <w:jc w:val="center"/>
              <w:rPr>
                <w:rFonts w:ascii="宋体" w:hAnsi="宋体"/>
                <w:szCs w:val="21"/>
              </w:rPr>
            </w:pPr>
          </w:p>
        </w:tc>
        <w:tc>
          <w:tcPr>
            <w:tcW w:w="1052" w:type="dxa"/>
            <w:vAlign w:val="center"/>
          </w:tcPr>
          <w:p>
            <w:pPr>
              <w:spacing w:line="360" w:lineRule="auto"/>
              <w:jc w:val="center"/>
              <w:rPr>
                <w:rFonts w:ascii="宋体" w:hAnsi="宋体"/>
                <w:szCs w:val="21"/>
              </w:rPr>
            </w:pPr>
          </w:p>
        </w:tc>
        <w:tc>
          <w:tcPr>
            <w:tcW w:w="667" w:type="dxa"/>
            <w:vAlign w:val="center"/>
          </w:tcPr>
          <w:p>
            <w:pPr>
              <w:spacing w:line="360" w:lineRule="auto"/>
              <w:jc w:val="center"/>
              <w:rPr>
                <w:rFonts w:ascii="宋体" w:hAnsi="宋体"/>
                <w:szCs w:val="21"/>
              </w:rPr>
            </w:pPr>
          </w:p>
        </w:tc>
        <w:tc>
          <w:tcPr>
            <w:tcW w:w="1010"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1" w:type="dxa"/>
            <w:vAlign w:val="center"/>
          </w:tcPr>
          <w:p>
            <w:pPr>
              <w:spacing w:line="360" w:lineRule="auto"/>
              <w:jc w:val="center"/>
              <w:rPr>
                <w:rFonts w:ascii="宋体" w:hAnsi="宋体"/>
                <w:szCs w:val="21"/>
              </w:rPr>
            </w:pPr>
          </w:p>
        </w:tc>
        <w:tc>
          <w:tcPr>
            <w:tcW w:w="1635" w:type="dxa"/>
            <w:vAlign w:val="center"/>
          </w:tcPr>
          <w:p>
            <w:pPr>
              <w:spacing w:line="360" w:lineRule="auto"/>
              <w:jc w:val="center"/>
              <w:rPr>
                <w:rFonts w:ascii="宋体" w:hAnsi="宋体"/>
                <w:szCs w:val="21"/>
              </w:rPr>
            </w:pPr>
          </w:p>
        </w:tc>
        <w:tc>
          <w:tcPr>
            <w:tcW w:w="84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pPr>
              <w:spacing w:line="360" w:lineRule="auto"/>
              <w:jc w:val="center"/>
              <w:rPr>
                <w:rFonts w:ascii="宋体" w:hAnsi="宋体"/>
                <w:szCs w:val="21"/>
              </w:rPr>
            </w:pPr>
          </w:p>
        </w:tc>
        <w:tc>
          <w:tcPr>
            <w:tcW w:w="1052" w:type="dxa"/>
            <w:vAlign w:val="center"/>
          </w:tcPr>
          <w:p>
            <w:pPr>
              <w:spacing w:line="360" w:lineRule="auto"/>
              <w:jc w:val="center"/>
              <w:rPr>
                <w:rFonts w:ascii="宋体" w:hAnsi="宋体"/>
                <w:szCs w:val="21"/>
              </w:rPr>
            </w:pPr>
          </w:p>
        </w:tc>
        <w:tc>
          <w:tcPr>
            <w:tcW w:w="667" w:type="dxa"/>
            <w:vAlign w:val="center"/>
          </w:tcPr>
          <w:p>
            <w:pPr>
              <w:spacing w:line="360" w:lineRule="auto"/>
              <w:jc w:val="center"/>
              <w:rPr>
                <w:rFonts w:ascii="宋体" w:hAnsi="宋体"/>
                <w:szCs w:val="21"/>
              </w:rPr>
            </w:pPr>
          </w:p>
        </w:tc>
        <w:tc>
          <w:tcPr>
            <w:tcW w:w="1010"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1" w:type="dxa"/>
            <w:vAlign w:val="center"/>
          </w:tcPr>
          <w:p>
            <w:pPr>
              <w:spacing w:line="360" w:lineRule="auto"/>
              <w:jc w:val="center"/>
              <w:rPr>
                <w:rFonts w:ascii="宋体" w:hAnsi="宋体"/>
                <w:szCs w:val="21"/>
              </w:rPr>
            </w:pPr>
          </w:p>
        </w:tc>
        <w:tc>
          <w:tcPr>
            <w:tcW w:w="1635" w:type="dxa"/>
            <w:vAlign w:val="center"/>
          </w:tcPr>
          <w:p>
            <w:pPr>
              <w:spacing w:line="360" w:lineRule="auto"/>
              <w:jc w:val="center"/>
              <w:rPr>
                <w:rFonts w:ascii="宋体" w:hAnsi="宋体"/>
                <w:szCs w:val="21"/>
              </w:rPr>
            </w:pPr>
          </w:p>
        </w:tc>
        <w:tc>
          <w:tcPr>
            <w:tcW w:w="84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pPr>
              <w:spacing w:line="360" w:lineRule="auto"/>
              <w:jc w:val="center"/>
              <w:rPr>
                <w:rFonts w:ascii="宋体" w:hAnsi="宋体"/>
                <w:szCs w:val="21"/>
              </w:rPr>
            </w:pPr>
          </w:p>
        </w:tc>
        <w:tc>
          <w:tcPr>
            <w:tcW w:w="1052" w:type="dxa"/>
            <w:vAlign w:val="center"/>
          </w:tcPr>
          <w:p>
            <w:pPr>
              <w:spacing w:line="360" w:lineRule="auto"/>
              <w:jc w:val="center"/>
              <w:rPr>
                <w:rFonts w:ascii="宋体" w:hAnsi="宋体"/>
                <w:szCs w:val="21"/>
              </w:rPr>
            </w:pPr>
          </w:p>
        </w:tc>
        <w:tc>
          <w:tcPr>
            <w:tcW w:w="667" w:type="dxa"/>
            <w:vAlign w:val="center"/>
          </w:tcPr>
          <w:p>
            <w:pPr>
              <w:spacing w:line="360" w:lineRule="auto"/>
              <w:jc w:val="center"/>
              <w:rPr>
                <w:rFonts w:ascii="宋体" w:hAnsi="宋体"/>
                <w:szCs w:val="21"/>
              </w:rPr>
            </w:pPr>
          </w:p>
        </w:tc>
        <w:tc>
          <w:tcPr>
            <w:tcW w:w="1010"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1" w:type="dxa"/>
            <w:vAlign w:val="center"/>
          </w:tcPr>
          <w:p>
            <w:pPr>
              <w:spacing w:line="360" w:lineRule="auto"/>
              <w:jc w:val="center"/>
              <w:rPr>
                <w:rFonts w:ascii="宋体" w:hAnsi="宋体"/>
                <w:szCs w:val="21"/>
              </w:rPr>
            </w:pPr>
          </w:p>
        </w:tc>
        <w:tc>
          <w:tcPr>
            <w:tcW w:w="1635" w:type="dxa"/>
            <w:vAlign w:val="center"/>
          </w:tcPr>
          <w:p>
            <w:pPr>
              <w:spacing w:line="360" w:lineRule="auto"/>
              <w:jc w:val="center"/>
              <w:rPr>
                <w:rFonts w:ascii="宋体" w:hAnsi="宋体"/>
                <w:szCs w:val="21"/>
              </w:rPr>
            </w:pPr>
          </w:p>
        </w:tc>
        <w:tc>
          <w:tcPr>
            <w:tcW w:w="84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pPr>
              <w:spacing w:line="360" w:lineRule="auto"/>
              <w:jc w:val="center"/>
              <w:rPr>
                <w:rFonts w:ascii="宋体" w:hAnsi="宋体"/>
                <w:szCs w:val="21"/>
              </w:rPr>
            </w:pPr>
          </w:p>
        </w:tc>
        <w:tc>
          <w:tcPr>
            <w:tcW w:w="1052" w:type="dxa"/>
            <w:vAlign w:val="center"/>
          </w:tcPr>
          <w:p>
            <w:pPr>
              <w:spacing w:line="360" w:lineRule="auto"/>
              <w:jc w:val="center"/>
              <w:rPr>
                <w:rFonts w:ascii="宋体" w:hAnsi="宋体"/>
                <w:szCs w:val="21"/>
              </w:rPr>
            </w:pPr>
          </w:p>
        </w:tc>
        <w:tc>
          <w:tcPr>
            <w:tcW w:w="667" w:type="dxa"/>
            <w:vAlign w:val="center"/>
          </w:tcPr>
          <w:p>
            <w:pPr>
              <w:spacing w:line="360" w:lineRule="auto"/>
              <w:jc w:val="center"/>
              <w:rPr>
                <w:rFonts w:ascii="宋体" w:hAnsi="宋体"/>
                <w:szCs w:val="21"/>
              </w:rPr>
            </w:pPr>
          </w:p>
        </w:tc>
        <w:tc>
          <w:tcPr>
            <w:tcW w:w="1010"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1" w:type="dxa"/>
            <w:vAlign w:val="center"/>
          </w:tcPr>
          <w:p>
            <w:pPr>
              <w:spacing w:line="360" w:lineRule="auto"/>
              <w:jc w:val="center"/>
              <w:rPr>
                <w:rFonts w:ascii="宋体" w:hAnsi="宋体"/>
                <w:szCs w:val="21"/>
              </w:rPr>
            </w:pPr>
          </w:p>
        </w:tc>
        <w:tc>
          <w:tcPr>
            <w:tcW w:w="1635" w:type="dxa"/>
            <w:vAlign w:val="center"/>
          </w:tcPr>
          <w:p>
            <w:pPr>
              <w:spacing w:line="360" w:lineRule="auto"/>
              <w:jc w:val="center"/>
              <w:rPr>
                <w:rFonts w:ascii="宋体" w:hAnsi="宋体"/>
                <w:szCs w:val="21"/>
              </w:rPr>
            </w:pPr>
          </w:p>
        </w:tc>
        <w:tc>
          <w:tcPr>
            <w:tcW w:w="84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pPr>
              <w:spacing w:line="360" w:lineRule="auto"/>
              <w:jc w:val="center"/>
              <w:rPr>
                <w:rFonts w:ascii="宋体" w:hAnsi="宋体"/>
                <w:szCs w:val="21"/>
              </w:rPr>
            </w:pPr>
          </w:p>
        </w:tc>
        <w:tc>
          <w:tcPr>
            <w:tcW w:w="1052" w:type="dxa"/>
            <w:vAlign w:val="center"/>
          </w:tcPr>
          <w:p>
            <w:pPr>
              <w:spacing w:line="360" w:lineRule="auto"/>
              <w:jc w:val="center"/>
              <w:rPr>
                <w:rFonts w:ascii="宋体" w:hAnsi="宋体"/>
                <w:szCs w:val="21"/>
              </w:rPr>
            </w:pPr>
          </w:p>
        </w:tc>
        <w:tc>
          <w:tcPr>
            <w:tcW w:w="667" w:type="dxa"/>
            <w:vAlign w:val="center"/>
          </w:tcPr>
          <w:p>
            <w:pPr>
              <w:spacing w:line="360" w:lineRule="auto"/>
              <w:jc w:val="center"/>
              <w:rPr>
                <w:rFonts w:ascii="宋体" w:hAnsi="宋体"/>
                <w:szCs w:val="21"/>
              </w:rPr>
            </w:pPr>
          </w:p>
        </w:tc>
        <w:tc>
          <w:tcPr>
            <w:tcW w:w="1010"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1" w:type="dxa"/>
            <w:vAlign w:val="center"/>
          </w:tcPr>
          <w:p>
            <w:pPr>
              <w:spacing w:line="360" w:lineRule="auto"/>
              <w:jc w:val="center"/>
              <w:rPr>
                <w:rFonts w:ascii="宋体" w:hAnsi="宋体"/>
                <w:szCs w:val="21"/>
              </w:rPr>
            </w:pPr>
          </w:p>
        </w:tc>
        <w:tc>
          <w:tcPr>
            <w:tcW w:w="1635" w:type="dxa"/>
            <w:vAlign w:val="center"/>
          </w:tcPr>
          <w:p>
            <w:pPr>
              <w:spacing w:line="360" w:lineRule="auto"/>
              <w:jc w:val="center"/>
              <w:rPr>
                <w:rFonts w:ascii="宋体" w:hAnsi="宋体"/>
                <w:szCs w:val="21"/>
              </w:rPr>
            </w:pPr>
          </w:p>
        </w:tc>
        <w:tc>
          <w:tcPr>
            <w:tcW w:w="84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pPr>
              <w:spacing w:line="360" w:lineRule="auto"/>
              <w:jc w:val="center"/>
              <w:rPr>
                <w:rFonts w:ascii="宋体" w:hAnsi="宋体"/>
                <w:szCs w:val="21"/>
              </w:rPr>
            </w:pPr>
          </w:p>
        </w:tc>
        <w:tc>
          <w:tcPr>
            <w:tcW w:w="1052" w:type="dxa"/>
            <w:vAlign w:val="center"/>
          </w:tcPr>
          <w:p>
            <w:pPr>
              <w:spacing w:line="360" w:lineRule="auto"/>
              <w:jc w:val="center"/>
              <w:rPr>
                <w:rFonts w:ascii="宋体" w:hAnsi="宋体"/>
                <w:szCs w:val="21"/>
              </w:rPr>
            </w:pPr>
          </w:p>
        </w:tc>
        <w:tc>
          <w:tcPr>
            <w:tcW w:w="667" w:type="dxa"/>
            <w:vAlign w:val="center"/>
          </w:tcPr>
          <w:p>
            <w:pPr>
              <w:spacing w:line="360" w:lineRule="auto"/>
              <w:jc w:val="center"/>
              <w:rPr>
                <w:rFonts w:ascii="宋体" w:hAnsi="宋体"/>
                <w:szCs w:val="21"/>
              </w:rPr>
            </w:pPr>
          </w:p>
        </w:tc>
        <w:tc>
          <w:tcPr>
            <w:tcW w:w="1010"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1" w:type="dxa"/>
            <w:vAlign w:val="center"/>
          </w:tcPr>
          <w:p>
            <w:pPr>
              <w:spacing w:line="360" w:lineRule="auto"/>
              <w:jc w:val="center"/>
              <w:rPr>
                <w:rFonts w:ascii="宋体" w:hAnsi="宋体"/>
                <w:szCs w:val="21"/>
              </w:rPr>
            </w:pPr>
          </w:p>
        </w:tc>
        <w:tc>
          <w:tcPr>
            <w:tcW w:w="1635" w:type="dxa"/>
            <w:vAlign w:val="center"/>
          </w:tcPr>
          <w:p>
            <w:pPr>
              <w:spacing w:line="360" w:lineRule="auto"/>
              <w:jc w:val="center"/>
              <w:rPr>
                <w:rFonts w:ascii="宋体" w:hAnsi="宋体"/>
                <w:szCs w:val="21"/>
              </w:rPr>
            </w:pPr>
          </w:p>
        </w:tc>
        <w:tc>
          <w:tcPr>
            <w:tcW w:w="84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pPr>
              <w:spacing w:line="360" w:lineRule="auto"/>
              <w:jc w:val="center"/>
              <w:rPr>
                <w:rFonts w:ascii="宋体" w:hAnsi="宋体"/>
                <w:szCs w:val="21"/>
              </w:rPr>
            </w:pPr>
          </w:p>
        </w:tc>
        <w:tc>
          <w:tcPr>
            <w:tcW w:w="1052" w:type="dxa"/>
            <w:vAlign w:val="center"/>
          </w:tcPr>
          <w:p>
            <w:pPr>
              <w:spacing w:line="360" w:lineRule="auto"/>
              <w:jc w:val="center"/>
              <w:rPr>
                <w:rFonts w:ascii="宋体" w:hAnsi="宋体"/>
                <w:szCs w:val="21"/>
              </w:rPr>
            </w:pPr>
          </w:p>
        </w:tc>
        <w:tc>
          <w:tcPr>
            <w:tcW w:w="667" w:type="dxa"/>
            <w:vAlign w:val="center"/>
          </w:tcPr>
          <w:p>
            <w:pPr>
              <w:spacing w:line="360" w:lineRule="auto"/>
              <w:jc w:val="center"/>
              <w:rPr>
                <w:rFonts w:ascii="宋体" w:hAnsi="宋体"/>
                <w:szCs w:val="21"/>
              </w:rPr>
            </w:pPr>
          </w:p>
        </w:tc>
        <w:tc>
          <w:tcPr>
            <w:tcW w:w="1010"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1" w:type="dxa"/>
            <w:vAlign w:val="center"/>
          </w:tcPr>
          <w:p>
            <w:pPr>
              <w:spacing w:line="360" w:lineRule="auto"/>
              <w:jc w:val="center"/>
              <w:rPr>
                <w:rFonts w:ascii="宋体" w:hAnsi="宋体"/>
                <w:szCs w:val="21"/>
              </w:rPr>
            </w:pPr>
          </w:p>
        </w:tc>
        <w:tc>
          <w:tcPr>
            <w:tcW w:w="1635" w:type="dxa"/>
            <w:vAlign w:val="center"/>
          </w:tcPr>
          <w:p>
            <w:pPr>
              <w:spacing w:line="360" w:lineRule="auto"/>
              <w:jc w:val="center"/>
              <w:rPr>
                <w:rFonts w:ascii="宋体" w:hAnsi="宋体"/>
                <w:szCs w:val="21"/>
              </w:rPr>
            </w:pPr>
          </w:p>
        </w:tc>
        <w:tc>
          <w:tcPr>
            <w:tcW w:w="84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41" w:type="dxa"/>
            <w:vAlign w:val="center"/>
          </w:tcPr>
          <w:p>
            <w:pPr>
              <w:spacing w:line="360" w:lineRule="auto"/>
              <w:jc w:val="center"/>
              <w:rPr>
                <w:rFonts w:ascii="宋体" w:hAnsi="宋体"/>
                <w:szCs w:val="21"/>
              </w:rPr>
            </w:pPr>
          </w:p>
        </w:tc>
        <w:tc>
          <w:tcPr>
            <w:tcW w:w="1052" w:type="dxa"/>
            <w:vAlign w:val="center"/>
          </w:tcPr>
          <w:p>
            <w:pPr>
              <w:spacing w:line="360" w:lineRule="auto"/>
              <w:jc w:val="center"/>
              <w:rPr>
                <w:rFonts w:ascii="宋体" w:hAnsi="宋体"/>
                <w:szCs w:val="21"/>
              </w:rPr>
            </w:pPr>
          </w:p>
        </w:tc>
        <w:tc>
          <w:tcPr>
            <w:tcW w:w="667" w:type="dxa"/>
            <w:vAlign w:val="center"/>
          </w:tcPr>
          <w:p>
            <w:pPr>
              <w:spacing w:line="360" w:lineRule="auto"/>
              <w:jc w:val="center"/>
              <w:rPr>
                <w:rFonts w:ascii="宋体" w:hAnsi="宋体"/>
                <w:szCs w:val="21"/>
              </w:rPr>
            </w:pPr>
          </w:p>
        </w:tc>
        <w:tc>
          <w:tcPr>
            <w:tcW w:w="1010"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703" w:type="dxa"/>
            <w:vAlign w:val="center"/>
          </w:tcPr>
          <w:p>
            <w:pPr>
              <w:spacing w:line="360" w:lineRule="auto"/>
              <w:jc w:val="center"/>
              <w:rPr>
                <w:rFonts w:ascii="宋体" w:hAnsi="宋体"/>
                <w:szCs w:val="21"/>
              </w:rPr>
            </w:pPr>
          </w:p>
        </w:tc>
        <w:tc>
          <w:tcPr>
            <w:tcW w:w="1161" w:type="dxa"/>
            <w:vAlign w:val="center"/>
          </w:tcPr>
          <w:p>
            <w:pPr>
              <w:spacing w:line="360" w:lineRule="auto"/>
              <w:jc w:val="center"/>
              <w:rPr>
                <w:rFonts w:ascii="宋体" w:hAnsi="宋体"/>
                <w:szCs w:val="21"/>
              </w:rPr>
            </w:pPr>
          </w:p>
        </w:tc>
        <w:tc>
          <w:tcPr>
            <w:tcW w:w="1635" w:type="dxa"/>
            <w:vAlign w:val="center"/>
          </w:tcPr>
          <w:p>
            <w:pPr>
              <w:spacing w:line="360" w:lineRule="auto"/>
              <w:jc w:val="center"/>
              <w:rPr>
                <w:rFonts w:ascii="宋体" w:hAnsi="宋体"/>
                <w:szCs w:val="21"/>
              </w:rPr>
            </w:pPr>
          </w:p>
        </w:tc>
        <w:tc>
          <w:tcPr>
            <w:tcW w:w="842" w:type="dxa"/>
            <w:vAlign w:val="center"/>
          </w:tcPr>
          <w:p>
            <w:pPr>
              <w:spacing w:line="360" w:lineRule="auto"/>
              <w:jc w:val="center"/>
              <w:rPr>
                <w:rFonts w:ascii="宋体" w:hAnsi="宋体"/>
                <w:szCs w:val="21"/>
              </w:rPr>
            </w:pPr>
          </w:p>
        </w:tc>
      </w:tr>
    </w:tbl>
    <w:p>
      <w:pPr>
        <w:spacing w:before="156" w:beforeLines="50" w:after="312" w:afterLines="100" w:line="360" w:lineRule="auto"/>
        <w:jc w:val="center"/>
        <w:rPr>
          <w:rFonts w:ascii="黑体" w:hAnsi="宋体" w:eastAsia="黑体"/>
          <w:sz w:val="32"/>
          <w:szCs w:val="32"/>
        </w:rPr>
      </w:pPr>
      <w:r>
        <w:rPr>
          <w:rFonts w:ascii="宋体" w:hAnsi="宋体"/>
          <w:szCs w:val="21"/>
        </w:rPr>
        <w:br w:type="page"/>
      </w:r>
      <w:r>
        <w:rPr>
          <w:rFonts w:hint="eastAsia" w:ascii="黑体" w:hAnsi="宋体" w:eastAsia="黑体"/>
          <w:sz w:val="32"/>
          <w:szCs w:val="32"/>
        </w:rPr>
        <w:t xml:space="preserve">附表三  劳动力计划表 </w:t>
      </w:r>
    </w:p>
    <w:p>
      <w:pPr>
        <w:spacing w:before="156" w:beforeLines="50" w:after="312" w:afterLines="100" w:line="360" w:lineRule="auto"/>
        <w:jc w:val="right"/>
        <w:rPr>
          <w:rFonts w:ascii="黑体" w:hAnsi="宋体" w:eastAsia="黑体"/>
          <w:szCs w:val="21"/>
        </w:rPr>
      </w:pPr>
      <w:r>
        <w:rPr>
          <w:rFonts w:hint="eastAsia" w:ascii="黑体" w:hAnsi="宋体" w:eastAsia="黑体"/>
          <w:szCs w:val="21"/>
        </w:rPr>
        <w:t>单位：人</w:t>
      </w:r>
    </w:p>
    <w:tbl>
      <w:tblPr>
        <w:tblStyle w:val="44"/>
        <w:tblW w:w="81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360"/>
        <w:gridCol w:w="1022"/>
        <w:gridCol w:w="1022"/>
        <w:gridCol w:w="1022"/>
        <w:gridCol w:w="1022"/>
        <w:gridCol w:w="1022"/>
        <w:gridCol w:w="1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696" w:type="dxa"/>
            <w:vAlign w:val="center"/>
          </w:tcPr>
          <w:p>
            <w:pPr>
              <w:spacing w:line="360" w:lineRule="auto"/>
              <w:jc w:val="center"/>
              <w:rPr>
                <w:rFonts w:ascii="宋体" w:hAnsi="宋体"/>
                <w:szCs w:val="21"/>
              </w:rPr>
            </w:pPr>
            <w:r>
              <w:rPr>
                <w:rFonts w:hint="eastAsia" w:ascii="宋体" w:hAnsi="宋体"/>
                <w:szCs w:val="21"/>
              </w:rPr>
              <w:t>工种</w:t>
            </w:r>
          </w:p>
        </w:tc>
        <w:tc>
          <w:tcPr>
            <w:tcW w:w="7492" w:type="dxa"/>
            <w:gridSpan w:val="7"/>
            <w:vAlign w:val="center"/>
          </w:tcPr>
          <w:p>
            <w:pPr>
              <w:spacing w:line="360" w:lineRule="auto"/>
              <w:jc w:val="center"/>
              <w:rPr>
                <w:rFonts w:ascii="宋体" w:hAnsi="宋体"/>
                <w:szCs w:val="21"/>
              </w:rPr>
            </w:pPr>
            <w:r>
              <w:rPr>
                <w:rFonts w:hint="eastAsia" w:ascii="宋体" w:hAnsi="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szCs w:val="21"/>
              </w:rPr>
            </w:pPr>
          </w:p>
        </w:tc>
        <w:tc>
          <w:tcPr>
            <w:tcW w:w="1360"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szCs w:val="21"/>
              </w:rPr>
            </w:pPr>
          </w:p>
        </w:tc>
        <w:tc>
          <w:tcPr>
            <w:tcW w:w="1360"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szCs w:val="21"/>
              </w:rPr>
            </w:pPr>
          </w:p>
        </w:tc>
        <w:tc>
          <w:tcPr>
            <w:tcW w:w="1360"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szCs w:val="21"/>
              </w:rPr>
            </w:pPr>
          </w:p>
        </w:tc>
        <w:tc>
          <w:tcPr>
            <w:tcW w:w="1360"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szCs w:val="21"/>
              </w:rPr>
            </w:pPr>
          </w:p>
        </w:tc>
        <w:tc>
          <w:tcPr>
            <w:tcW w:w="1360"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szCs w:val="21"/>
              </w:rPr>
            </w:pPr>
          </w:p>
        </w:tc>
        <w:tc>
          <w:tcPr>
            <w:tcW w:w="1360"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szCs w:val="21"/>
              </w:rPr>
            </w:pPr>
          </w:p>
        </w:tc>
        <w:tc>
          <w:tcPr>
            <w:tcW w:w="1360"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szCs w:val="21"/>
              </w:rPr>
            </w:pPr>
          </w:p>
        </w:tc>
        <w:tc>
          <w:tcPr>
            <w:tcW w:w="1360"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szCs w:val="21"/>
              </w:rPr>
            </w:pPr>
          </w:p>
        </w:tc>
        <w:tc>
          <w:tcPr>
            <w:tcW w:w="1360"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szCs w:val="21"/>
              </w:rPr>
            </w:pPr>
          </w:p>
        </w:tc>
        <w:tc>
          <w:tcPr>
            <w:tcW w:w="1360"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szCs w:val="21"/>
              </w:rPr>
            </w:pPr>
          </w:p>
        </w:tc>
        <w:tc>
          <w:tcPr>
            <w:tcW w:w="1360"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szCs w:val="21"/>
              </w:rPr>
            </w:pPr>
          </w:p>
        </w:tc>
        <w:tc>
          <w:tcPr>
            <w:tcW w:w="1360"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szCs w:val="21"/>
              </w:rPr>
            </w:pPr>
          </w:p>
        </w:tc>
        <w:tc>
          <w:tcPr>
            <w:tcW w:w="1360"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szCs w:val="21"/>
              </w:rPr>
            </w:pPr>
          </w:p>
        </w:tc>
        <w:tc>
          <w:tcPr>
            <w:tcW w:w="1360"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szCs w:val="21"/>
              </w:rPr>
            </w:pPr>
          </w:p>
        </w:tc>
        <w:tc>
          <w:tcPr>
            <w:tcW w:w="1360"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szCs w:val="21"/>
              </w:rPr>
            </w:pPr>
          </w:p>
        </w:tc>
        <w:tc>
          <w:tcPr>
            <w:tcW w:w="1360"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szCs w:val="21"/>
              </w:rPr>
            </w:pPr>
          </w:p>
        </w:tc>
        <w:tc>
          <w:tcPr>
            <w:tcW w:w="1360"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szCs w:val="21"/>
              </w:rPr>
            </w:pPr>
          </w:p>
        </w:tc>
        <w:tc>
          <w:tcPr>
            <w:tcW w:w="1360"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szCs w:val="21"/>
              </w:rPr>
            </w:pPr>
          </w:p>
        </w:tc>
        <w:tc>
          <w:tcPr>
            <w:tcW w:w="1360"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szCs w:val="21"/>
              </w:rPr>
            </w:pPr>
          </w:p>
        </w:tc>
        <w:tc>
          <w:tcPr>
            <w:tcW w:w="1360"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szCs w:val="21"/>
              </w:rPr>
            </w:pPr>
          </w:p>
        </w:tc>
        <w:tc>
          <w:tcPr>
            <w:tcW w:w="1360"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szCs w:val="21"/>
              </w:rPr>
            </w:pPr>
          </w:p>
        </w:tc>
        <w:tc>
          <w:tcPr>
            <w:tcW w:w="1360"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96" w:type="dxa"/>
            <w:vAlign w:val="center"/>
          </w:tcPr>
          <w:p>
            <w:pPr>
              <w:spacing w:line="360" w:lineRule="auto"/>
              <w:jc w:val="center"/>
              <w:rPr>
                <w:rFonts w:ascii="宋体" w:hAnsi="宋体"/>
                <w:szCs w:val="21"/>
              </w:rPr>
            </w:pPr>
          </w:p>
        </w:tc>
        <w:tc>
          <w:tcPr>
            <w:tcW w:w="1360"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c>
          <w:tcPr>
            <w:tcW w:w="1022" w:type="dxa"/>
            <w:vAlign w:val="center"/>
          </w:tcPr>
          <w:p>
            <w:pPr>
              <w:spacing w:line="360" w:lineRule="auto"/>
              <w:jc w:val="center"/>
              <w:rPr>
                <w:rFonts w:ascii="宋体" w:hAnsi="宋体"/>
                <w:szCs w:val="21"/>
              </w:rPr>
            </w:pPr>
          </w:p>
        </w:tc>
      </w:tr>
    </w:tbl>
    <w:p>
      <w:pPr>
        <w:spacing w:before="156" w:beforeLines="50" w:after="312" w:afterLines="100" w:line="360" w:lineRule="auto"/>
        <w:jc w:val="center"/>
        <w:rPr>
          <w:rFonts w:ascii="黑体" w:hAnsi="宋体" w:eastAsia="黑体"/>
          <w:sz w:val="32"/>
          <w:szCs w:val="32"/>
        </w:rPr>
      </w:pPr>
      <w:r>
        <w:rPr>
          <w:rFonts w:ascii="宋体" w:hAnsi="宋体"/>
          <w:szCs w:val="21"/>
        </w:rPr>
        <w:br w:type="page"/>
      </w:r>
      <w:r>
        <w:rPr>
          <w:rFonts w:hint="eastAsia" w:ascii="黑体" w:hAnsi="宋体" w:eastAsia="黑体"/>
          <w:sz w:val="32"/>
          <w:szCs w:val="32"/>
        </w:rPr>
        <w:t>附表四  计划开、竣工日期和施工进度网络图</w:t>
      </w:r>
    </w:p>
    <w:p>
      <w:pPr>
        <w:spacing w:line="360" w:lineRule="auto"/>
        <w:ind w:firstLine="420" w:firstLineChars="200"/>
        <w:rPr>
          <w:rFonts w:ascii="宋体" w:hAnsi="宋体"/>
          <w:szCs w:val="21"/>
        </w:rPr>
      </w:pPr>
      <w:r>
        <w:rPr>
          <w:rFonts w:hint="eastAsia" w:ascii="宋体" w:hAnsi="宋体"/>
          <w:szCs w:val="21"/>
        </w:rPr>
        <w:t>1．投标人应递交施工进度网络图或施工进度表，说明按招标文件要求的计划工期进行施工的各个关键日期。</w:t>
      </w:r>
    </w:p>
    <w:p>
      <w:pPr>
        <w:spacing w:line="360" w:lineRule="auto"/>
        <w:ind w:firstLine="420" w:firstLineChars="200"/>
        <w:rPr>
          <w:rFonts w:ascii="宋体" w:hAnsi="宋体"/>
          <w:szCs w:val="21"/>
        </w:rPr>
      </w:pPr>
      <w:r>
        <w:rPr>
          <w:rFonts w:hint="eastAsia" w:ascii="宋体" w:hAnsi="宋体"/>
          <w:szCs w:val="21"/>
        </w:rPr>
        <w:t>2．施工进度表可采用网络图和(或)横道图表示。</w:t>
      </w:r>
    </w:p>
    <w:p>
      <w:pPr>
        <w:spacing w:before="156" w:beforeLines="50" w:after="312" w:afterLines="100" w:line="360" w:lineRule="auto"/>
        <w:jc w:val="center"/>
        <w:rPr>
          <w:rFonts w:ascii="宋体" w:hAnsi="宋体"/>
          <w:sz w:val="32"/>
          <w:szCs w:val="32"/>
        </w:rPr>
      </w:pPr>
      <w:r>
        <w:rPr>
          <w:rFonts w:ascii="宋体" w:hAnsi="宋体"/>
          <w:szCs w:val="21"/>
        </w:rPr>
        <w:br w:type="page"/>
      </w:r>
      <w:r>
        <w:rPr>
          <w:rFonts w:hint="eastAsia" w:ascii="黑体" w:hAnsi="宋体" w:eastAsia="黑体"/>
          <w:sz w:val="32"/>
          <w:szCs w:val="32"/>
        </w:rPr>
        <w:t>附表五  施工总平面图</w:t>
      </w:r>
    </w:p>
    <w:p>
      <w:pPr>
        <w:spacing w:line="360" w:lineRule="auto"/>
        <w:ind w:firstLine="420" w:firstLineChars="200"/>
        <w:rPr>
          <w:rFonts w:ascii="宋体" w:hAnsi="宋体"/>
          <w:szCs w:val="21"/>
        </w:rPr>
      </w:pPr>
      <w:r>
        <w:rPr>
          <w:rFonts w:hint="eastAsia" w:ascii="宋体" w:hAnsi="宋体"/>
          <w:szCs w:val="21"/>
        </w:rPr>
        <w:t>投标人应递交一份施工总平面图，绘出现场临时设施布置图表并附文字说明，说明临时设施、加工车间、现场办公、设备及仓储、供电、供水、卫生、生活、道路、消防等设施的情况和布置。</w:t>
      </w:r>
    </w:p>
    <w:p>
      <w:pPr>
        <w:spacing w:before="156" w:beforeLines="50" w:after="312" w:afterLines="100" w:line="360" w:lineRule="auto"/>
        <w:jc w:val="center"/>
        <w:rPr>
          <w:rFonts w:ascii="黑体" w:hAnsi="宋体" w:eastAsia="黑体"/>
          <w:sz w:val="32"/>
          <w:szCs w:val="32"/>
        </w:rPr>
      </w:pPr>
      <w:r>
        <w:rPr>
          <w:rFonts w:ascii="宋体" w:hAnsi="宋体"/>
          <w:szCs w:val="21"/>
        </w:rPr>
        <w:br w:type="page"/>
      </w:r>
      <w:r>
        <w:rPr>
          <w:rFonts w:hint="eastAsia" w:ascii="黑体" w:hAnsi="宋体" w:eastAsia="黑体"/>
          <w:sz w:val="32"/>
          <w:szCs w:val="32"/>
        </w:rPr>
        <w:t>附表六  临时用地表</w:t>
      </w:r>
    </w:p>
    <w:tbl>
      <w:tblPr>
        <w:tblStyle w:val="44"/>
        <w:tblW w:w="84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058"/>
        <w:gridCol w:w="2057"/>
        <w:gridCol w:w="2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vAlign w:val="center"/>
          </w:tcPr>
          <w:p>
            <w:pPr>
              <w:spacing w:line="360" w:lineRule="auto"/>
              <w:jc w:val="center"/>
              <w:rPr>
                <w:rFonts w:ascii="宋体" w:hAnsi="宋体"/>
                <w:szCs w:val="21"/>
              </w:rPr>
            </w:pPr>
            <w:r>
              <w:rPr>
                <w:rFonts w:hint="eastAsia" w:ascii="宋体" w:hAnsi="宋体"/>
                <w:szCs w:val="21"/>
              </w:rPr>
              <w:t>用  途</w:t>
            </w:r>
          </w:p>
        </w:tc>
        <w:tc>
          <w:tcPr>
            <w:tcW w:w="2058" w:type="dxa"/>
            <w:vAlign w:val="center"/>
          </w:tcPr>
          <w:p>
            <w:pPr>
              <w:spacing w:line="360" w:lineRule="auto"/>
              <w:jc w:val="center"/>
              <w:rPr>
                <w:rFonts w:ascii="宋体" w:hAnsi="宋体"/>
                <w:szCs w:val="21"/>
              </w:rPr>
            </w:pPr>
            <w:r>
              <w:rPr>
                <w:rFonts w:hint="eastAsia" w:ascii="宋体" w:hAnsi="宋体"/>
                <w:szCs w:val="21"/>
              </w:rPr>
              <w:t>面 积(平方米)</w:t>
            </w:r>
          </w:p>
        </w:tc>
        <w:tc>
          <w:tcPr>
            <w:tcW w:w="2057" w:type="dxa"/>
            <w:vAlign w:val="center"/>
          </w:tcPr>
          <w:p>
            <w:pPr>
              <w:spacing w:line="360" w:lineRule="auto"/>
              <w:jc w:val="center"/>
              <w:rPr>
                <w:rFonts w:ascii="宋体" w:hAnsi="宋体"/>
                <w:szCs w:val="21"/>
              </w:rPr>
            </w:pPr>
            <w:r>
              <w:rPr>
                <w:rFonts w:hint="eastAsia" w:ascii="宋体" w:hAnsi="宋体"/>
                <w:szCs w:val="21"/>
              </w:rPr>
              <w:t>位  置</w:t>
            </w:r>
          </w:p>
        </w:tc>
        <w:tc>
          <w:tcPr>
            <w:tcW w:w="2057" w:type="dxa"/>
            <w:vAlign w:val="center"/>
          </w:tcPr>
          <w:p>
            <w:pPr>
              <w:spacing w:line="360" w:lineRule="auto"/>
              <w:jc w:val="center"/>
              <w:rPr>
                <w:rFonts w:ascii="宋体" w:hAnsi="宋体"/>
                <w:szCs w:val="21"/>
              </w:rPr>
            </w:pPr>
            <w:r>
              <w:rPr>
                <w:rFonts w:hint="eastAsia" w:ascii="宋体" w:hAnsi="宋体"/>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szCs w:val="21"/>
              </w:rPr>
            </w:pPr>
          </w:p>
        </w:tc>
        <w:tc>
          <w:tcPr>
            <w:tcW w:w="2058" w:type="dxa"/>
          </w:tcPr>
          <w:p>
            <w:pPr>
              <w:spacing w:line="360" w:lineRule="auto"/>
              <w:rPr>
                <w:rFonts w:ascii="宋体" w:hAnsi="宋体"/>
                <w:szCs w:val="21"/>
              </w:rPr>
            </w:pPr>
          </w:p>
        </w:tc>
        <w:tc>
          <w:tcPr>
            <w:tcW w:w="2057" w:type="dxa"/>
          </w:tcPr>
          <w:p>
            <w:pPr>
              <w:spacing w:line="360" w:lineRule="auto"/>
              <w:rPr>
                <w:rFonts w:ascii="宋体" w:hAnsi="宋体"/>
                <w:szCs w:val="21"/>
              </w:rPr>
            </w:pPr>
          </w:p>
        </w:tc>
        <w:tc>
          <w:tcPr>
            <w:tcW w:w="2057"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szCs w:val="21"/>
              </w:rPr>
            </w:pPr>
          </w:p>
        </w:tc>
        <w:tc>
          <w:tcPr>
            <w:tcW w:w="2058" w:type="dxa"/>
          </w:tcPr>
          <w:p>
            <w:pPr>
              <w:spacing w:line="360" w:lineRule="auto"/>
              <w:rPr>
                <w:rFonts w:ascii="宋体" w:hAnsi="宋体"/>
                <w:szCs w:val="21"/>
              </w:rPr>
            </w:pPr>
          </w:p>
        </w:tc>
        <w:tc>
          <w:tcPr>
            <w:tcW w:w="2057" w:type="dxa"/>
          </w:tcPr>
          <w:p>
            <w:pPr>
              <w:spacing w:line="360" w:lineRule="auto"/>
              <w:rPr>
                <w:rFonts w:ascii="宋体" w:hAnsi="宋体"/>
                <w:szCs w:val="21"/>
              </w:rPr>
            </w:pPr>
          </w:p>
        </w:tc>
        <w:tc>
          <w:tcPr>
            <w:tcW w:w="2057"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szCs w:val="21"/>
              </w:rPr>
            </w:pPr>
          </w:p>
        </w:tc>
        <w:tc>
          <w:tcPr>
            <w:tcW w:w="2058" w:type="dxa"/>
          </w:tcPr>
          <w:p>
            <w:pPr>
              <w:spacing w:line="360" w:lineRule="auto"/>
              <w:rPr>
                <w:rFonts w:ascii="宋体" w:hAnsi="宋体"/>
                <w:szCs w:val="21"/>
              </w:rPr>
            </w:pPr>
          </w:p>
        </w:tc>
        <w:tc>
          <w:tcPr>
            <w:tcW w:w="2057" w:type="dxa"/>
          </w:tcPr>
          <w:p>
            <w:pPr>
              <w:spacing w:line="360" w:lineRule="auto"/>
              <w:rPr>
                <w:rFonts w:ascii="宋体" w:hAnsi="宋体"/>
                <w:szCs w:val="21"/>
              </w:rPr>
            </w:pPr>
          </w:p>
        </w:tc>
        <w:tc>
          <w:tcPr>
            <w:tcW w:w="2057"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szCs w:val="21"/>
              </w:rPr>
            </w:pPr>
          </w:p>
        </w:tc>
        <w:tc>
          <w:tcPr>
            <w:tcW w:w="2058" w:type="dxa"/>
          </w:tcPr>
          <w:p>
            <w:pPr>
              <w:spacing w:line="360" w:lineRule="auto"/>
              <w:rPr>
                <w:rFonts w:ascii="宋体" w:hAnsi="宋体"/>
                <w:szCs w:val="21"/>
              </w:rPr>
            </w:pPr>
          </w:p>
        </w:tc>
        <w:tc>
          <w:tcPr>
            <w:tcW w:w="2057" w:type="dxa"/>
          </w:tcPr>
          <w:p>
            <w:pPr>
              <w:spacing w:line="360" w:lineRule="auto"/>
              <w:rPr>
                <w:rFonts w:ascii="宋体" w:hAnsi="宋体"/>
                <w:szCs w:val="21"/>
              </w:rPr>
            </w:pPr>
          </w:p>
        </w:tc>
        <w:tc>
          <w:tcPr>
            <w:tcW w:w="2057"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szCs w:val="21"/>
              </w:rPr>
            </w:pPr>
          </w:p>
        </w:tc>
        <w:tc>
          <w:tcPr>
            <w:tcW w:w="2058" w:type="dxa"/>
          </w:tcPr>
          <w:p>
            <w:pPr>
              <w:spacing w:line="360" w:lineRule="auto"/>
              <w:rPr>
                <w:rFonts w:ascii="宋体" w:hAnsi="宋体"/>
                <w:szCs w:val="21"/>
              </w:rPr>
            </w:pPr>
          </w:p>
        </w:tc>
        <w:tc>
          <w:tcPr>
            <w:tcW w:w="2057" w:type="dxa"/>
          </w:tcPr>
          <w:p>
            <w:pPr>
              <w:spacing w:line="360" w:lineRule="auto"/>
              <w:rPr>
                <w:rFonts w:ascii="宋体" w:hAnsi="宋体"/>
                <w:szCs w:val="21"/>
              </w:rPr>
            </w:pPr>
          </w:p>
        </w:tc>
        <w:tc>
          <w:tcPr>
            <w:tcW w:w="2057"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szCs w:val="21"/>
              </w:rPr>
            </w:pPr>
          </w:p>
        </w:tc>
        <w:tc>
          <w:tcPr>
            <w:tcW w:w="2058" w:type="dxa"/>
          </w:tcPr>
          <w:p>
            <w:pPr>
              <w:spacing w:line="360" w:lineRule="auto"/>
              <w:rPr>
                <w:rFonts w:ascii="宋体" w:hAnsi="宋体"/>
                <w:szCs w:val="21"/>
              </w:rPr>
            </w:pPr>
          </w:p>
        </w:tc>
        <w:tc>
          <w:tcPr>
            <w:tcW w:w="2057" w:type="dxa"/>
          </w:tcPr>
          <w:p>
            <w:pPr>
              <w:spacing w:line="360" w:lineRule="auto"/>
              <w:rPr>
                <w:rFonts w:ascii="宋体" w:hAnsi="宋体"/>
                <w:szCs w:val="21"/>
              </w:rPr>
            </w:pPr>
          </w:p>
        </w:tc>
        <w:tc>
          <w:tcPr>
            <w:tcW w:w="2057"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szCs w:val="21"/>
              </w:rPr>
            </w:pPr>
          </w:p>
        </w:tc>
        <w:tc>
          <w:tcPr>
            <w:tcW w:w="2058" w:type="dxa"/>
          </w:tcPr>
          <w:p>
            <w:pPr>
              <w:spacing w:line="360" w:lineRule="auto"/>
              <w:rPr>
                <w:rFonts w:ascii="宋体" w:hAnsi="宋体"/>
                <w:szCs w:val="21"/>
              </w:rPr>
            </w:pPr>
          </w:p>
        </w:tc>
        <w:tc>
          <w:tcPr>
            <w:tcW w:w="2057" w:type="dxa"/>
          </w:tcPr>
          <w:p>
            <w:pPr>
              <w:spacing w:line="360" w:lineRule="auto"/>
              <w:rPr>
                <w:rFonts w:ascii="宋体" w:hAnsi="宋体"/>
                <w:szCs w:val="21"/>
              </w:rPr>
            </w:pPr>
          </w:p>
        </w:tc>
        <w:tc>
          <w:tcPr>
            <w:tcW w:w="2057"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szCs w:val="21"/>
              </w:rPr>
            </w:pPr>
          </w:p>
        </w:tc>
        <w:tc>
          <w:tcPr>
            <w:tcW w:w="2058" w:type="dxa"/>
          </w:tcPr>
          <w:p>
            <w:pPr>
              <w:spacing w:line="360" w:lineRule="auto"/>
              <w:rPr>
                <w:rFonts w:ascii="宋体" w:hAnsi="宋体"/>
                <w:szCs w:val="21"/>
              </w:rPr>
            </w:pPr>
          </w:p>
        </w:tc>
        <w:tc>
          <w:tcPr>
            <w:tcW w:w="2057" w:type="dxa"/>
          </w:tcPr>
          <w:p>
            <w:pPr>
              <w:spacing w:line="360" w:lineRule="auto"/>
              <w:rPr>
                <w:rFonts w:ascii="宋体" w:hAnsi="宋体"/>
                <w:szCs w:val="21"/>
              </w:rPr>
            </w:pPr>
          </w:p>
        </w:tc>
        <w:tc>
          <w:tcPr>
            <w:tcW w:w="2057"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szCs w:val="21"/>
              </w:rPr>
            </w:pPr>
          </w:p>
        </w:tc>
        <w:tc>
          <w:tcPr>
            <w:tcW w:w="2058" w:type="dxa"/>
          </w:tcPr>
          <w:p>
            <w:pPr>
              <w:spacing w:line="360" w:lineRule="auto"/>
              <w:rPr>
                <w:rFonts w:ascii="宋体" w:hAnsi="宋体"/>
                <w:szCs w:val="21"/>
              </w:rPr>
            </w:pPr>
          </w:p>
        </w:tc>
        <w:tc>
          <w:tcPr>
            <w:tcW w:w="2057" w:type="dxa"/>
          </w:tcPr>
          <w:p>
            <w:pPr>
              <w:spacing w:line="360" w:lineRule="auto"/>
              <w:rPr>
                <w:rFonts w:ascii="宋体" w:hAnsi="宋体"/>
                <w:szCs w:val="21"/>
              </w:rPr>
            </w:pPr>
          </w:p>
        </w:tc>
        <w:tc>
          <w:tcPr>
            <w:tcW w:w="2057"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szCs w:val="21"/>
              </w:rPr>
            </w:pPr>
          </w:p>
        </w:tc>
        <w:tc>
          <w:tcPr>
            <w:tcW w:w="2058" w:type="dxa"/>
          </w:tcPr>
          <w:p>
            <w:pPr>
              <w:spacing w:line="360" w:lineRule="auto"/>
              <w:rPr>
                <w:rFonts w:ascii="宋体" w:hAnsi="宋体"/>
                <w:szCs w:val="21"/>
              </w:rPr>
            </w:pPr>
          </w:p>
        </w:tc>
        <w:tc>
          <w:tcPr>
            <w:tcW w:w="2057" w:type="dxa"/>
          </w:tcPr>
          <w:p>
            <w:pPr>
              <w:spacing w:line="360" w:lineRule="auto"/>
              <w:rPr>
                <w:rFonts w:ascii="宋体" w:hAnsi="宋体"/>
                <w:szCs w:val="21"/>
              </w:rPr>
            </w:pPr>
          </w:p>
        </w:tc>
        <w:tc>
          <w:tcPr>
            <w:tcW w:w="2057"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szCs w:val="21"/>
              </w:rPr>
            </w:pPr>
          </w:p>
        </w:tc>
        <w:tc>
          <w:tcPr>
            <w:tcW w:w="2058" w:type="dxa"/>
          </w:tcPr>
          <w:p>
            <w:pPr>
              <w:spacing w:line="360" w:lineRule="auto"/>
              <w:rPr>
                <w:rFonts w:ascii="宋体" w:hAnsi="宋体"/>
                <w:szCs w:val="21"/>
              </w:rPr>
            </w:pPr>
          </w:p>
        </w:tc>
        <w:tc>
          <w:tcPr>
            <w:tcW w:w="2057" w:type="dxa"/>
          </w:tcPr>
          <w:p>
            <w:pPr>
              <w:spacing w:line="360" w:lineRule="auto"/>
              <w:rPr>
                <w:rFonts w:ascii="宋体" w:hAnsi="宋体"/>
                <w:szCs w:val="21"/>
              </w:rPr>
            </w:pPr>
          </w:p>
        </w:tc>
        <w:tc>
          <w:tcPr>
            <w:tcW w:w="2057"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szCs w:val="21"/>
              </w:rPr>
            </w:pPr>
          </w:p>
        </w:tc>
        <w:tc>
          <w:tcPr>
            <w:tcW w:w="2058" w:type="dxa"/>
          </w:tcPr>
          <w:p>
            <w:pPr>
              <w:spacing w:line="360" w:lineRule="auto"/>
              <w:rPr>
                <w:rFonts w:ascii="宋体" w:hAnsi="宋体"/>
                <w:szCs w:val="21"/>
              </w:rPr>
            </w:pPr>
          </w:p>
        </w:tc>
        <w:tc>
          <w:tcPr>
            <w:tcW w:w="2057" w:type="dxa"/>
          </w:tcPr>
          <w:p>
            <w:pPr>
              <w:spacing w:line="360" w:lineRule="auto"/>
              <w:rPr>
                <w:rFonts w:ascii="宋体" w:hAnsi="宋体"/>
                <w:szCs w:val="21"/>
              </w:rPr>
            </w:pPr>
          </w:p>
        </w:tc>
        <w:tc>
          <w:tcPr>
            <w:tcW w:w="2057"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szCs w:val="21"/>
              </w:rPr>
            </w:pPr>
          </w:p>
        </w:tc>
        <w:tc>
          <w:tcPr>
            <w:tcW w:w="2058" w:type="dxa"/>
          </w:tcPr>
          <w:p>
            <w:pPr>
              <w:spacing w:line="360" w:lineRule="auto"/>
              <w:rPr>
                <w:rFonts w:ascii="宋体" w:hAnsi="宋体"/>
                <w:szCs w:val="21"/>
              </w:rPr>
            </w:pPr>
          </w:p>
        </w:tc>
        <w:tc>
          <w:tcPr>
            <w:tcW w:w="2057" w:type="dxa"/>
          </w:tcPr>
          <w:p>
            <w:pPr>
              <w:spacing w:line="360" w:lineRule="auto"/>
              <w:rPr>
                <w:rFonts w:ascii="宋体" w:hAnsi="宋体"/>
                <w:szCs w:val="21"/>
              </w:rPr>
            </w:pPr>
          </w:p>
        </w:tc>
        <w:tc>
          <w:tcPr>
            <w:tcW w:w="2057"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szCs w:val="21"/>
              </w:rPr>
            </w:pPr>
          </w:p>
        </w:tc>
        <w:tc>
          <w:tcPr>
            <w:tcW w:w="2058" w:type="dxa"/>
          </w:tcPr>
          <w:p>
            <w:pPr>
              <w:spacing w:line="360" w:lineRule="auto"/>
              <w:rPr>
                <w:rFonts w:ascii="宋体" w:hAnsi="宋体"/>
                <w:szCs w:val="21"/>
              </w:rPr>
            </w:pPr>
          </w:p>
        </w:tc>
        <w:tc>
          <w:tcPr>
            <w:tcW w:w="2057" w:type="dxa"/>
          </w:tcPr>
          <w:p>
            <w:pPr>
              <w:spacing w:line="360" w:lineRule="auto"/>
              <w:rPr>
                <w:rFonts w:ascii="宋体" w:hAnsi="宋体"/>
                <w:szCs w:val="21"/>
              </w:rPr>
            </w:pPr>
          </w:p>
        </w:tc>
        <w:tc>
          <w:tcPr>
            <w:tcW w:w="2057"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szCs w:val="21"/>
              </w:rPr>
            </w:pPr>
          </w:p>
        </w:tc>
        <w:tc>
          <w:tcPr>
            <w:tcW w:w="2058" w:type="dxa"/>
          </w:tcPr>
          <w:p>
            <w:pPr>
              <w:spacing w:line="360" w:lineRule="auto"/>
              <w:rPr>
                <w:rFonts w:ascii="宋体" w:hAnsi="宋体"/>
                <w:szCs w:val="21"/>
              </w:rPr>
            </w:pPr>
          </w:p>
        </w:tc>
        <w:tc>
          <w:tcPr>
            <w:tcW w:w="2057" w:type="dxa"/>
          </w:tcPr>
          <w:p>
            <w:pPr>
              <w:spacing w:line="360" w:lineRule="auto"/>
              <w:rPr>
                <w:rFonts w:ascii="宋体" w:hAnsi="宋体"/>
                <w:szCs w:val="21"/>
              </w:rPr>
            </w:pPr>
          </w:p>
        </w:tc>
        <w:tc>
          <w:tcPr>
            <w:tcW w:w="2057"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szCs w:val="21"/>
              </w:rPr>
            </w:pPr>
          </w:p>
        </w:tc>
        <w:tc>
          <w:tcPr>
            <w:tcW w:w="2058" w:type="dxa"/>
          </w:tcPr>
          <w:p>
            <w:pPr>
              <w:spacing w:line="360" w:lineRule="auto"/>
              <w:rPr>
                <w:rFonts w:ascii="宋体" w:hAnsi="宋体"/>
                <w:szCs w:val="21"/>
              </w:rPr>
            </w:pPr>
          </w:p>
        </w:tc>
        <w:tc>
          <w:tcPr>
            <w:tcW w:w="2057" w:type="dxa"/>
          </w:tcPr>
          <w:p>
            <w:pPr>
              <w:spacing w:line="360" w:lineRule="auto"/>
              <w:rPr>
                <w:rFonts w:ascii="宋体" w:hAnsi="宋体"/>
                <w:szCs w:val="21"/>
              </w:rPr>
            </w:pPr>
          </w:p>
        </w:tc>
        <w:tc>
          <w:tcPr>
            <w:tcW w:w="2057"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szCs w:val="21"/>
              </w:rPr>
            </w:pPr>
          </w:p>
        </w:tc>
        <w:tc>
          <w:tcPr>
            <w:tcW w:w="2058" w:type="dxa"/>
          </w:tcPr>
          <w:p>
            <w:pPr>
              <w:spacing w:line="360" w:lineRule="auto"/>
              <w:rPr>
                <w:rFonts w:ascii="宋体" w:hAnsi="宋体"/>
                <w:szCs w:val="21"/>
              </w:rPr>
            </w:pPr>
          </w:p>
        </w:tc>
        <w:tc>
          <w:tcPr>
            <w:tcW w:w="2057" w:type="dxa"/>
          </w:tcPr>
          <w:p>
            <w:pPr>
              <w:spacing w:line="360" w:lineRule="auto"/>
              <w:rPr>
                <w:rFonts w:ascii="宋体" w:hAnsi="宋体"/>
                <w:szCs w:val="21"/>
              </w:rPr>
            </w:pPr>
          </w:p>
        </w:tc>
        <w:tc>
          <w:tcPr>
            <w:tcW w:w="2057"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szCs w:val="21"/>
              </w:rPr>
            </w:pPr>
          </w:p>
        </w:tc>
        <w:tc>
          <w:tcPr>
            <w:tcW w:w="2058" w:type="dxa"/>
          </w:tcPr>
          <w:p>
            <w:pPr>
              <w:spacing w:line="360" w:lineRule="auto"/>
              <w:rPr>
                <w:rFonts w:ascii="宋体" w:hAnsi="宋体"/>
                <w:szCs w:val="21"/>
              </w:rPr>
            </w:pPr>
          </w:p>
        </w:tc>
        <w:tc>
          <w:tcPr>
            <w:tcW w:w="2057" w:type="dxa"/>
          </w:tcPr>
          <w:p>
            <w:pPr>
              <w:spacing w:line="360" w:lineRule="auto"/>
              <w:rPr>
                <w:rFonts w:ascii="宋体" w:hAnsi="宋体"/>
                <w:szCs w:val="21"/>
              </w:rPr>
            </w:pPr>
          </w:p>
        </w:tc>
        <w:tc>
          <w:tcPr>
            <w:tcW w:w="2057"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szCs w:val="21"/>
              </w:rPr>
            </w:pPr>
          </w:p>
        </w:tc>
        <w:tc>
          <w:tcPr>
            <w:tcW w:w="2058" w:type="dxa"/>
          </w:tcPr>
          <w:p>
            <w:pPr>
              <w:spacing w:line="360" w:lineRule="auto"/>
              <w:rPr>
                <w:rFonts w:ascii="宋体" w:hAnsi="宋体"/>
                <w:szCs w:val="21"/>
              </w:rPr>
            </w:pPr>
          </w:p>
        </w:tc>
        <w:tc>
          <w:tcPr>
            <w:tcW w:w="2057" w:type="dxa"/>
          </w:tcPr>
          <w:p>
            <w:pPr>
              <w:spacing w:line="360" w:lineRule="auto"/>
              <w:rPr>
                <w:rFonts w:ascii="宋体" w:hAnsi="宋体"/>
                <w:szCs w:val="21"/>
              </w:rPr>
            </w:pPr>
          </w:p>
        </w:tc>
        <w:tc>
          <w:tcPr>
            <w:tcW w:w="2057"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szCs w:val="21"/>
              </w:rPr>
            </w:pPr>
          </w:p>
        </w:tc>
        <w:tc>
          <w:tcPr>
            <w:tcW w:w="2058" w:type="dxa"/>
          </w:tcPr>
          <w:p>
            <w:pPr>
              <w:spacing w:line="360" w:lineRule="auto"/>
              <w:rPr>
                <w:rFonts w:ascii="宋体" w:hAnsi="宋体"/>
                <w:szCs w:val="21"/>
              </w:rPr>
            </w:pPr>
          </w:p>
        </w:tc>
        <w:tc>
          <w:tcPr>
            <w:tcW w:w="2057" w:type="dxa"/>
          </w:tcPr>
          <w:p>
            <w:pPr>
              <w:spacing w:line="360" w:lineRule="auto"/>
              <w:rPr>
                <w:rFonts w:ascii="宋体" w:hAnsi="宋体"/>
                <w:szCs w:val="21"/>
              </w:rPr>
            </w:pPr>
          </w:p>
        </w:tc>
        <w:tc>
          <w:tcPr>
            <w:tcW w:w="2057"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szCs w:val="21"/>
              </w:rPr>
            </w:pPr>
          </w:p>
        </w:tc>
        <w:tc>
          <w:tcPr>
            <w:tcW w:w="2058" w:type="dxa"/>
          </w:tcPr>
          <w:p>
            <w:pPr>
              <w:spacing w:line="360" w:lineRule="auto"/>
              <w:rPr>
                <w:rFonts w:ascii="宋体" w:hAnsi="宋体"/>
                <w:szCs w:val="21"/>
              </w:rPr>
            </w:pPr>
          </w:p>
        </w:tc>
        <w:tc>
          <w:tcPr>
            <w:tcW w:w="2057" w:type="dxa"/>
          </w:tcPr>
          <w:p>
            <w:pPr>
              <w:spacing w:line="360" w:lineRule="auto"/>
              <w:rPr>
                <w:rFonts w:ascii="宋体" w:hAnsi="宋体"/>
                <w:szCs w:val="21"/>
              </w:rPr>
            </w:pPr>
          </w:p>
        </w:tc>
        <w:tc>
          <w:tcPr>
            <w:tcW w:w="2057"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szCs w:val="21"/>
              </w:rPr>
            </w:pPr>
          </w:p>
        </w:tc>
        <w:tc>
          <w:tcPr>
            <w:tcW w:w="2058" w:type="dxa"/>
          </w:tcPr>
          <w:p>
            <w:pPr>
              <w:spacing w:line="360" w:lineRule="auto"/>
              <w:rPr>
                <w:rFonts w:ascii="宋体" w:hAnsi="宋体"/>
                <w:szCs w:val="21"/>
              </w:rPr>
            </w:pPr>
          </w:p>
        </w:tc>
        <w:tc>
          <w:tcPr>
            <w:tcW w:w="2057" w:type="dxa"/>
          </w:tcPr>
          <w:p>
            <w:pPr>
              <w:spacing w:line="360" w:lineRule="auto"/>
              <w:rPr>
                <w:rFonts w:ascii="宋体" w:hAnsi="宋体"/>
                <w:szCs w:val="21"/>
              </w:rPr>
            </w:pPr>
          </w:p>
        </w:tc>
        <w:tc>
          <w:tcPr>
            <w:tcW w:w="2057"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szCs w:val="21"/>
              </w:rPr>
            </w:pPr>
          </w:p>
        </w:tc>
        <w:tc>
          <w:tcPr>
            <w:tcW w:w="2058" w:type="dxa"/>
          </w:tcPr>
          <w:p>
            <w:pPr>
              <w:spacing w:line="360" w:lineRule="auto"/>
              <w:rPr>
                <w:rFonts w:ascii="宋体" w:hAnsi="宋体"/>
                <w:szCs w:val="21"/>
              </w:rPr>
            </w:pPr>
          </w:p>
        </w:tc>
        <w:tc>
          <w:tcPr>
            <w:tcW w:w="2057" w:type="dxa"/>
          </w:tcPr>
          <w:p>
            <w:pPr>
              <w:spacing w:line="360" w:lineRule="auto"/>
              <w:rPr>
                <w:rFonts w:ascii="宋体" w:hAnsi="宋体"/>
                <w:szCs w:val="21"/>
              </w:rPr>
            </w:pPr>
          </w:p>
        </w:tc>
        <w:tc>
          <w:tcPr>
            <w:tcW w:w="2057"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42" w:type="dxa"/>
          </w:tcPr>
          <w:p>
            <w:pPr>
              <w:spacing w:line="360" w:lineRule="auto"/>
              <w:rPr>
                <w:rFonts w:ascii="宋体" w:hAnsi="宋体"/>
                <w:szCs w:val="21"/>
              </w:rPr>
            </w:pPr>
          </w:p>
        </w:tc>
        <w:tc>
          <w:tcPr>
            <w:tcW w:w="2058" w:type="dxa"/>
          </w:tcPr>
          <w:p>
            <w:pPr>
              <w:spacing w:line="360" w:lineRule="auto"/>
              <w:rPr>
                <w:rFonts w:ascii="宋体" w:hAnsi="宋体"/>
                <w:szCs w:val="21"/>
              </w:rPr>
            </w:pPr>
          </w:p>
        </w:tc>
        <w:tc>
          <w:tcPr>
            <w:tcW w:w="2057" w:type="dxa"/>
          </w:tcPr>
          <w:p>
            <w:pPr>
              <w:spacing w:line="360" w:lineRule="auto"/>
              <w:rPr>
                <w:rFonts w:ascii="宋体" w:hAnsi="宋体"/>
                <w:szCs w:val="21"/>
              </w:rPr>
            </w:pPr>
          </w:p>
        </w:tc>
        <w:tc>
          <w:tcPr>
            <w:tcW w:w="2057" w:type="dxa"/>
          </w:tcPr>
          <w:p>
            <w:pPr>
              <w:spacing w:line="360" w:lineRule="auto"/>
              <w:rPr>
                <w:rFonts w:ascii="宋体" w:hAnsi="宋体"/>
                <w:szCs w:val="21"/>
              </w:rPr>
            </w:pPr>
          </w:p>
        </w:tc>
      </w:tr>
    </w:tbl>
    <w:p>
      <w:pPr>
        <w:spacing w:line="360" w:lineRule="auto"/>
        <w:rPr>
          <w:rFonts w:ascii="仿宋" w:hAnsi="仿宋" w:eastAsia="仿宋"/>
        </w:rPr>
      </w:pPr>
    </w:p>
    <w:p>
      <w:pPr>
        <w:spacing w:line="360" w:lineRule="auto"/>
        <w:rPr>
          <w:rFonts w:ascii="仿宋" w:hAnsi="仿宋" w:eastAsia="仿宋"/>
        </w:rPr>
      </w:pPr>
    </w:p>
    <w:p>
      <w:pPr>
        <w:spacing w:line="460" w:lineRule="exact"/>
        <w:rPr>
          <w:rFonts w:ascii="黑体" w:hAnsi="宋体" w:eastAsia="黑体"/>
          <w:sz w:val="32"/>
          <w:szCs w:val="32"/>
        </w:rPr>
      </w:pPr>
      <w:r>
        <w:rPr>
          <w:rFonts w:hint="eastAsia" w:ascii="黑体" w:hAnsi="宋体" w:eastAsia="黑体"/>
          <w:sz w:val="32"/>
          <w:szCs w:val="32"/>
        </w:rPr>
        <w:t>附表七：施工组织设计(技术暗标部分)编制要求</w:t>
      </w:r>
    </w:p>
    <w:p>
      <w:pPr>
        <w:spacing w:line="460" w:lineRule="exact"/>
        <w:ind w:firstLine="420" w:firstLineChars="200"/>
        <w:rPr>
          <w:rFonts w:ascii="宋体" w:hAnsi="宋体"/>
          <w:szCs w:val="21"/>
        </w:rPr>
      </w:pPr>
      <w:r>
        <w:rPr>
          <w:rStyle w:val="164"/>
          <w:rFonts w:asciiTheme="minorEastAsia" w:hAnsiTheme="minorEastAsia" w:eastAsiaTheme="minorEastAsia"/>
          <w:szCs w:val="21"/>
          <w:shd w:val="clear" w:color="auto" w:fill="FFFFFF"/>
        </w:rPr>
        <w:t>“暗标”应当以能够隐去投标人的身份为原则，施工组织设计采用“暗标”形式，未按要求编写施工组织设计（以下简称技术标）的，施工组织设计为 0 分。具体要求如下：</w:t>
      </w:r>
      <w:r>
        <w:rPr>
          <w:rFonts w:asciiTheme="minorEastAsia" w:hAnsiTheme="minorEastAsia" w:eastAsiaTheme="minorEastAsia"/>
          <w:szCs w:val="21"/>
          <w:shd w:val="clear" w:color="auto" w:fill="FFFFFF"/>
        </w:rPr>
        <w:br w:type="textWrapping"/>
      </w:r>
      <w:r>
        <w:rPr>
          <w:rStyle w:val="164"/>
          <w:rFonts w:asciiTheme="minorEastAsia" w:hAnsiTheme="minorEastAsia" w:eastAsiaTheme="minorEastAsia"/>
          <w:szCs w:val="21"/>
          <w:shd w:val="clear" w:color="auto" w:fill="FFFFFF"/>
        </w:rPr>
        <w:t>1、编写软件及版本要求：Microsoft Word 2007 或以上；</w:t>
      </w:r>
      <w:r>
        <w:rPr>
          <w:rFonts w:asciiTheme="minorEastAsia" w:hAnsiTheme="minorEastAsia" w:eastAsiaTheme="minorEastAsia"/>
          <w:szCs w:val="21"/>
          <w:shd w:val="clear" w:color="auto" w:fill="FFFFFF"/>
        </w:rPr>
        <w:br w:type="textWrapping"/>
      </w:r>
      <w:r>
        <w:rPr>
          <w:rStyle w:val="164"/>
          <w:rFonts w:asciiTheme="minorEastAsia" w:hAnsiTheme="minorEastAsia" w:eastAsiaTheme="minorEastAsia"/>
          <w:szCs w:val="21"/>
          <w:shd w:val="clear" w:color="auto" w:fill="FFFFFF"/>
        </w:rPr>
        <w:t>2、任何情况下，技术暗标中不得出现任何行间插字或删除痕迹；</w:t>
      </w:r>
      <w:r>
        <w:rPr>
          <w:rFonts w:asciiTheme="minorEastAsia" w:hAnsiTheme="minorEastAsia" w:eastAsiaTheme="minorEastAsia"/>
          <w:szCs w:val="21"/>
          <w:shd w:val="clear" w:color="auto" w:fill="FFFFFF"/>
        </w:rPr>
        <w:br w:type="textWrapping"/>
      </w:r>
      <w:r>
        <w:rPr>
          <w:rStyle w:val="164"/>
          <w:rFonts w:asciiTheme="minorEastAsia" w:hAnsiTheme="minorEastAsia" w:eastAsiaTheme="minorEastAsia"/>
          <w:szCs w:val="21"/>
          <w:shd w:val="clear" w:color="auto" w:fill="FFFFFF"/>
        </w:rPr>
        <w:t>3、除满足上述各项要求外，构成投标文件的“技术暗标”的正文中均不得出现投标人的名称和其它可识别投标人身份的字符、徽标、人员名称以及其他特殊标记等。</w:t>
      </w:r>
      <w:r>
        <w:rPr>
          <w:rFonts w:asciiTheme="minorEastAsia" w:hAnsiTheme="minorEastAsia" w:eastAsiaTheme="minorEastAsia"/>
          <w:szCs w:val="21"/>
          <w:shd w:val="clear" w:color="auto" w:fill="FFFFFF"/>
        </w:rPr>
        <w:br w:type="textWrapping"/>
      </w:r>
      <w:r>
        <w:rPr>
          <w:rStyle w:val="164"/>
          <w:rFonts w:asciiTheme="minorEastAsia" w:hAnsiTheme="minorEastAsia" w:eastAsiaTheme="minorEastAsia"/>
          <w:szCs w:val="21"/>
          <w:shd w:val="clear" w:color="auto" w:fill="FFFFFF"/>
        </w:rPr>
        <w:t>4、技术标设封面，格式见附件。技术标正文应采用：“白底 A4 纸张，纵向排版”，“宋体”四号字(黑色)；不允许涂改或删除痕迹；不允许字体涂色、不允许字体加粗；不允许出现目录；不允许出现页码、页眉、页脚；对齐方式：左对齐；大纲级别：正文文本，行距为固定值 25 磅；页边距（上 3 厘米，下 3厘米，左 2 厘米，右 2 厘米），段前 0 行 0 磅，段后 0 行 0 磅；左侧缩进 0 字符 0 厘米，右侧缩进 0 字符 0 厘米。大、小标题所用文字采用 “宋体” 四号字(黑色)；图表中字体为宋体、字号自拟。</w:t>
      </w:r>
      <w:r>
        <w:rPr>
          <w:rFonts w:asciiTheme="minorEastAsia" w:hAnsiTheme="minorEastAsia" w:eastAsiaTheme="minorEastAsia"/>
          <w:szCs w:val="21"/>
          <w:shd w:val="clear" w:color="auto" w:fill="FFFFFF"/>
        </w:rPr>
        <w:br w:type="textWrapping"/>
      </w:r>
      <w:r>
        <w:rPr>
          <w:rStyle w:val="164"/>
          <w:rFonts w:asciiTheme="minorEastAsia" w:hAnsiTheme="minorEastAsia" w:eastAsiaTheme="minorEastAsia"/>
          <w:szCs w:val="21"/>
          <w:shd w:val="clear" w:color="auto" w:fill="FFFFFF"/>
        </w:rPr>
        <w:t>5、技术标文件、内容、文字、标设图形均不得出现彩色文字；不得出现投标单位名称、相关人员姓名等能体现有关投标单位信息的提示性标记、文字、语句等。</w:t>
      </w:r>
      <w:r>
        <w:rPr>
          <w:rFonts w:ascii="黑体" w:hAnsi="宋体" w:eastAsia="黑体"/>
          <w:sz w:val="32"/>
          <w:szCs w:val="32"/>
        </w:rPr>
        <w:br w:type="page"/>
      </w:r>
    </w:p>
    <w:p>
      <w:pPr>
        <w:spacing w:before="156" w:beforeLines="50" w:after="312" w:afterLines="100" w:line="360" w:lineRule="auto"/>
        <w:sectPr>
          <w:pgSz w:w="11906" w:h="16838"/>
          <w:pgMar w:top="1440" w:right="1797" w:bottom="1440" w:left="1797" w:header="851" w:footer="851" w:gutter="0"/>
          <w:cols w:space="720" w:num="1"/>
          <w:docGrid w:type="lines" w:linePitch="312" w:charSpace="0"/>
        </w:sectPr>
      </w:pPr>
      <w:r>
        <w:rPr>
          <w:rFonts w:hint="eastAsia" w:ascii="黑体" w:hAnsi="宋体" w:eastAsia="黑体"/>
          <w:sz w:val="32"/>
          <w:szCs w:val="32"/>
        </w:rPr>
        <w:t xml:space="preserve">       附表八：施工组织设计(技术暗标部分)封面</w:t>
      </w:r>
    </w:p>
    <w:p>
      <w:pPr>
        <w:jc w:val="center"/>
        <w:rPr>
          <w:sz w:val="110"/>
          <w:szCs w:val="110"/>
        </w:rPr>
      </w:pPr>
    </w:p>
    <w:p>
      <w:pPr>
        <w:spacing w:before="312" w:beforeLines="100"/>
        <w:jc w:val="center"/>
        <w:rPr>
          <w:b/>
          <w:sz w:val="100"/>
          <w:szCs w:val="100"/>
        </w:rPr>
      </w:pPr>
      <w:r>
        <w:rPr>
          <w:rFonts w:hint="eastAsia"/>
          <w:b/>
          <w:sz w:val="100"/>
          <w:szCs w:val="100"/>
        </w:rPr>
        <w:t>施</w:t>
      </w:r>
    </w:p>
    <w:p>
      <w:pPr>
        <w:spacing w:before="312" w:beforeLines="100"/>
        <w:jc w:val="center"/>
        <w:rPr>
          <w:b/>
          <w:sz w:val="100"/>
          <w:szCs w:val="100"/>
        </w:rPr>
      </w:pPr>
      <w:r>
        <w:rPr>
          <w:rFonts w:hint="eastAsia"/>
          <w:b/>
          <w:sz w:val="100"/>
          <w:szCs w:val="100"/>
        </w:rPr>
        <w:t>工</w:t>
      </w:r>
    </w:p>
    <w:p>
      <w:pPr>
        <w:spacing w:before="312" w:beforeLines="100"/>
        <w:jc w:val="center"/>
        <w:rPr>
          <w:b/>
          <w:sz w:val="100"/>
          <w:szCs w:val="100"/>
        </w:rPr>
      </w:pPr>
      <w:r>
        <w:rPr>
          <w:rFonts w:hint="eastAsia"/>
          <w:b/>
          <w:sz w:val="100"/>
          <w:szCs w:val="100"/>
        </w:rPr>
        <w:t>组</w:t>
      </w:r>
    </w:p>
    <w:p>
      <w:pPr>
        <w:spacing w:before="312" w:beforeLines="100"/>
        <w:jc w:val="center"/>
        <w:rPr>
          <w:b/>
          <w:sz w:val="100"/>
          <w:szCs w:val="100"/>
        </w:rPr>
      </w:pPr>
      <w:r>
        <w:rPr>
          <w:rFonts w:hint="eastAsia"/>
          <w:b/>
          <w:sz w:val="100"/>
          <w:szCs w:val="100"/>
        </w:rPr>
        <w:t>织</w:t>
      </w:r>
    </w:p>
    <w:p>
      <w:pPr>
        <w:spacing w:before="312" w:beforeLines="100"/>
        <w:jc w:val="center"/>
        <w:rPr>
          <w:b/>
          <w:sz w:val="100"/>
          <w:szCs w:val="100"/>
        </w:rPr>
      </w:pPr>
      <w:r>
        <w:rPr>
          <w:rFonts w:hint="eastAsia"/>
          <w:b/>
          <w:sz w:val="100"/>
          <w:szCs w:val="100"/>
        </w:rPr>
        <w:t>设</w:t>
      </w:r>
    </w:p>
    <w:p>
      <w:pPr>
        <w:spacing w:before="312" w:beforeLines="100"/>
        <w:jc w:val="center"/>
        <w:rPr>
          <w:b/>
          <w:sz w:val="100"/>
          <w:szCs w:val="100"/>
        </w:rPr>
      </w:pPr>
      <w:r>
        <w:rPr>
          <w:rFonts w:hint="eastAsia"/>
          <w:b/>
          <w:sz w:val="100"/>
          <w:szCs w:val="100"/>
        </w:rPr>
        <w:t>计</w:t>
      </w:r>
    </w:p>
    <w:p/>
    <w:sectPr>
      <w:pgSz w:w="11906" w:h="16838"/>
      <w:pgMar w:top="1440" w:right="1797" w:bottom="1440" w:left="1797"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细黑">
    <w:altName w:val="微软雅黑"/>
    <w:panose1 w:val="00000000000000000000"/>
    <w:charset w:val="86"/>
    <w:family w:val="auto"/>
    <w:pitch w:val="default"/>
    <w:sig w:usb0="00000000" w:usb1="00000000" w:usb2="00000010" w:usb3="00000000" w:csb0="0004009F" w:csb1="00000000"/>
  </w:font>
  <w:font w:name="幼圆">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fldChar w:fldCharType="begin"/>
    </w:r>
    <w:r>
      <w:rPr>
        <w:rStyle w:val="48"/>
      </w:rPr>
      <w:instrText xml:space="preserve">PAGE  </w:instrText>
    </w:r>
    <w:r>
      <w:fldChar w:fldCharType="separate"/>
    </w:r>
    <w:r>
      <w:rPr>
        <w:rStyle w:val="48"/>
      </w:rPr>
      <w:t>1</w:t>
    </w:r>
    <w:r>
      <w:fldChar w:fldCharType="end"/>
    </w:r>
  </w:p>
  <w:p>
    <w:pPr>
      <w:pStyle w:val="2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top w:val="single" w:color="9BBB59" w:sz="24" w:space="5"/>
      </w:pBdr>
      <w:jc w:val="right"/>
      <w:rPr>
        <w:i/>
        <w:iCs/>
        <w:color w:val="8C8C8C"/>
      </w:rPr>
    </w:pPr>
    <w:r>
      <w:rPr>
        <w:rFonts w:hint="eastAsia"/>
        <w:bCs/>
        <w:sz w:val="24"/>
        <w:szCs w:val="24"/>
      </w:rPr>
      <w:t>唐河县龙建工程管理有限公司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fldChar w:fldCharType="begin"/>
    </w:r>
    <w:r>
      <w:rPr>
        <w:rStyle w:val="48"/>
      </w:rPr>
      <w:instrText xml:space="preserve">PAGE  </w:instrText>
    </w:r>
    <w:r>
      <w:fldChar w:fldCharType="end"/>
    </w:r>
  </w:p>
  <w:p>
    <w:pPr>
      <w:pStyle w:val="2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16BB7"/>
    <w:multiLevelType w:val="multilevel"/>
    <w:tmpl w:val="11F16BB7"/>
    <w:lvl w:ilvl="0" w:tentative="0">
      <w:start w:val="1"/>
      <w:numFmt w:val="decimal"/>
      <w:lvlText w:val="(%1)"/>
      <w:lvlJc w:val="left"/>
      <w:pPr>
        <w:tabs>
          <w:tab w:val="left" w:pos="780"/>
        </w:tabs>
        <w:ind w:left="780" w:hanging="360"/>
      </w:pPr>
      <w:rPr>
        <w:rFonts w:ascii="宋体" w:eastAsia="宋体"/>
        <w:kern w:val="2"/>
        <w:sz w:val="21"/>
      </w:rPr>
    </w:lvl>
    <w:lvl w:ilvl="1" w:tentative="0">
      <w:start w:val="1"/>
      <w:numFmt w:val="decimal"/>
      <w:lvlText w:val="（%2）"/>
      <w:lvlJc w:val="left"/>
      <w:pPr>
        <w:ind w:left="1560" w:hanging="720"/>
      </w:pPr>
      <w:rPr>
        <w:rFonts w:hint="default"/>
      </w:rPr>
    </w:lvl>
    <w:lvl w:ilvl="2" w:tentative="0">
      <w:start w:val="1"/>
      <w:numFmt w:val="decimal"/>
      <w:lvlText w:val="%3、"/>
      <w:lvlJc w:val="left"/>
      <w:pPr>
        <w:ind w:left="1620" w:hanging="360"/>
      </w:pPr>
      <w:rPr>
        <w:rFonts w:hint="default"/>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1E1A036E"/>
    <w:multiLevelType w:val="multilevel"/>
    <w:tmpl w:val="1E1A036E"/>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24940A03"/>
    <w:multiLevelType w:val="multilevel"/>
    <w:tmpl w:val="24940A03"/>
    <w:lvl w:ilvl="0" w:tentative="0">
      <w:start w:val="1"/>
      <w:numFmt w:val="decimal"/>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27A117D3"/>
    <w:multiLevelType w:val="multilevel"/>
    <w:tmpl w:val="27A117D3"/>
    <w:lvl w:ilvl="0" w:tentative="0">
      <w:start w:val="1"/>
      <w:numFmt w:val="decimal"/>
      <w:lvlText w:val="(%1)"/>
      <w:lvlJc w:val="left"/>
      <w:pPr>
        <w:tabs>
          <w:tab w:val="left" w:pos="780"/>
        </w:tabs>
        <w:ind w:left="780" w:hanging="360"/>
      </w:pPr>
      <w:rPr>
        <w:rFonts w:ascii="宋体" w:eastAsia="宋体"/>
        <w:kern w:val="2"/>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38C63D3B"/>
    <w:multiLevelType w:val="multilevel"/>
    <w:tmpl w:val="38C63D3B"/>
    <w:lvl w:ilvl="0" w:tentative="0">
      <w:start w:val="1"/>
      <w:numFmt w:val="decimal"/>
      <w:lvlText w:val="(%1)"/>
      <w:lvlJc w:val="left"/>
      <w:pPr>
        <w:tabs>
          <w:tab w:val="left" w:pos="840"/>
        </w:tabs>
        <w:ind w:left="857" w:hanging="437"/>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59A54B70"/>
    <w:multiLevelType w:val="multilevel"/>
    <w:tmpl w:val="59A54B70"/>
    <w:lvl w:ilvl="0" w:tentative="0">
      <w:start w:val="1"/>
      <w:numFmt w:val="decimal"/>
      <w:lvlText w:val="(%1)"/>
      <w:lvlJc w:val="left"/>
      <w:pPr>
        <w:tabs>
          <w:tab w:val="left" w:pos="780"/>
        </w:tabs>
        <w:ind w:left="780" w:hanging="360"/>
      </w:pPr>
      <w:rPr>
        <w:rFonts w:ascii="宋体" w:eastAsia="宋体"/>
        <w:kern w:val="2"/>
        <w:sz w:val="21"/>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6">
    <w:nsid w:val="7A585A45"/>
    <w:multiLevelType w:val="multilevel"/>
    <w:tmpl w:val="7A585A45"/>
    <w:lvl w:ilvl="0" w:tentative="0">
      <w:start w:val="1"/>
      <w:numFmt w:val="decimal"/>
      <w:lvlText w:val="(%1)"/>
      <w:lvlJc w:val="left"/>
      <w:pPr>
        <w:tabs>
          <w:tab w:val="left" w:pos="360"/>
        </w:tabs>
        <w:ind w:left="360" w:hanging="36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5"/>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c3NGE4YzNkZWIzZmIxNDc5ZDgwZmUxMmE2NzA1ODgifQ=="/>
  </w:docVars>
  <w:rsids>
    <w:rsidRoot w:val="000F6CA0"/>
    <w:rsid w:val="00001FB0"/>
    <w:rsid w:val="000039A7"/>
    <w:rsid w:val="00004DFF"/>
    <w:rsid w:val="00005E21"/>
    <w:rsid w:val="00005E40"/>
    <w:rsid w:val="00006B68"/>
    <w:rsid w:val="00007306"/>
    <w:rsid w:val="00007C81"/>
    <w:rsid w:val="00010565"/>
    <w:rsid w:val="00010ED4"/>
    <w:rsid w:val="000110C2"/>
    <w:rsid w:val="0001165F"/>
    <w:rsid w:val="00012F9E"/>
    <w:rsid w:val="00013ADD"/>
    <w:rsid w:val="00015C09"/>
    <w:rsid w:val="00020A33"/>
    <w:rsid w:val="0002361D"/>
    <w:rsid w:val="00024183"/>
    <w:rsid w:val="00025B65"/>
    <w:rsid w:val="0002624C"/>
    <w:rsid w:val="0002700C"/>
    <w:rsid w:val="0003022A"/>
    <w:rsid w:val="00030A63"/>
    <w:rsid w:val="00031530"/>
    <w:rsid w:val="000317BC"/>
    <w:rsid w:val="000341A9"/>
    <w:rsid w:val="000356FA"/>
    <w:rsid w:val="00035F47"/>
    <w:rsid w:val="0003619A"/>
    <w:rsid w:val="00037956"/>
    <w:rsid w:val="00037BDF"/>
    <w:rsid w:val="00037CDD"/>
    <w:rsid w:val="000419A4"/>
    <w:rsid w:val="00044517"/>
    <w:rsid w:val="000458AA"/>
    <w:rsid w:val="00045A89"/>
    <w:rsid w:val="00045A8E"/>
    <w:rsid w:val="000479DF"/>
    <w:rsid w:val="00047D95"/>
    <w:rsid w:val="00051EE8"/>
    <w:rsid w:val="0005243A"/>
    <w:rsid w:val="0005302D"/>
    <w:rsid w:val="00053E5E"/>
    <w:rsid w:val="00053FB6"/>
    <w:rsid w:val="00054BC6"/>
    <w:rsid w:val="00055B3C"/>
    <w:rsid w:val="00055C40"/>
    <w:rsid w:val="00055D8E"/>
    <w:rsid w:val="00057505"/>
    <w:rsid w:val="000643EC"/>
    <w:rsid w:val="00064A38"/>
    <w:rsid w:val="0006571B"/>
    <w:rsid w:val="00065FBA"/>
    <w:rsid w:val="0006652D"/>
    <w:rsid w:val="00066CC6"/>
    <w:rsid w:val="00066DA6"/>
    <w:rsid w:val="00067093"/>
    <w:rsid w:val="00073462"/>
    <w:rsid w:val="00074352"/>
    <w:rsid w:val="00074E48"/>
    <w:rsid w:val="00076974"/>
    <w:rsid w:val="000771E9"/>
    <w:rsid w:val="00077E64"/>
    <w:rsid w:val="0008036C"/>
    <w:rsid w:val="0008110B"/>
    <w:rsid w:val="000842A0"/>
    <w:rsid w:val="000874BC"/>
    <w:rsid w:val="00090E52"/>
    <w:rsid w:val="000922FF"/>
    <w:rsid w:val="00092C30"/>
    <w:rsid w:val="0009346E"/>
    <w:rsid w:val="0009538D"/>
    <w:rsid w:val="000957CB"/>
    <w:rsid w:val="0009620E"/>
    <w:rsid w:val="00097D96"/>
    <w:rsid w:val="000A0107"/>
    <w:rsid w:val="000A015C"/>
    <w:rsid w:val="000A245E"/>
    <w:rsid w:val="000A2C1D"/>
    <w:rsid w:val="000A384D"/>
    <w:rsid w:val="000A3BCA"/>
    <w:rsid w:val="000A3E88"/>
    <w:rsid w:val="000A4702"/>
    <w:rsid w:val="000A577C"/>
    <w:rsid w:val="000A5981"/>
    <w:rsid w:val="000A6D11"/>
    <w:rsid w:val="000B0C34"/>
    <w:rsid w:val="000B1337"/>
    <w:rsid w:val="000B2307"/>
    <w:rsid w:val="000B2D7F"/>
    <w:rsid w:val="000B3CE2"/>
    <w:rsid w:val="000B553D"/>
    <w:rsid w:val="000C062A"/>
    <w:rsid w:val="000C0E48"/>
    <w:rsid w:val="000C1657"/>
    <w:rsid w:val="000C2697"/>
    <w:rsid w:val="000C541C"/>
    <w:rsid w:val="000C5690"/>
    <w:rsid w:val="000C66A0"/>
    <w:rsid w:val="000D0866"/>
    <w:rsid w:val="000D0AE5"/>
    <w:rsid w:val="000D0F1B"/>
    <w:rsid w:val="000D2503"/>
    <w:rsid w:val="000D3DA7"/>
    <w:rsid w:val="000D3EF6"/>
    <w:rsid w:val="000D4589"/>
    <w:rsid w:val="000D4E9E"/>
    <w:rsid w:val="000D7631"/>
    <w:rsid w:val="000E1C72"/>
    <w:rsid w:val="000E2EDC"/>
    <w:rsid w:val="000E5A69"/>
    <w:rsid w:val="000E5BD1"/>
    <w:rsid w:val="000E6171"/>
    <w:rsid w:val="000E66E3"/>
    <w:rsid w:val="000E69BC"/>
    <w:rsid w:val="000E6D9F"/>
    <w:rsid w:val="000F282C"/>
    <w:rsid w:val="000F4D06"/>
    <w:rsid w:val="000F5115"/>
    <w:rsid w:val="000F6029"/>
    <w:rsid w:val="000F6209"/>
    <w:rsid w:val="000F6CA0"/>
    <w:rsid w:val="000F7ABE"/>
    <w:rsid w:val="000F7F61"/>
    <w:rsid w:val="0010007C"/>
    <w:rsid w:val="00100581"/>
    <w:rsid w:val="0010073C"/>
    <w:rsid w:val="00101809"/>
    <w:rsid w:val="00103435"/>
    <w:rsid w:val="00104143"/>
    <w:rsid w:val="0010427A"/>
    <w:rsid w:val="0010484E"/>
    <w:rsid w:val="001053AD"/>
    <w:rsid w:val="001071A4"/>
    <w:rsid w:val="0011078A"/>
    <w:rsid w:val="00111E78"/>
    <w:rsid w:val="00111F60"/>
    <w:rsid w:val="0011354A"/>
    <w:rsid w:val="00114CFC"/>
    <w:rsid w:val="0011527B"/>
    <w:rsid w:val="001161F9"/>
    <w:rsid w:val="00117BE7"/>
    <w:rsid w:val="00120020"/>
    <w:rsid w:val="00120BD3"/>
    <w:rsid w:val="00120F7E"/>
    <w:rsid w:val="00131801"/>
    <w:rsid w:val="00133570"/>
    <w:rsid w:val="00135C67"/>
    <w:rsid w:val="001365CD"/>
    <w:rsid w:val="0013686A"/>
    <w:rsid w:val="001379A1"/>
    <w:rsid w:val="00137B08"/>
    <w:rsid w:val="00141A15"/>
    <w:rsid w:val="00142457"/>
    <w:rsid w:val="00143A8A"/>
    <w:rsid w:val="0014411D"/>
    <w:rsid w:val="00146156"/>
    <w:rsid w:val="0014718A"/>
    <w:rsid w:val="00147ED2"/>
    <w:rsid w:val="00150141"/>
    <w:rsid w:val="001504A0"/>
    <w:rsid w:val="001530C2"/>
    <w:rsid w:val="00156789"/>
    <w:rsid w:val="00164079"/>
    <w:rsid w:val="00167449"/>
    <w:rsid w:val="00173DEE"/>
    <w:rsid w:val="00175388"/>
    <w:rsid w:val="001757DD"/>
    <w:rsid w:val="00176EFC"/>
    <w:rsid w:val="00177125"/>
    <w:rsid w:val="00180EB5"/>
    <w:rsid w:val="00181690"/>
    <w:rsid w:val="00181A5C"/>
    <w:rsid w:val="00181CB9"/>
    <w:rsid w:val="00181D67"/>
    <w:rsid w:val="00182C7C"/>
    <w:rsid w:val="0018490E"/>
    <w:rsid w:val="00184D83"/>
    <w:rsid w:val="00185411"/>
    <w:rsid w:val="00185C3A"/>
    <w:rsid w:val="00187F61"/>
    <w:rsid w:val="0019132A"/>
    <w:rsid w:val="001919C7"/>
    <w:rsid w:val="001921E6"/>
    <w:rsid w:val="00195349"/>
    <w:rsid w:val="00195EA8"/>
    <w:rsid w:val="001965CB"/>
    <w:rsid w:val="00196820"/>
    <w:rsid w:val="00197340"/>
    <w:rsid w:val="001A1924"/>
    <w:rsid w:val="001A1FA3"/>
    <w:rsid w:val="001A24A7"/>
    <w:rsid w:val="001A2D07"/>
    <w:rsid w:val="001A3247"/>
    <w:rsid w:val="001A4B5D"/>
    <w:rsid w:val="001A6C70"/>
    <w:rsid w:val="001B45FD"/>
    <w:rsid w:val="001B5CAB"/>
    <w:rsid w:val="001B6718"/>
    <w:rsid w:val="001B7674"/>
    <w:rsid w:val="001C063A"/>
    <w:rsid w:val="001C0A9F"/>
    <w:rsid w:val="001C21FE"/>
    <w:rsid w:val="001C3D29"/>
    <w:rsid w:val="001C645C"/>
    <w:rsid w:val="001C6816"/>
    <w:rsid w:val="001C6994"/>
    <w:rsid w:val="001C7B58"/>
    <w:rsid w:val="001D018D"/>
    <w:rsid w:val="001D1508"/>
    <w:rsid w:val="001D15AC"/>
    <w:rsid w:val="001D15D1"/>
    <w:rsid w:val="001D1DAB"/>
    <w:rsid w:val="001D2F9A"/>
    <w:rsid w:val="001D3368"/>
    <w:rsid w:val="001D758D"/>
    <w:rsid w:val="001E1558"/>
    <w:rsid w:val="001E46CB"/>
    <w:rsid w:val="001E7A49"/>
    <w:rsid w:val="001E7D8E"/>
    <w:rsid w:val="001F0685"/>
    <w:rsid w:val="001F1493"/>
    <w:rsid w:val="001F2485"/>
    <w:rsid w:val="001F3337"/>
    <w:rsid w:val="001F3468"/>
    <w:rsid w:val="001F34ED"/>
    <w:rsid w:val="001F5208"/>
    <w:rsid w:val="001F66B2"/>
    <w:rsid w:val="002005C6"/>
    <w:rsid w:val="0020554F"/>
    <w:rsid w:val="002069D9"/>
    <w:rsid w:val="00206E61"/>
    <w:rsid w:val="0021096C"/>
    <w:rsid w:val="00210C94"/>
    <w:rsid w:val="0021171F"/>
    <w:rsid w:val="00212D7E"/>
    <w:rsid w:val="00213594"/>
    <w:rsid w:val="002142DF"/>
    <w:rsid w:val="00214868"/>
    <w:rsid w:val="00215042"/>
    <w:rsid w:val="002158E2"/>
    <w:rsid w:val="00215A8A"/>
    <w:rsid w:val="00215EBD"/>
    <w:rsid w:val="00216341"/>
    <w:rsid w:val="002169BC"/>
    <w:rsid w:val="00216FED"/>
    <w:rsid w:val="00220F3D"/>
    <w:rsid w:val="00221FFC"/>
    <w:rsid w:val="00224263"/>
    <w:rsid w:val="00224645"/>
    <w:rsid w:val="00224F04"/>
    <w:rsid w:val="00225911"/>
    <w:rsid w:val="00225E17"/>
    <w:rsid w:val="002264A8"/>
    <w:rsid w:val="002273E3"/>
    <w:rsid w:val="0023091B"/>
    <w:rsid w:val="002319A9"/>
    <w:rsid w:val="00232D21"/>
    <w:rsid w:val="00233451"/>
    <w:rsid w:val="00236144"/>
    <w:rsid w:val="00236E9B"/>
    <w:rsid w:val="00247180"/>
    <w:rsid w:val="00250E92"/>
    <w:rsid w:val="00251427"/>
    <w:rsid w:val="00254313"/>
    <w:rsid w:val="0025544A"/>
    <w:rsid w:val="00255C1C"/>
    <w:rsid w:val="00255F95"/>
    <w:rsid w:val="00256901"/>
    <w:rsid w:val="0025788C"/>
    <w:rsid w:val="0026279B"/>
    <w:rsid w:val="00265678"/>
    <w:rsid w:val="00265EAA"/>
    <w:rsid w:val="00266D31"/>
    <w:rsid w:val="00266E1F"/>
    <w:rsid w:val="00270864"/>
    <w:rsid w:val="00272BB1"/>
    <w:rsid w:val="00273765"/>
    <w:rsid w:val="00273C11"/>
    <w:rsid w:val="002740DD"/>
    <w:rsid w:val="0027502F"/>
    <w:rsid w:val="00276213"/>
    <w:rsid w:val="002768BC"/>
    <w:rsid w:val="00280281"/>
    <w:rsid w:val="0028120E"/>
    <w:rsid w:val="00281A99"/>
    <w:rsid w:val="0028218D"/>
    <w:rsid w:val="002857FF"/>
    <w:rsid w:val="00285E24"/>
    <w:rsid w:val="00290C00"/>
    <w:rsid w:val="00291732"/>
    <w:rsid w:val="002925FF"/>
    <w:rsid w:val="00292AEC"/>
    <w:rsid w:val="00294304"/>
    <w:rsid w:val="002945FA"/>
    <w:rsid w:val="00295AF2"/>
    <w:rsid w:val="002A0FC8"/>
    <w:rsid w:val="002A152A"/>
    <w:rsid w:val="002A2D37"/>
    <w:rsid w:val="002A6261"/>
    <w:rsid w:val="002B0501"/>
    <w:rsid w:val="002B1260"/>
    <w:rsid w:val="002B2D8E"/>
    <w:rsid w:val="002B50E7"/>
    <w:rsid w:val="002B5909"/>
    <w:rsid w:val="002B5F65"/>
    <w:rsid w:val="002B7162"/>
    <w:rsid w:val="002B7A42"/>
    <w:rsid w:val="002C13D9"/>
    <w:rsid w:val="002C285C"/>
    <w:rsid w:val="002C33EA"/>
    <w:rsid w:val="002D0163"/>
    <w:rsid w:val="002D196E"/>
    <w:rsid w:val="002D262C"/>
    <w:rsid w:val="002D2B4E"/>
    <w:rsid w:val="002D2EAE"/>
    <w:rsid w:val="002D35DF"/>
    <w:rsid w:val="002D3789"/>
    <w:rsid w:val="002D4893"/>
    <w:rsid w:val="002D512D"/>
    <w:rsid w:val="002D63DB"/>
    <w:rsid w:val="002D7540"/>
    <w:rsid w:val="002D7821"/>
    <w:rsid w:val="002E7F1A"/>
    <w:rsid w:val="002F00AC"/>
    <w:rsid w:val="002F0B2C"/>
    <w:rsid w:val="002F0D0F"/>
    <w:rsid w:val="002F4E0A"/>
    <w:rsid w:val="002F68C8"/>
    <w:rsid w:val="002F7A68"/>
    <w:rsid w:val="002F7F63"/>
    <w:rsid w:val="00301337"/>
    <w:rsid w:val="0030279E"/>
    <w:rsid w:val="00302D8F"/>
    <w:rsid w:val="0030466D"/>
    <w:rsid w:val="00304CA1"/>
    <w:rsid w:val="003050D3"/>
    <w:rsid w:val="0030679D"/>
    <w:rsid w:val="003068AF"/>
    <w:rsid w:val="0030721A"/>
    <w:rsid w:val="00311C57"/>
    <w:rsid w:val="0031245F"/>
    <w:rsid w:val="003134E2"/>
    <w:rsid w:val="00313A04"/>
    <w:rsid w:val="003168F9"/>
    <w:rsid w:val="00321737"/>
    <w:rsid w:val="00324974"/>
    <w:rsid w:val="00324B53"/>
    <w:rsid w:val="003265B0"/>
    <w:rsid w:val="003309AD"/>
    <w:rsid w:val="00331872"/>
    <w:rsid w:val="003322DE"/>
    <w:rsid w:val="00333B50"/>
    <w:rsid w:val="00334468"/>
    <w:rsid w:val="00334948"/>
    <w:rsid w:val="00337674"/>
    <w:rsid w:val="00337CEC"/>
    <w:rsid w:val="0034095F"/>
    <w:rsid w:val="003411E4"/>
    <w:rsid w:val="00341435"/>
    <w:rsid w:val="003423F1"/>
    <w:rsid w:val="003428E0"/>
    <w:rsid w:val="00342D2B"/>
    <w:rsid w:val="003451F9"/>
    <w:rsid w:val="00346974"/>
    <w:rsid w:val="00347AF6"/>
    <w:rsid w:val="00351482"/>
    <w:rsid w:val="00351DFC"/>
    <w:rsid w:val="00352C1E"/>
    <w:rsid w:val="0035335C"/>
    <w:rsid w:val="0035467A"/>
    <w:rsid w:val="00355C59"/>
    <w:rsid w:val="0035608C"/>
    <w:rsid w:val="003570FF"/>
    <w:rsid w:val="00360199"/>
    <w:rsid w:val="00360979"/>
    <w:rsid w:val="003610CC"/>
    <w:rsid w:val="0036158D"/>
    <w:rsid w:val="003622BB"/>
    <w:rsid w:val="00362F94"/>
    <w:rsid w:val="00365548"/>
    <w:rsid w:val="00365914"/>
    <w:rsid w:val="0036750A"/>
    <w:rsid w:val="0036793C"/>
    <w:rsid w:val="003714A0"/>
    <w:rsid w:val="0037417F"/>
    <w:rsid w:val="00374679"/>
    <w:rsid w:val="003751A5"/>
    <w:rsid w:val="0037687A"/>
    <w:rsid w:val="0037706E"/>
    <w:rsid w:val="0038014D"/>
    <w:rsid w:val="003801D9"/>
    <w:rsid w:val="00380713"/>
    <w:rsid w:val="00382391"/>
    <w:rsid w:val="0038410A"/>
    <w:rsid w:val="003859F4"/>
    <w:rsid w:val="003860D7"/>
    <w:rsid w:val="00387681"/>
    <w:rsid w:val="00387FB2"/>
    <w:rsid w:val="003904FA"/>
    <w:rsid w:val="00395335"/>
    <w:rsid w:val="00397CF0"/>
    <w:rsid w:val="00397FDE"/>
    <w:rsid w:val="003A611E"/>
    <w:rsid w:val="003B021C"/>
    <w:rsid w:val="003B4277"/>
    <w:rsid w:val="003B4B3A"/>
    <w:rsid w:val="003B573C"/>
    <w:rsid w:val="003B640D"/>
    <w:rsid w:val="003C4037"/>
    <w:rsid w:val="003C4553"/>
    <w:rsid w:val="003C680F"/>
    <w:rsid w:val="003C78D8"/>
    <w:rsid w:val="003D1C74"/>
    <w:rsid w:val="003D20F1"/>
    <w:rsid w:val="003D5B03"/>
    <w:rsid w:val="003D5B76"/>
    <w:rsid w:val="003D7F9E"/>
    <w:rsid w:val="003E019E"/>
    <w:rsid w:val="003E1DA9"/>
    <w:rsid w:val="003E3B5A"/>
    <w:rsid w:val="003E5C86"/>
    <w:rsid w:val="003E6B74"/>
    <w:rsid w:val="003E6F27"/>
    <w:rsid w:val="003F0A1D"/>
    <w:rsid w:val="003F3971"/>
    <w:rsid w:val="003F429A"/>
    <w:rsid w:val="003F5CB7"/>
    <w:rsid w:val="003F79F3"/>
    <w:rsid w:val="00400C00"/>
    <w:rsid w:val="00403C4B"/>
    <w:rsid w:val="00404014"/>
    <w:rsid w:val="00404742"/>
    <w:rsid w:val="0040579C"/>
    <w:rsid w:val="004060B5"/>
    <w:rsid w:val="00406CFF"/>
    <w:rsid w:val="0041417E"/>
    <w:rsid w:val="00414F47"/>
    <w:rsid w:val="00415838"/>
    <w:rsid w:val="004162D1"/>
    <w:rsid w:val="0041675D"/>
    <w:rsid w:val="00417282"/>
    <w:rsid w:val="00421782"/>
    <w:rsid w:val="0042196E"/>
    <w:rsid w:val="0042207A"/>
    <w:rsid w:val="00430292"/>
    <w:rsid w:val="00431B8C"/>
    <w:rsid w:val="00432DB5"/>
    <w:rsid w:val="004332B1"/>
    <w:rsid w:val="00435158"/>
    <w:rsid w:val="0043585C"/>
    <w:rsid w:val="0044259F"/>
    <w:rsid w:val="0044307B"/>
    <w:rsid w:val="0044372B"/>
    <w:rsid w:val="0044598B"/>
    <w:rsid w:val="004605E3"/>
    <w:rsid w:val="004619E6"/>
    <w:rsid w:val="00461AE3"/>
    <w:rsid w:val="0046252F"/>
    <w:rsid w:val="00463640"/>
    <w:rsid w:val="00466AA8"/>
    <w:rsid w:val="0046778C"/>
    <w:rsid w:val="0047025A"/>
    <w:rsid w:val="00471D3C"/>
    <w:rsid w:val="00474127"/>
    <w:rsid w:val="00474D68"/>
    <w:rsid w:val="00475676"/>
    <w:rsid w:val="00477A7F"/>
    <w:rsid w:val="0048149F"/>
    <w:rsid w:val="00483472"/>
    <w:rsid w:val="004849D0"/>
    <w:rsid w:val="00485783"/>
    <w:rsid w:val="0048683B"/>
    <w:rsid w:val="00486EC5"/>
    <w:rsid w:val="00486F66"/>
    <w:rsid w:val="00487082"/>
    <w:rsid w:val="00487825"/>
    <w:rsid w:val="00493520"/>
    <w:rsid w:val="00493AA5"/>
    <w:rsid w:val="004944BC"/>
    <w:rsid w:val="00494600"/>
    <w:rsid w:val="00495C34"/>
    <w:rsid w:val="00495FD2"/>
    <w:rsid w:val="00496A1B"/>
    <w:rsid w:val="00496DCF"/>
    <w:rsid w:val="00497F33"/>
    <w:rsid w:val="004A1825"/>
    <w:rsid w:val="004A3959"/>
    <w:rsid w:val="004A3FE1"/>
    <w:rsid w:val="004A40B8"/>
    <w:rsid w:val="004A5071"/>
    <w:rsid w:val="004A765D"/>
    <w:rsid w:val="004A7730"/>
    <w:rsid w:val="004A7FAF"/>
    <w:rsid w:val="004B1C8C"/>
    <w:rsid w:val="004B1F81"/>
    <w:rsid w:val="004B59F3"/>
    <w:rsid w:val="004B5C84"/>
    <w:rsid w:val="004B5F96"/>
    <w:rsid w:val="004B60C1"/>
    <w:rsid w:val="004C2DEE"/>
    <w:rsid w:val="004C3FC5"/>
    <w:rsid w:val="004C4129"/>
    <w:rsid w:val="004C54F0"/>
    <w:rsid w:val="004C6197"/>
    <w:rsid w:val="004C6977"/>
    <w:rsid w:val="004D1D63"/>
    <w:rsid w:val="004D3954"/>
    <w:rsid w:val="004D44F9"/>
    <w:rsid w:val="004D5292"/>
    <w:rsid w:val="004D74F0"/>
    <w:rsid w:val="004D7B6F"/>
    <w:rsid w:val="004E2752"/>
    <w:rsid w:val="004E3E62"/>
    <w:rsid w:val="004E45AF"/>
    <w:rsid w:val="004E7CD5"/>
    <w:rsid w:val="004F0CF4"/>
    <w:rsid w:val="004F0E7F"/>
    <w:rsid w:val="004F171F"/>
    <w:rsid w:val="004F1AB3"/>
    <w:rsid w:val="004F1C93"/>
    <w:rsid w:val="004F3B97"/>
    <w:rsid w:val="004F3DD3"/>
    <w:rsid w:val="004F3DE9"/>
    <w:rsid w:val="004F4530"/>
    <w:rsid w:val="004F501A"/>
    <w:rsid w:val="004F5564"/>
    <w:rsid w:val="00500A4C"/>
    <w:rsid w:val="00504569"/>
    <w:rsid w:val="00504B2E"/>
    <w:rsid w:val="00504D45"/>
    <w:rsid w:val="00506D9A"/>
    <w:rsid w:val="005079D4"/>
    <w:rsid w:val="00510A73"/>
    <w:rsid w:val="00511183"/>
    <w:rsid w:val="00511826"/>
    <w:rsid w:val="00511D45"/>
    <w:rsid w:val="00513913"/>
    <w:rsid w:val="005145F5"/>
    <w:rsid w:val="005147A3"/>
    <w:rsid w:val="00515D8E"/>
    <w:rsid w:val="00517407"/>
    <w:rsid w:val="00517C8F"/>
    <w:rsid w:val="00520EC8"/>
    <w:rsid w:val="00521243"/>
    <w:rsid w:val="005218D7"/>
    <w:rsid w:val="00521A55"/>
    <w:rsid w:val="005226FC"/>
    <w:rsid w:val="005229E6"/>
    <w:rsid w:val="00522D71"/>
    <w:rsid w:val="00525737"/>
    <w:rsid w:val="00525AE7"/>
    <w:rsid w:val="005265FB"/>
    <w:rsid w:val="00527A32"/>
    <w:rsid w:val="00527EA0"/>
    <w:rsid w:val="005317BA"/>
    <w:rsid w:val="00532D93"/>
    <w:rsid w:val="0053378D"/>
    <w:rsid w:val="00534888"/>
    <w:rsid w:val="005355CF"/>
    <w:rsid w:val="00535734"/>
    <w:rsid w:val="00535961"/>
    <w:rsid w:val="00536667"/>
    <w:rsid w:val="0054067D"/>
    <w:rsid w:val="00540EEF"/>
    <w:rsid w:val="005410F8"/>
    <w:rsid w:val="00541C2E"/>
    <w:rsid w:val="00542C98"/>
    <w:rsid w:val="005434E0"/>
    <w:rsid w:val="00544FC2"/>
    <w:rsid w:val="005467A2"/>
    <w:rsid w:val="00547575"/>
    <w:rsid w:val="005513C5"/>
    <w:rsid w:val="00552377"/>
    <w:rsid w:val="00556179"/>
    <w:rsid w:val="0055779A"/>
    <w:rsid w:val="005615E8"/>
    <w:rsid w:val="00561737"/>
    <w:rsid w:val="00562220"/>
    <w:rsid w:val="00564E48"/>
    <w:rsid w:val="005660AA"/>
    <w:rsid w:val="00567306"/>
    <w:rsid w:val="0056767D"/>
    <w:rsid w:val="00570627"/>
    <w:rsid w:val="00570980"/>
    <w:rsid w:val="0057582E"/>
    <w:rsid w:val="00580112"/>
    <w:rsid w:val="005803CD"/>
    <w:rsid w:val="0058205A"/>
    <w:rsid w:val="00582B4C"/>
    <w:rsid w:val="0058309F"/>
    <w:rsid w:val="00583530"/>
    <w:rsid w:val="0058363A"/>
    <w:rsid w:val="00585F85"/>
    <w:rsid w:val="0058604B"/>
    <w:rsid w:val="00590874"/>
    <w:rsid w:val="005909A1"/>
    <w:rsid w:val="0059470D"/>
    <w:rsid w:val="00594B2C"/>
    <w:rsid w:val="00595014"/>
    <w:rsid w:val="005A0079"/>
    <w:rsid w:val="005A1B81"/>
    <w:rsid w:val="005A1DDB"/>
    <w:rsid w:val="005A33D1"/>
    <w:rsid w:val="005A58FB"/>
    <w:rsid w:val="005B09C4"/>
    <w:rsid w:val="005B0ACC"/>
    <w:rsid w:val="005B1404"/>
    <w:rsid w:val="005B1CE0"/>
    <w:rsid w:val="005B29F5"/>
    <w:rsid w:val="005B3514"/>
    <w:rsid w:val="005B4895"/>
    <w:rsid w:val="005C10DF"/>
    <w:rsid w:val="005C14D9"/>
    <w:rsid w:val="005C59B7"/>
    <w:rsid w:val="005C70D2"/>
    <w:rsid w:val="005D4851"/>
    <w:rsid w:val="005D5683"/>
    <w:rsid w:val="005D72DA"/>
    <w:rsid w:val="005D757B"/>
    <w:rsid w:val="005E302B"/>
    <w:rsid w:val="005E4457"/>
    <w:rsid w:val="005E52FF"/>
    <w:rsid w:val="005E68ED"/>
    <w:rsid w:val="005E73F9"/>
    <w:rsid w:val="005E7E9D"/>
    <w:rsid w:val="005E7ECE"/>
    <w:rsid w:val="005F0B5C"/>
    <w:rsid w:val="005F30C7"/>
    <w:rsid w:val="005F37F0"/>
    <w:rsid w:val="005F573B"/>
    <w:rsid w:val="005F574C"/>
    <w:rsid w:val="005F5BFB"/>
    <w:rsid w:val="00600065"/>
    <w:rsid w:val="00601439"/>
    <w:rsid w:val="006015F3"/>
    <w:rsid w:val="0060188E"/>
    <w:rsid w:val="00602318"/>
    <w:rsid w:val="00606EDA"/>
    <w:rsid w:val="00607CB6"/>
    <w:rsid w:val="00611098"/>
    <w:rsid w:val="006118C0"/>
    <w:rsid w:val="0061396D"/>
    <w:rsid w:val="00616349"/>
    <w:rsid w:val="00620BB5"/>
    <w:rsid w:val="006220CF"/>
    <w:rsid w:val="006225FD"/>
    <w:rsid w:val="006236C5"/>
    <w:rsid w:val="006237D0"/>
    <w:rsid w:val="00623814"/>
    <w:rsid w:val="006244CF"/>
    <w:rsid w:val="00625552"/>
    <w:rsid w:val="006262DC"/>
    <w:rsid w:val="006302C5"/>
    <w:rsid w:val="006304FA"/>
    <w:rsid w:val="00630B51"/>
    <w:rsid w:val="006312B7"/>
    <w:rsid w:val="00631B20"/>
    <w:rsid w:val="00631C0E"/>
    <w:rsid w:val="0063301B"/>
    <w:rsid w:val="0063328D"/>
    <w:rsid w:val="006350F5"/>
    <w:rsid w:val="00636A8F"/>
    <w:rsid w:val="00637329"/>
    <w:rsid w:val="0063735C"/>
    <w:rsid w:val="00640086"/>
    <w:rsid w:val="006412CD"/>
    <w:rsid w:val="006412FB"/>
    <w:rsid w:val="00641397"/>
    <w:rsid w:val="00641B21"/>
    <w:rsid w:val="00641C33"/>
    <w:rsid w:val="00643114"/>
    <w:rsid w:val="00645103"/>
    <w:rsid w:val="006465DD"/>
    <w:rsid w:val="00647B49"/>
    <w:rsid w:val="00651247"/>
    <w:rsid w:val="0065168F"/>
    <w:rsid w:val="00652418"/>
    <w:rsid w:val="00654057"/>
    <w:rsid w:val="0065475E"/>
    <w:rsid w:val="00655C13"/>
    <w:rsid w:val="00660115"/>
    <w:rsid w:val="00660B11"/>
    <w:rsid w:val="00660E55"/>
    <w:rsid w:val="0066175C"/>
    <w:rsid w:val="00662008"/>
    <w:rsid w:val="00666575"/>
    <w:rsid w:val="006669B0"/>
    <w:rsid w:val="00667338"/>
    <w:rsid w:val="00667C71"/>
    <w:rsid w:val="00670D4D"/>
    <w:rsid w:val="00670F37"/>
    <w:rsid w:val="00672097"/>
    <w:rsid w:val="00672490"/>
    <w:rsid w:val="006726F6"/>
    <w:rsid w:val="00673067"/>
    <w:rsid w:val="0067481B"/>
    <w:rsid w:val="00675610"/>
    <w:rsid w:val="00680C48"/>
    <w:rsid w:val="00681FD7"/>
    <w:rsid w:val="006832A5"/>
    <w:rsid w:val="0068435B"/>
    <w:rsid w:val="00684541"/>
    <w:rsid w:val="00690A47"/>
    <w:rsid w:val="00690A79"/>
    <w:rsid w:val="00690D29"/>
    <w:rsid w:val="00691E57"/>
    <w:rsid w:val="00693043"/>
    <w:rsid w:val="00693253"/>
    <w:rsid w:val="00695B72"/>
    <w:rsid w:val="00697591"/>
    <w:rsid w:val="006A25F4"/>
    <w:rsid w:val="006A285C"/>
    <w:rsid w:val="006A4C45"/>
    <w:rsid w:val="006B1086"/>
    <w:rsid w:val="006B2640"/>
    <w:rsid w:val="006C4C18"/>
    <w:rsid w:val="006C545D"/>
    <w:rsid w:val="006C55C1"/>
    <w:rsid w:val="006C5DCF"/>
    <w:rsid w:val="006D064C"/>
    <w:rsid w:val="006D117B"/>
    <w:rsid w:val="006D23FA"/>
    <w:rsid w:val="006D3A8B"/>
    <w:rsid w:val="006D3F28"/>
    <w:rsid w:val="006D3FD2"/>
    <w:rsid w:val="006D4684"/>
    <w:rsid w:val="006D4F3F"/>
    <w:rsid w:val="006D585E"/>
    <w:rsid w:val="006D603A"/>
    <w:rsid w:val="006E0841"/>
    <w:rsid w:val="006E26B1"/>
    <w:rsid w:val="006E2F19"/>
    <w:rsid w:val="006E4DBF"/>
    <w:rsid w:val="006E531E"/>
    <w:rsid w:val="006E547F"/>
    <w:rsid w:val="006E6AF2"/>
    <w:rsid w:val="006F10F3"/>
    <w:rsid w:val="006F4072"/>
    <w:rsid w:val="006F499A"/>
    <w:rsid w:val="006F72CC"/>
    <w:rsid w:val="006F7F29"/>
    <w:rsid w:val="00700861"/>
    <w:rsid w:val="00702AE9"/>
    <w:rsid w:val="00704A24"/>
    <w:rsid w:val="007056D7"/>
    <w:rsid w:val="00706119"/>
    <w:rsid w:val="00706318"/>
    <w:rsid w:val="0070737A"/>
    <w:rsid w:val="00707398"/>
    <w:rsid w:val="007104E0"/>
    <w:rsid w:val="00710722"/>
    <w:rsid w:val="00711C6D"/>
    <w:rsid w:val="00715658"/>
    <w:rsid w:val="007205A0"/>
    <w:rsid w:val="00722579"/>
    <w:rsid w:val="00722974"/>
    <w:rsid w:val="00723662"/>
    <w:rsid w:val="00724960"/>
    <w:rsid w:val="0072538F"/>
    <w:rsid w:val="0072597D"/>
    <w:rsid w:val="00726966"/>
    <w:rsid w:val="007269FF"/>
    <w:rsid w:val="00726BB4"/>
    <w:rsid w:val="00731643"/>
    <w:rsid w:val="007343DD"/>
    <w:rsid w:val="00734768"/>
    <w:rsid w:val="0073528A"/>
    <w:rsid w:val="00737117"/>
    <w:rsid w:val="00740C35"/>
    <w:rsid w:val="00741596"/>
    <w:rsid w:val="00743530"/>
    <w:rsid w:val="007437BD"/>
    <w:rsid w:val="00746DF7"/>
    <w:rsid w:val="0074785B"/>
    <w:rsid w:val="00750BCD"/>
    <w:rsid w:val="00750D71"/>
    <w:rsid w:val="00751256"/>
    <w:rsid w:val="0075310F"/>
    <w:rsid w:val="00753649"/>
    <w:rsid w:val="00753F21"/>
    <w:rsid w:val="007570C6"/>
    <w:rsid w:val="00757AEB"/>
    <w:rsid w:val="007605FA"/>
    <w:rsid w:val="00760D96"/>
    <w:rsid w:val="00761963"/>
    <w:rsid w:val="0076279C"/>
    <w:rsid w:val="00763BC3"/>
    <w:rsid w:val="00764737"/>
    <w:rsid w:val="00764EA1"/>
    <w:rsid w:val="0076545E"/>
    <w:rsid w:val="007660E1"/>
    <w:rsid w:val="00766CBD"/>
    <w:rsid w:val="00766D39"/>
    <w:rsid w:val="00771201"/>
    <w:rsid w:val="00771550"/>
    <w:rsid w:val="0077250C"/>
    <w:rsid w:val="00774B43"/>
    <w:rsid w:val="00774BEE"/>
    <w:rsid w:val="00777DBD"/>
    <w:rsid w:val="00782456"/>
    <w:rsid w:val="00787244"/>
    <w:rsid w:val="00791336"/>
    <w:rsid w:val="00791590"/>
    <w:rsid w:val="00792189"/>
    <w:rsid w:val="00792536"/>
    <w:rsid w:val="0079310D"/>
    <w:rsid w:val="0079423B"/>
    <w:rsid w:val="00795F16"/>
    <w:rsid w:val="00797041"/>
    <w:rsid w:val="007A0A38"/>
    <w:rsid w:val="007A1F78"/>
    <w:rsid w:val="007A2CF0"/>
    <w:rsid w:val="007A3292"/>
    <w:rsid w:val="007A3963"/>
    <w:rsid w:val="007A410E"/>
    <w:rsid w:val="007A591E"/>
    <w:rsid w:val="007B071D"/>
    <w:rsid w:val="007B0CFD"/>
    <w:rsid w:val="007B1FDD"/>
    <w:rsid w:val="007B2325"/>
    <w:rsid w:val="007B29D0"/>
    <w:rsid w:val="007B3538"/>
    <w:rsid w:val="007B37FA"/>
    <w:rsid w:val="007B38D9"/>
    <w:rsid w:val="007B4374"/>
    <w:rsid w:val="007B5AD8"/>
    <w:rsid w:val="007B68B3"/>
    <w:rsid w:val="007B6B3C"/>
    <w:rsid w:val="007B7056"/>
    <w:rsid w:val="007C0D8E"/>
    <w:rsid w:val="007C30A0"/>
    <w:rsid w:val="007C30BC"/>
    <w:rsid w:val="007C3D26"/>
    <w:rsid w:val="007C4C2D"/>
    <w:rsid w:val="007C4E50"/>
    <w:rsid w:val="007C5E0F"/>
    <w:rsid w:val="007C6648"/>
    <w:rsid w:val="007C6E50"/>
    <w:rsid w:val="007D107C"/>
    <w:rsid w:val="007D29BB"/>
    <w:rsid w:val="007D2F23"/>
    <w:rsid w:val="007D3E2A"/>
    <w:rsid w:val="007D57DD"/>
    <w:rsid w:val="007D5B07"/>
    <w:rsid w:val="007D716E"/>
    <w:rsid w:val="007D7790"/>
    <w:rsid w:val="007D79A0"/>
    <w:rsid w:val="007D7E20"/>
    <w:rsid w:val="007E05CA"/>
    <w:rsid w:val="007E07E8"/>
    <w:rsid w:val="007E0839"/>
    <w:rsid w:val="007E1DE4"/>
    <w:rsid w:val="007E282C"/>
    <w:rsid w:val="007E4E48"/>
    <w:rsid w:val="007E4E4D"/>
    <w:rsid w:val="007E5A17"/>
    <w:rsid w:val="007E6597"/>
    <w:rsid w:val="007E6E7C"/>
    <w:rsid w:val="007E6FB5"/>
    <w:rsid w:val="007F200F"/>
    <w:rsid w:val="007F277D"/>
    <w:rsid w:val="007F58C3"/>
    <w:rsid w:val="007F5FEF"/>
    <w:rsid w:val="008003D5"/>
    <w:rsid w:val="00801805"/>
    <w:rsid w:val="008027D1"/>
    <w:rsid w:val="00803980"/>
    <w:rsid w:val="00806C09"/>
    <w:rsid w:val="00807832"/>
    <w:rsid w:val="00807C81"/>
    <w:rsid w:val="00810B09"/>
    <w:rsid w:val="00811767"/>
    <w:rsid w:val="00814392"/>
    <w:rsid w:val="0081507D"/>
    <w:rsid w:val="0081582D"/>
    <w:rsid w:val="0081699E"/>
    <w:rsid w:val="00817109"/>
    <w:rsid w:val="008231BA"/>
    <w:rsid w:val="0082326A"/>
    <w:rsid w:val="008240FD"/>
    <w:rsid w:val="00830264"/>
    <w:rsid w:val="0083224E"/>
    <w:rsid w:val="0083235B"/>
    <w:rsid w:val="00833DCB"/>
    <w:rsid w:val="0084055F"/>
    <w:rsid w:val="008412B2"/>
    <w:rsid w:val="00842EC2"/>
    <w:rsid w:val="008437E0"/>
    <w:rsid w:val="00843A0E"/>
    <w:rsid w:val="00844577"/>
    <w:rsid w:val="00844C79"/>
    <w:rsid w:val="008460E9"/>
    <w:rsid w:val="008462D8"/>
    <w:rsid w:val="0084751C"/>
    <w:rsid w:val="00847A79"/>
    <w:rsid w:val="00850F4A"/>
    <w:rsid w:val="008512B8"/>
    <w:rsid w:val="00853707"/>
    <w:rsid w:val="00853F77"/>
    <w:rsid w:val="008546B6"/>
    <w:rsid w:val="008558B3"/>
    <w:rsid w:val="00856757"/>
    <w:rsid w:val="0085792E"/>
    <w:rsid w:val="0086057C"/>
    <w:rsid w:val="00860850"/>
    <w:rsid w:val="008612BC"/>
    <w:rsid w:val="008628DC"/>
    <w:rsid w:val="00862B4E"/>
    <w:rsid w:val="00865648"/>
    <w:rsid w:val="00866BF2"/>
    <w:rsid w:val="00867AAC"/>
    <w:rsid w:val="00870DAB"/>
    <w:rsid w:val="0087198D"/>
    <w:rsid w:val="008722D0"/>
    <w:rsid w:val="00872790"/>
    <w:rsid w:val="0087640F"/>
    <w:rsid w:val="008768D0"/>
    <w:rsid w:val="00876BC1"/>
    <w:rsid w:val="00877D10"/>
    <w:rsid w:val="008819D3"/>
    <w:rsid w:val="00882BA3"/>
    <w:rsid w:val="0088312F"/>
    <w:rsid w:val="00883BAD"/>
    <w:rsid w:val="008842D8"/>
    <w:rsid w:val="00884374"/>
    <w:rsid w:val="00885DE7"/>
    <w:rsid w:val="00886B45"/>
    <w:rsid w:val="00887EC1"/>
    <w:rsid w:val="00891354"/>
    <w:rsid w:val="008918CA"/>
    <w:rsid w:val="008930E1"/>
    <w:rsid w:val="00895148"/>
    <w:rsid w:val="008973E5"/>
    <w:rsid w:val="0089765E"/>
    <w:rsid w:val="008978E1"/>
    <w:rsid w:val="00897FA9"/>
    <w:rsid w:val="008A00E3"/>
    <w:rsid w:val="008A3145"/>
    <w:rsid w:val="008A3BE6"/>
    <w:rsid w:val="008A3F9A"/>
    <w:rsid w:val="008A51EF"/>
    <w:rsid w:val="008A686B"/>
    <w:rsid w:val="008A70AC"/>
    <w:rsid w:val="008B3D33"/>
    <w:rsid w:val="008B4792"/>
    <w:rsid w:val="008B5405"/>
    <w:rsid w:val="008B5992"/>
    <w:rsid w:val="008B5E1D"/>
    <w:rsid w:val="008B62C1"/>
    <w:rsid w:val="008B6A5D"/>
    <w:rsid w:val="008B759B"/>
    <w:rsid w:val="008C01F8"/>
    <w:rsid w:val="008C1924"/>
    <w:rsid w:val="008C47EC"/>
    <w:rsid w:val="008C4B95"/>
    <w:rsid w:val="008C5421"/>
    <w:rsid w:val="008C5651"/>
    <w:rsid w:val="008C6CD3"/>
    <w:rsid w:val="008C74CF"/>
    <w:rsid w:val="008D0B21"/>
    <w:rsid w:val="008D144C"/>
    <w:rsid w:val="008D1B99"/>
    <w:rsid w:val="008D2C5A"/>
    <w:rsid w:val="008D42AC"/>
    <w:rsid w:val="008D50F7"/>
    <w:rsid w:val="008D53DB"/>
    <w:rsid w:val="008D6538"/>
    <w:rsid w:val="008D7355"/>
    <w:rsid w:val="008D76AA"/>
    <w:rsid w:val="008E08E1"/>
    <w:rsid w:val="008E0FF8"/>
    <w:rsid w:val="008E3605"/>
    <w:rsid w:val="008E419F"/>
    <w:rsid w:val="008E487E"/>
    <w:rsid w:val="008E6A1B"/>
    <w:rsid w:val="008E7AC4"/>
    <w:rsid w:val="008F1F04"/>
    <w:rsid w:val="008F28EE"/>
    <w:rsid w:val="008F4348"/>
    <w:rsid w:val="008F5845"/>
    <w:rsid w:val="008F715B"/>
    <w:rsid w:val="00900261"/>
    <w:rsid w:val="00900429"/>
    <w:rsid w:val="00901BC0"/>
    <w:rsid w:val="009025C9"/>
    <w:rsid w:val="00902C23"/>
    <w:rsid w:val="00903F64"/>
    <w:rsid w:val="00904906"/>
    <w:rsid w:val="0090530B"/>
    <w:rsid w:val="00905496"/>
    <w:rsid w:val="009069F5"/>
    <w:rsid w:val="00906A88"/>
    <w:rsid w:val="0090799B"/>
    <w:rsid w:val="009139A6"/>
    <w:rsid w:val="00913D0B"/>
    <w:rsid w:val="0091726C"/>
    <w:rsid w:val="00917A39"/>
    <w:rsid w:val="00917C63"/>
    <w:rsid w:val="009201B0"/>
    <w:rsid w:val="009203F0"/>
    <w:rsid w:val="00923169"/>
    <w:rsid w:val="009236E6"/>
    <w:rsid w:val="00924189"/>
    <w:rsid w:val="0092438A"/>
    <w:rsid w:val="00925CF7"/>
    <w:rsid w:val="0092682B"/>
    <w:rsid w:val="00926B63"/>
    <w:rsid w:val="0093111F"/>
    <w:rsid w:val="00931F50"/>
    <w:rsid w:val="00935264"/>
    <w:rsid w:val="00935F1E"/>
    <w:rsid w:val="00937B26"/>
    <w:rsid w:val="00940373"/>
    <w:rsid w:val="00940971"/>
    <w:rsid w:val="0094185A"/>
    <w:rsid w:val="00943ADB"/>
    <w:rsid w:val="0094449A"/>
    <w:rsid w:val="009446E3"/>
    <w:rsid w:val="00946189"/>
    <w:rsid w:val="0094644C"/>
    <w:rsid w:val="00947E8C"/>
    <w:rsid w:val="00952DA7"/>
    <w:rsid w:val="00952E08"/>
    <w:rsid w:val="0095342F"/>
    <w:rsid w:val="009535FA"/>
    <w:rsid w:val="00954BE3"/>
    <w:rsid w:val="00956650"/>
    <w:rsid w:val="00956DE7"/>
    <w:rsid w:val="009605A6"/>
    <w:rsid w:val="009606AE"/>
    <w:rsid w:val="00961AC0"/>
    <w:rsid w:val="00961D8B"/>
    <w:rsid w:val="00963D4C"/>
    <w:rsid w:val="00964398"/>
    <w:rsid w:val="00972094"/>
    <w:rsid w:val="009720B0"/>
    <w:rsid w:val="00973A34"/>
    <w:rsid w:val="009756C5"/>
    <w:rsid w:val="00975869"/>
    <w:rsid w:val="009761B0"/>
    <w:rsid w:val="00976A8C"/>
    <w:rsid w:val="0098352C"/>
    <w:rsid w:val="00986673"/>
    <w:rsid w:val="00987D82"/>
    <w:rsid w:val="00990214"/>
    <w:rsid w:val="00991F34"/>
    <w:rsid w:val="00997C41"/>
    <w:rsid w:val="009A0739"/>
    <w:rsid w:val="009A1A39"/>
    <w:rsid w:val="009A211E"/>
    <w:rsid w:val="009A29B2"/>
    <w:rsid w:val="009A486D"/>
    <w:rsid w:val="009A67F8"/>
    <w:rsid w:val="009A75B0"/>
    <w:rsid w:val="009B03F7"/>
    <w:rsid w:val="009B0BFE"/>
    <w:rsid w:val="009B1658"/>
    <w:rsid w:val="009B42D2"/>
    <w:rsid w:val="009B4AA3"/>
    <w:rsid w:val="009C0E2E"/>
    <w:rsid w:val="009C0F15"/>
    <w:rsid w:val="009C14CB"/>
    <w:rsid w:val="009C152C"/>
    <w:rsid w:val="009C1AA1"/>
    <w:rsid w:val="009C272E"/>
    <w:rsid w:val="009C2ED0"/>
    <w:rsid w:val="009C322E"/>
    <w:rsid w:val="009C34E2"/>
    <w:rsid w:val="009C3BCC"/>
    <w:rsid w:val="009C7893"/>
    <w:rsid w:val="009C7B40"/>
    <w:rsid w:val="009D13D3"/>
    <w:rsid w:val="009D1512"/>
    <w:rsid w:val="009D3296"/>
    <w:rsid w:val="009D3AC8"/>
    <w:rsid w:val="009D47E6"/>
    <w:rsid w:val="009D6163"/>
    <w:rsid w:val="009E2E43"/>
    <w:rsid w:val="009E309D"/>
    <w:rsid w:val="009E4799"/>
    <w:rsid w:val="009E4EE5"/>
    <w:rsid w:val="009E5CB3"/>
    <w:rsid w:val="009E6260"/>
    <w:rsid w:val="009E6617"/>
    <w:rsid w:val="009E72FF"/>
    <w:rsid w:val="009E735E"/>
    <w:rsid w:val="009E7A05"/>
    <w:rsid w:val="009F11D3"/>
    <w:rsid w:val="009F1BF6"/>
    <w:rsid w:val="009F1C0E"/>
    <w:rsid w:val="009F55BD"/>
    <w:rsid w:val="009F6180"/>
    <w:rsid w:val="009F6753"/>
    <w:rsid w:val="00A0075D"/>
    <w:rsid w:val="00A00EA8"/>
    <w:rsid w:val="00A010E7"/>
    <w:rsid w:val="00A04E04"/>
    <w:rsid w:val="00A054E1"/>
    <w:rsid w:val="00A05E2C"/>
    <w:rsid w:val="00A07787"/>
    <w:rsid w:val="00A1023C"/>
    <w:rsid w:val="00A14482"/>
    <w:rsid w:val="00A14B80"/>
    <w:rsid w:val="00A150C2"/>
    <w:rsid w:val="00A15B26"/>
    <w:rsid w:val="00A172B8"/>
    <w:rsid w:val="00A173B7"/>
    <w:rsid w:val="00A20378"/>
    <w:rsid w:val="00A21505"/>
    <w:rsid w:val="00A21965"/>
    <w:rsid w:val="00A2215C"/>
    <w:rsid w:val="00A239C2"/>
    <w:rsid w:val="00A25C57"/>
    <w:rsid w:val="00A25D7B"/>
    <w:rsid w:val="00A26510"/>
    <w:rsid w:val="00A330B9"/>
    <w:rsid w:val="00A34338"/>
    <w:rsid w:val="00A344B5"/>
    <w:rsid w:val="00A3456F"/>
    <w:rsid w:val="00A35BC4"/>
    <w:rsid w:val="00A3740E"/>
    <w:rsid w:val="00A37EC5"/>
    <w:rsid w:val="00A406A0"/>
    <w:rsid w:val="00A40D1D"/>
    <w:rsid w:val="00A40D79"/>
    <w:rsid w:val="00A4157A"/>
    <w:rsid w:val="00A42666"/>
    <w:rsid w:val="00A42D6C"/>
    <w:rsid w:val="00A43CCE"/>
    <w:rsid w:val="00A44CB8"/>
    <w:rsid w:val="00A46E18"/>
    <w:rsid w:val="00A47602"/>
    <w:rsid w:val="00A479E0"/>
    <w:rsid w:val="00A50A65"/>
    <w:rsid w:val="00A53D7C"/>
    <w:rsid w:val="00A5672B"/>
    <w:rsid w:val="00A608F4"/>
    <w:rsid w:val="00A61321"/>
    <w:rsid w:val="00A613B3"/>
    <w:rsid w:val="00A62412"/>
    <w:rsid w:val="00A647D7"/>
    <w:rsid w:val="00A64C16"/>
    <w:rsid w:val="00A653F4"/>
    <w:rsid w:val="00A658CD"/>
    <w:rsid w:val="00A6736C"/>
    <w:rsid w:val="00A71097"/>
    <w:rsid w:val="00A73E9D"/>
    <w:rsid w:val="00A75220"/>
    <w:rsid w:val="00A75C41"/>
    <w:rsid w:val="00A76B04"/>
    <w:rsid w:val="00A773A3"/>
    <w:rsid w:val="00A77832"/>
    <w:rsid w:val="00A77EAC"/>
    <w:rsid w:val="00A825F0"/>
    <w:rsid w:val="00A82E9F"/>
    <w:rsid w:val="00A83B52"/>
    <w:rsid w:val="00A86B97"/>
    <w:rsid w:val="00A8792E"/>
    <w:rsid w:val="00A87A25"/>
    <w:rsid w:val="00A9063A"/>
    <w:rsid w:val="00A9154F"/>
    <w:rsid w:val="00A92E1B"/>
    <w:rsid w:val="00A9517B"/>
    <w:rsid w:val="00A9554E"/>
    <w:rsid w:val="00A959A0"/>
    <w:rsid w:val="00A95AFD"/>
    <w:rsid w:val="00A97CCE"/>
    <w:rsid w:val="00AA07B3"/>
    <w:rsid w:val="00AA0B7A"/>
    <w:rsid w:val="00AA0E8C"/>
    <w:rsid w:val="00AA32BD"/>
    <w:rsid w:val="00AA3B76"/>
    <w:rsid w:val="00AA4BAE"/>
    <w:rsid w:val="00AA6069"/>
    <w:rsid w:val="00AA6421"/>
    <w:rsid w:val="00AA655F"/>
    <w:rsid w:val="00AA729E"/>
    <w:rsid w:val="00AA75CC"/>
    <w:rsid w:val="00AB01B5"/>
    <w:rsid w:val="00AB2013"/>
    <w:rsid w:val="00AB43FC"/>
    <w:rsid w:val="00AB4424"/>
    <w:rsid w:val="00AB4D77"/>
    <w:rsid w:val="00AB54C9"/>
    <w:rsid w:val="00AB57F7"/>
    <w:rsid w:val="00AB5D52"/>
    <w:rsid w:val="00AC1F59"/>
    <w:rsid w:val="00AC2388"/>
    <w:rsid w:val="00AC2534"/>
    <w:rsid w:val="00AC38D5"/>
    <w:rsid w:val="00AC4940"/>
    <w:rsid w:val="00AC5A52"/>
    <w:rsid w:val="00AC6891"/>
    <w:rsid w:val="00AC7029"/>
    <w:rsid w:val="00AC70DF"/>
    <w:rsid w:val="00AC7129"/>
    <w:rsid w:val="00AC78F6"/>
    <w:rsid w:val="00AD0086"/>
    <w:rsid w:val="00AD0C78"/>
    <w:rsid w:val="00AD37B6"/>
    <w:rsid w:val="00AD3831"/>
    <w:rsid w:val="00AD3A22"/>
    <w:rsid w:val="00AD3EEE"/>
    <w:rsid w:val="00AD7C5E"/>
    <w:rsid w:val="00AE024A"/>
    <w:rsid w:val="00AE035E"/>
    <w:rsid w:val="00AE2591"/>
    <w:rsid w:val="00AE44DA"/>
    <w:rsid w:val="00AE458B"/>
    <w:rsid w:val="00AE4B99"/>
    <w:rsid w:val="00AE53B8"/>
    <w:rsid w:val="00AE646E"/>
    <w:rsid w:val="00AF14A2"/>
    <w:rsid w:val="00AF1806"/>
    <w:rsid w:val="00AF4051"/>
    <w:rsid w:val="00AF5438"/>
    <w:rsid w:val="00AF6D11"/>
    <w:rsid w:val="00AF6D1D"/>
    <w:rsid w:val="00AF6FB3"/>
    <w:rsid w:val="00B00151"/>
    <w:rsid w:val="00B00D2A"/>
    <w:rsid w:val="00B0221C"/>
    <w:rsid w:val="00B0244E"/>
    <w:rsid w:val="00B0309C"/>
    <w:rsid w:val="00B03E79"/>
    <w:rsid w:val="00B05422"/>
    <w:rsid w:val="00B07126"/>
    <w:rsid w:val="00B07A78"/>
    <w:rsid w:val="00B07DBF"/>
    <w:rsid w:val="00B1182B"/>
    <w:rsid w:val="00B11D1B"/>
    <w:rsid w:val="00B17014"/>
    <w:rsid w:val="00B17A37"/>
    <w:rsid w:val="00B17A46"/>
    <w:rsid w:val="00B211E7"/>
    <w:rsid w:val="00B21581"/>
    <w:rsid w:val="00B234BC"/>
    <w:rsid w:val="00B2456D"/>
    <w:rsid w:val="00B249D3"/>
    <w:rsid w:val="00B27D28"/>
    <w:rsid w:val="00B316FD"/>
    <w:rsid w:val="00B3271F"/>
    <w:rsid w:val="00B32ED5"/>
    <w:rsid w:val="00B33569"/>
    <w:rsid w:val="00B34E59"/>
    <w:rsid w:val="00B369FC"/>
    <w:rsid w:val="00B36A3C"/>
    <w:rsid w:val="00B36AD5"/>
    <w:rsid w:val="00B375CE"/>
    <w:rsid w:val="00B37C42"/>
    <w:rsid w:val="00B4276E"/>
    <w:rsid w:val="00B4543C"/>
    <w:rsid w:val="00B45F60"/>
    <w:rsid w:val="00B4663A"/>
    <w:rsid w:val="00B471C5"/>
    <w:rsid w:val="00B5087D"/>
    <w:rsid w:val="00B51190"/>
    <w:rsid w:val="00B52471"/>
    <w:rsid w:val="00B557B1"/>
    <w:rsid w:val="00B55BDC"/>
    <w:rsid w:val="00B56324"/>
    <w:rsid w:val="00B56A29"/>
    <w:rsid w:val="00B610C2"/>
    <w:rsid w:val="00B62F0B"/>
    <w:rsid w:val="00B62FC3"/>
    <w:rsid w:val="00B64072"/>
    <w:rsid w:val="00B64CEA"/>
    <w:rsid w:val="00B64D8E"/>
    <w:rsid w:val="00B66C48"/>
    <w:rsid w:val="00B6746C"/>
    <w:rsid w:val="00B707B0"/>
    <w:rsid w:val="00B7099D"/>
    <w:rsid w:val="00B715FD"/>
    <w:rsid w:val="00B71C4C"/>
    <w:rsid w:val="00B72F10"/>
    <w:rsid w:val="00B73A27"/>
    <w:rsid w:val="00B74016"/>
    <w:rsid w:val="00B75654"/>
    <w:rsid w:val="00B80D53"/>
    <w:rsid w:val="00B83098"/>
    <w:rsid w:val="00B86FFB"/>
    <w:rsid w:val="00B873FC"/>
    <w:rsid w:val="00B90E11"/>
    <w:rsid w:val="00B920E0"/>
    <w:rsid w:val="00B96093"/>
    <w:rsid w:val="00B961B1"/>
    <w:rsid w:val="00B967A3"/>
    <w:rsid w:val="00B969E3"/>
    <w:rsid w:val="00B97109"/>
    <w:rsid w:val="00B97AEB"/>
    <w:rsid w:val="00BA009F"/>
    <w:rsid w:val="00BA1354"/>
    <w:rsid w:val="00BA1E83"/>
    <w:rsid w:val="00BA52D4"/>
    <w:rsid w:val="00BB030E"/>
    <w:rsid w:val="00BB3C09"/>
    <w:rsid w:val="00BB5ED7"/>
    <w:rsid w:val="00BB6CD5"/>
    <w:rsid w:val="00BB76AE"/>
    <w:rsid w:val="00BB78EE"/>
    <w:rsid w:val="00BC04F8"/>
    <w:rsid w:val="00BC0682"/>
    <w:rsid w:val="00BC166F"/>
    <w:rsid w:val="00BC1B23"/>
    <w:rsid w:val="00BC1CA9"/>
    <w:rsid w:val="00BC1F00"/>
    <w:rsid w:val="00BC4EFC"/>
    <w:rsid w:val="00BC53F5"/>
    <w:rsid w:val="00BC69B4"/>
    <w:rsid w:val="00BC6E3F"/>
    <w:rsid w:val="00BC71DC"/>
    <w:rsid w:val="00BC758C"/>
    <w:rsid w:val="00BD1B91"/>
    <w:rsid w:val="00BD3DCE"/>
    <w:rsid w:val="00BD4719"/>
    <w:rsid w:val="00BD4ADE"/>
    <w:rsid w:val="00BD5C51"/>
    <w:rsid w:val="00BE05AD"/>
    <w:rsid w:val="00BE05E4"/>
    <w:rsid w:val="00BE13AF"/>
    <w:rsid w:val="00BE152A"/>
    <w:rsid w:val="00BE1D90"/>
    <w:rsid w:val="00BE2108"/>
    <w:rsid w:val="00BE2A8B"/>
    <w:rsid w:val="00BE374D"/>
    <w:rsid w:val="00BE3805"/>
    <w:rsid w:val="00BE43C5"/>
    <w:rsid w:val="00BE5221"/>
    <w:rsid w:val="00BE5964"/>
    <w:rsid w:val="00BE69A0"/>
    <w:rsid w:val="00BF0899"/>
    <w:rsid w:val="00BF1B5A"/>
    <w:rsid w:val="00BF1D60"/>
    <w:rsid w:val="00BF3080"/>
    <w:rsid w:val="00BF392C"/>
    <w:rsid w:val="00BF40BD"/>
    <w:rsid w:val="00BF49D4"/>
    <w:rsid w:val="00BF651A"/>
    <w:rsid w:val="00C017BF"/>
    <w:rsid w:val="00C02B56"/>
    <w:rsid w:val="00C0301B"/>
    <w:rsid w:val="00C044C9"/>
    <w:rsid w:val="00C04DE1"/>
    <w:rsid w:val="00C04EB9"/>
    <w:rsid w:val="00C05250"/>
    <w:rsid w:val="00C05B59"/>
    <w:rsid w:val="00C07C0E"/>
    <w:rsid w:val="00C07FD8"/>
    <w:rsid w:val="00C100A3"/>
    <w:rsid w:val="00C113DA"/>
    <w:rsid w:val="00C162C8"/>
    <w:rsid w:val="00C17566"/>
    <w:rsid w:val="00C225B7"/>
    <w:rsid w:val="00C23560"/>
    <w:rsid w:val="00C2376B"/>
    <w:rsid w:val="00C23A83"/>
    <w:rsid w:val="00C2405B"/>
    <w:rsid w:val="00C24B8B"/>
    <w:rsid w:val="00C24F14"/>
    <w:rsid w:val="00C2640E"/>
    <w:rsid w:val="00C304F0"/>
    <w:rsid w:val="00C3120C"/>
    <w:rsid w:val="00C31818"/>
    <w:rsid w:val="00C3191B"/>
    <w:rsid w:val="00C353D5"/>
    <w:rsid w:val="00C359F0"/>
    <w:rsid w:val="00C36CB7"/>
    <w:rsid w:val="00C37427"/>
    <w:rsid w:val="00C37817"/>
    <w:rsid w:val="00C41550"/>
    <w:rsid w:val="00C419CE"/>
    <w:rsid w:val="00C43589"/>
    <w:rsid w:val="00C43FB0"/>
    <w:rsid w:val="00C4581D"/>
    <w:rsid w:val="00C46778"/>
    <w:rsid w:val="00C46BF9"/>
    <w:rsid w:val="00C51721"/>
    <w:rsid w:val="00C52AAA"/>
    <w:rsid w:val="00C561D4"/>
    <w:rsid w:val="00C5703B"/>
    <w:rsid w:val="00C60578"/>
    <w:rsid w:val="00C606B1"/>
    <w:rsid w:val="00C61584"/>
    <w:rsid w:val="00C63955"/>
    <w:rsid w:val="00C642A2"/>
    <w:rsid w:val="00C6596C"/>
    <w:rsid w:val="00C70944"/>
    <w:rsid w:val="00C7102B"/>
    <w:rsid w:val="00C72C1B"/>
    <w:rsid w:val="00C7346C"/>
    <w:rsid w:val="00C74522"/>
    <w:rsid w:val="00C76EB4"/>
    <w:rsid w:val="00C81081"/>
    <w:rsid w:val="00C81119"/>
    <w:rsid w:val="00C8263F"/>
    <w:rsid w:val="00C834C7"/>
    <w:rsid w:val="00C8522F"/>
    <w:rsid w:val="00C855EA"/>
    <w:rsid w:val="00C85E62"/>
    <w:rsid w:val="00C86BFC"/>
    <w:rsid w:val="00C90626"/>
    <w:rsid w:val="00C91B32"/>
    <w:rsid w:val="00C9252C"/>
    <w:rsid w:val="00C92E38"/>
    <w:rsid w:val="00C9371A"/>
    <w:rsid w:val="00C9425C"/>
    <w:rsid w:val="00C969AA"/>
    <w:rsid w:val="00C97FF0"/>
    <w:rsid w:val="00CA02A4"/>
    <w:rsid w:val="00CA0346"/>
    <w:rsid w:val="00CA18BA"/>
    <w:rsid w:val="00CA47DE"/>
    <w:rsid w:val="00CA56DB"/>
    <w:rsid w:val="00CA7F0D"/>
    <w:rsid w:val="00CB00EE"/>
    <w:rsid w:val="00CB0CE6"/>
    <w:rsid w:val="00CB1DC6"/>
    <w:rsid w:val="00CB37DD"/>
    <w:rsid w:val="00CB47A0"/>
    <w:rsid w:val="00CB5384"/>
    <w:rsid w:val="00CB5EE3"/>
    <w:rsid w:val="00CC1C03"/>
    <w:rsid w:val="00CC27FF"/>
    <w:rsid w:val="00CC3190"/>
    <w:rsid w:val="00CC31F2"/>
    <w:rsid w:val="00CC44B5"/>
    <w:rsid w:val="00CC4882"/>
    <w:rsid w:val="00CC4F09"/>
    <w:rsid w:val="00CC6EB4"/>
    <w:rsid w:val="00CC70C8"/>
    <w:rsid w:val="00CC7EF1"/>
    <w:rsid w:val="00CD0E9B"/>
    <w:rsid w:val="00CD2A16"/>
    <w:rsid w:val="00CD33E0"/>
    <w:rsid w:val="00CD3C59"/>
    <w:rsid w:val="00CD3E3F"/>
    <w:rsid w:val="00CD5389"/>
    <w:rsid w:val="00CD6910"/>
    <w:rsid w:val="00CD6C18"/>
    <w:rsid w:val="00CD74BD"/>
    <w:rsid w:val="00CE1469"/>
    <w:rsid w:val="00CE2FA3"/>
    <w:rsid w:val="00CE3657"/>
    <w:rsid w:val="00CE3BE0"/>
    <w:rsid w:val="00CE5EA3"/>
    <w:rsid w:val="00CE623F"/>
    <w:rsid w:val="00CE6E80"/>
    <w:rsid w:val="00CF06C5"/>
    <w:rsid w:val="00CF190A"/>
    <w:rsid w:val="00CF32BC"/>
    <w:rsid w:val="00CF3769"/>
    <w:rsid w:val="00CF5BAB"/>
    <w:rsid w:val="00CF70F0"/>
    <w:rsid w:val="00D005A5"/>
    <w:rsid w:val="00D04797"/>
    <w:rsid w:val="00D10F1B"/>
    <w:rsid w:val="00D11CB8"/>
    <w:rsid w:val="00D13912"/>
    <w:rsid w:val="00D146C0"/>
    <w:rsid w:val="00D160B0"/>
    <w:rsid w:val="00D2215A"/>
    <w:rsid w:val="00D255AB"/>
    <w:rsid w:val="00D26977"/>
    <w:rsid w:val="00D26AC3"/>
    <w:rsid w:val="00D26CA7"/>
    <w:rsid w:val="00D30070"/>
    <w:rsid w:val="00D300C0"/>
    <w:rsid w:val="00D3034E"/>
    <w:rsid w:val="00D30DE9"/>
    <w:rsid w:val="00D31548"/>
    <w:rsid w:val="00D31971"/>
    <w:rsid w:val="00D32143"/>
    <w:rsid w:val="00D33360"/>
    <w:rsid w:val="00D33AF7"/>
    <w:rsid w:val="00D34D41"/>
    <w:rsid w:val="00D358F6"/>
    <w:rsid w:val="00D36321"/>
    <w:rsid w:val="00D37225"/>
    <w:rsid w:val="00D37574"/>
    <w:rsid w:val="00D37E87"/>
    <w:rsid w:val="00D4165D"/>
    <w:rsid w:val="00D42EC8"/>
    <w:rsid w:val="00D432C6"/>
    <w:rsid w:val="00D4387A"/>
    <w:rsid w:val="00D47D04"/>
    <w:rsid w:val="00D5009C"/>
    <w:rsid w:val="00D505BE"/>
    <w:rsid w:val="00D5173B"/>
    <w:rsid w:val="00D53CA1"/>
    <w:rsid w:val="00D54E6F"/>
    <w:rsid w:val="00D54EC6"/>
    <w:rsid w:val="00D55903"/>
    <w:rsid w:val="00D55A72"/>
    <w:rsid w:val="00D55C8F"/>
    <w:rsid w:val="00D62807"/>
    <w:rsid w:val="00D62E42"/>
    <w:rsid w:val="00D62F8C"/>
    <w:rsid w:val="00D64025"/>
    <w:rsid w:val="00D65549"/>
    <w:rsid w:val="00D65C0F"/>
    <w:rsid w:val="00D66683"/>
    <w:rsid w:val="00D66DB3"/>
    <w:rsid w:val="00D703EE"/>
    <w:rsid w:val="00D70CE5"/>
    <w:rsid w:val="00D71133"/>
    <w:rsid w:val="00D720D3"/>
    <w:rsid w:val="00D74061"/>
    <w:rsid w:val="00D7540B"/>
    <w:rsid w:val="00D75B58"/>
    <w:rsid w:val="00D75BCA"/>
    <w:rsid w:val="00D7625F"/>
    <w:rsid w:val="00D77501"/>
    <w:rsid w:val="00D77CFF"/>
    <w:rsid w:val="00D802AA"/>
    <w:rsid w:val="00D806B9"/>
    <w:rsid w:val="00D838C4"/>
    <w:rsid w:val="00D8473E"/>
    <w:rsid w:val="00D90ECA"/>
    <w:rsid w:val="00D915C2"/>
    <w:rsid w:val="00D91716"/>
    <w:rsid w:val="00D92066"/>
    <w:rsid w:val="00D941FB"/>
    <w:rsid w:val="00D9513E"/>
    <w:rsid w:val="00D951C2"/>
    <w:rsid w:val="00D96DFD"/>
    <w:rsid w:val="00D96F62"/>
    <w:rsid w:val="00D97207"/>
    <w:rsid w:val="00DA1AE6"/>
    <w:rsid w:val="00DA2872"/>
    <w:rsid w:val="00DA2F3A"/>
    <w:rsid w:val="00DA34A4"/>
    <w:rsid w:val="00DA5806"/>
    <w:rsid w:val="00DA5999"/>
    <w:rsid w:val="00DA5BAD"/>
    <w:rsid w:val="00DA5E5A"/>
    <w:rsid w:val="00DA6B3A"/>
    <w:rsid w:val="00DA7023"/>
    <w:rsid w:val="00DA7962"/>
    <w:rsid w:val="00DB15DB"/>
    <w:rsid w:val="00DB197A"/>
    <w:rsid w:val="00DB2108"/>
    <w:rsid w:val="00DB29E6"/>
    <w:rsid w:val="00DB3640"/>
    <w:rsid w:val="00DB4C31"/>
    <w:rsid w:val="00DB4CC9"/>
    <w:rsid w:val="00DB59A5"/>
    <w:rsid w:val="00DB6BBE"/>
    <w:rsid w:val="00DB745E"/>
    <w:rsid w:val="00DC10BC"/>
    <w:rsid w:val="00DC3372"/>
    <w:rsid w:val="00DD0E4E"/>
    <w:rsid w:val="00DD10FE"/>
    <w:rsid w:val="00DD161C"/>
    <w:rsid w:val="00DD1A86"/>
    <w:rsid w:val="00DD2874"/>
    <w:rsid w:val="00DD4977"/>
    <w:rsid w:val="00DD53A3"/>
    <w:rsid w:val="00DD53AF"/>
    <w:rsid w:val="00DD6BC3"/>
    <w:rsid w:val="00DE102E"/>
    <w:rsid w:val="00DE1111"/>
    <w:rsid w:val="00DE1713"/>
    <w:rsid w:val="00DE1B17"/>
    <w:rsid w:val="00DE27C7"/>
    <w:rsid w:val="00DE4028"/>
    <w:rsid w:val="00DE431F"/>
    <w:rsid w:val="00DE4568"/>
    <w:rsid w:val="00DE5C31"/>
    <w:rsid w:val="00DE5DD6"/>
    <w:rsid w:val="00DE5E66"/>
    <w:rsid w:val="00DE6F61"/>
    <w:rsid w:val="00DF1B66"/>
    <w:rsid w:val="00DF3C07"/>
    <w:rsid w:val="00DF4C8B"/>
    <w:rsid w:val="00DF4CE4"/>
    <w:rsid w:val="00DF508B"/>
    <w:rsid w:val="00DF54C0"/>
    <w:rsid w:val="00DF6C6D"/>
    <w:rsid w:val="00DF75B1"/>
    <w:rsid w:val="00DF75BA"/>
    <w:rsid w:val="00E043DE"/>
    <w:rsid w:val="00E07B30"/>
    <w:rsid w:val="00E1076D"/>
    <w:rsid w:val="00E10902"/>
    <w:rsid w:val="00E158F7"/>
    <w:rsid w:val="00E2018F"/>
    <w:rsid w:val="00E212BA"/>
    <w:rsid w:val="00E21BEF"/>
    <w:rsid w:val="00E23D65"/>
    <w:rsid w:val="00E26B53"/>
    <w:rsid w:val="00E2751C"/>
    <w:rsid w:val="00E32076"/>
    <w:rsid w:val="00E3236E"/>
    <w:rsid w:val="00E35756"/>
    <w:rsid w:val="00E36142"/>
    <w:rsid w:val="00E436A5"/>
    <w:rsid w:val="00E4500C"/>
    <w:rsid w:val="00E452DF"/>
    <w:rsid w:val="00E478BC"/>
    <w:rsid w:val="00E47D56"/>
    <w:rsid w:val="00E52D98"/>
    <w:rsid w:val="00E53ED5"/>
    <w:rsid w:val="00E5419F"/>
    <w:rsid w:val="00E54B52"/>
    <w:rsid w:val="00E5551E"/>
    <w:rsid w:val="00E56113"/>
    <w:rsid w:val="00E572F3"/>
    <w:rsid w:val="00E57A70"/>
    <w:rsid w:val="00E60B7D"/>
    <w:rsid w:val="00E61324"/>
    <w:rsid w:val="00E6153D"/>
    <w:rsid w:val="00E6177D"/>
    <w:rsid w:val="00E6444F"/>
    <w:rsid w:val="00E669E6"/>
    <w:rsid w:val="00E7033E"/>
    <w:rsid w:val="00E72443"/>
    <w:rsid w:val="00E72590"/>
    <w:rsid w:val="00E72AAB"/>
    <w:rsid w:val="00E73698"/>
    <w:rsid w:val="00E742D6"/>
    <w:rsid w:val="00E760C3"/>
    <w:rsid w:val="00E76328"/>
    <w:rsid w:val="00E77400"/>
    <w:rsid w:val="00E801D7"/>
    <w:rsid w:val="00E81E38"/>
    <w:rsid w:val="00E8274A"/>
    <w:rsid w:val="00E83292"/>
    <w:rsid w:val="00E863F2"/>
    <w:rsid w:val="00E8688D"/>
    <w:rsid w:val="00E90E03"/>
    <w:rsid w:val="00E917AF"/>
    <w:rsid w:val="00E94BDF"/>
    <w:rsid w:val="00E94FE4"/>
    <w:rsid w:val="00E95A05"/>
    <w:rsid w:val="00E96EA0"/>
    <w:rsid w:val="00E97A94"/>
    <w:rsid w:val="00EA1AD3"/>
    <w:rsid w:val="00EA1E45"/>
    <w:rsid w:val="00EA25EB"/>
    <w:rsid w:val="00EA2970"/>
    <w:rsid w:val="00EA38AC"/>
    <w:rsid w:val="00EA4A65"/>
    <w:rsid w:val="00EA5ED9"/>
    <w:rsid w:val="00EA615B"/>
    <w:rsid w:val="00EA7482"/>
    <w:rsid w:val="00EB049A"/>
    <w:rsid w:val="00EB49BF"/>
    <w:rsid w:val="00EB5DD9"/>
    <w:rsid w:val="00EB7061"/>
    <w:rsid w:val="00EB71D6"/>
    <w:rsid w:val="00EC34A0"/>
    <w:rsid w:val="00EC40FF"/>
    <w:rsid w:val="00ED1EDF"/>
    <w:rsid w:val="00ED2A51"/>
    <w:rsid w:val="00ED3D2C"/>
    <w:rsid w:val="00ED7289"/>
    <w:rsid w:val="00ED7AA8"/>
    <w:rsid w:val="00EE0675"/>
    <w:rsid w:val="00EE09AA"/>
    <w:rsid w:val="00EE1B20"/>
    <w:rsid w:val="00EE3469"/>
    <w:rsid w:val="00EF053A"/>
    <w:rsid w:val="00EF0B87"/>
    <w:rsid w:val="00EF0F9B"/>
    <w:rsid w:val="00EF22CD"/>
    <w:rsid w:val="00EF3621"/>
    <w:rsid w:val="00EF4704"/>
    <w:rsid w:val="00EF593C"/>
    <w:rsid w:val="00EF5F28"/>
    <w:rsid w:val="00EF7285"/>
    <w:rsid w:val="00F010E8"/>
    <w:rsid w:val="00F012BA"/>
    <w:rsid w:val="00F04604"/>
    <w:rsid w:val="00F0685E"/>
    <w:rsid w:val="00F108D0"/>
    <w:rsid w:val="00F10BC4"/>
    <w:rsid w:val="00F119DE"/>
    <w:rsid w:val="00F121B0"/>
    <w:rsid w:val="00F1239F"/>
    <w:rsid w:val="00F15D88"/>
    <w:rsid w:val="00F16442"/>
    <w:rsid w:val="00F22A82"/>
    <w:rsid w:val="00F2404B"/>
    <w:rsid w:val="00F24798"/>
    <w:rsid w:val="00F248ED"/>
    <w:rsid w:val="00F24D14"/>
    <w:rsid w:val="00F25706"/>
    <w:rsid w:val="00F25807"/>
    <w:rsid w:val="00F26162"/>
    <w:rsid w:val="00F263AB"/>
    <w:rsid w:val="00F27B9B"/>
    <w:rsid w:val="00F30822"/>
    <w:rsid w:val="00F31F0D"/>
    <w:rsid w:val="00F32949"/>
    <w:rsid w:val="00F340DE"/>
    <w:rsid w:val="00F3411E"/>
    <w:rsid w:val="00F347EC"/>
    <w:rsid w:val="00F351F1"/>
    <w:rsid w:val="00F360FA"/>
    <w:rsid w:val="00F36388"/>
    <w:rsid w:val="00F3750F"/>
    <w:rsid w:val="00F377BF"/>
    <w:rsid w:val="00F415FA"/>
    <w:rsid w:val="00F424F7"/>
    <w:rsid w:val="00F442E5"/>
    <w:rsid w:val="00F45071"/>
    <w:rsid w:val="00F504FE"/>
    <w:rsid w:val="00F55CC5"/>
    <w:rsid w:val="00F56896"/>
    <w:rsid w:val="00F56BDD"/>
    <w:rsid w:val="00F57140"/>
    <w:rsid w:val="00F572F1"/>
    <w:rsid w:val="00F60217"/>
    <w:rsid w:val="00F60D76"/>
    <w:rsid w:val="00F6102D"/>
    <w:rsid w:val="00F61165"/>
    <w:rsid w:val="00F6281C"/>
    <w:rsid w:val="00F62E54"/>
    <w:rsid w:val="00F66B42"/>
    <w:rsid w:val="00F66E7C"/>
    <w:rsid w:val="00F66F04"/>
    <w:rsid w:val="00F707BA"/>
    <w:rsid w:val="00F7125E"/>
    <w:rsid w:val="00F71DAA"/>
    <w:rsid w:val="00F73563"/>
    <w:rsid w:val="00F743E8"/>
    <w:rsid w:val="00F75462"/>
    <w:rsid w:val="00F768F3"/>
    <w:rsid w:val="00F7789A"/>
    <w:rsid w:val="00F81086"/>
    <w:rsid w:val="00F810C4"/>
    <w:rsid w:val="00F82277"/>
    <w:rsid w:val="00F83D7A"/>
    <w:rsid w:val="00F86B57"/>
    <w:rsid w:val="00F87391"/>
    <w:rsid w:val="00F8758D"/>
    <w:rsid w:val="00F879FF"/>
    <w:rsid w:val="00F921E6"/>
    <w:rsid w:val="00F92E79"/>
    <w:rsid w:val="00F96F5B"/>
    <w:rsid w:val="00FA06D1"/>
    <w:rsid w:val="00FA2B1F"/>
    <w:rsid w:val="00FA2FBC"/>
    <w:rsid w:val="00FA3D2D"/>
    <w:rsid w:val="00FA3DA8"/>
    <w:rsid w:val="00FA7265"/>
    <w:rsid w:val="00FB033C"/>
    <w:rsid w:val="00FB04E8"/>
    <w:rsid w:val="00FB11C5"/>
    <w:rsid w:val="00FB24A3"/>
    <w:rsid w:val="00FB3DA7"/>
    <w:rsid w:val="00FB4B43"/>
    <w:rsid w:val="00FB518B"/>
    <w:rsid w:val="00FB5A71"/>
    <w:rsid w:val="00FB5D8F"/>
    <w:rsid w:val="00FB67EB"/>
    <w:rsid w:val="00FB68A6"/>
    <w:rsid w:val="00FB79F8"/>
    <w:rsid w:val="00FB7DD6"/>
    <w:rsid w:val="00FC00B1"/>
    <w:rsid w:val="00FC1024"/>
    <w:rsid w:val="00FC20F6"/>
    <w:rsid w:val="00FC3753"/>
    <w:rsid w:val="00FC45E9"/>
    <w:rsid w:val="00FC69AD"/>
    <w:rsid w:val="00FD062E"/>
    <w:rsid w:val="00FD2462"/>
    <w:rsid w:val="00FD4206"/>
    <w:rsid w:val="00FD43FA"/>
    <w:rsid w:val="00FD4570"/>
    <w:rsid w:val="00FD5A5D"/>
    <w:rsid w:val="00FD6988"/>
    <w:rsid w:val="00FD7338"/>
    <w:rsid w:val="00FE026D"/>
    <w:rsid w:val="00FE0B31"/>
    <w:rsid w:val="00FE5268"/>
    <w:rsid w:val="00FE61A4"/>
    <w:rsid w:val="00FE6958"/>
    <w:rsid w:val="00FE6FDA"/>
    <w:rsid w:val="00FF16E7"/>
    <w:rsid w:val="00FF5696"/>
    <w:rsid w:val="00FF5963"/>
    <w:rsid w:val="00FF5B2F"/>
    <w:rsid w:val="00FF631E"/>
    <w:rsid w:val="00FF6DC3"/>
    <w:rsid w:val="00FF75AE"/>
    <w:rsid w:val="00FF7E37"/>
    <w:rsid w:val="00FF7FDD"/>
    <w:rsid w:val="03EB7815"/>
    <w:rsid w:val="045E5C7D"/>
    <w:rsid w:val="04976479"/>
    <w:rsid w:val="05DC245D"/>
    <w:rsid w:val="066A7A79"/>
    <w:rsid w:val="07902D91"/>
    <w:rsid w:val="09487A85"/>
    <w:rsid w:val="0A485E70"/>
    <w:rsid w:val="0B095AB3"/>
    <w:rsid w:val="0B337820"/>
    <w:rsid w:val="0B446AEB"/>
    <w:rsid w:val="0B4A1814"/>
    <w:rsid w:val="0BC25AC9"/>
    <w:rsid w:val="0CA341D0"/>
    <w:rsid w:val="0E281675"/>
    <w:rsid w:val="0E3777FF"/>
    <w:rsid w:val="0EFE3455"/>
    <w:rsid w:val="11E938F1"/>
    <w:rsid w:val="13304D96"/>
    <w:rsid w:val="163C7FB2"/>
    <w:rsid w:val="168605C6"/>
    <w:rsid w:val="1696028B"/>
    <w:rsid w:val="169D4C03"/>
    <w:rsid w:val="188071EC"/>
    <w:rsid w:val="1E057B22"/>
    <w:rsid w:val="22147FE6"/>
    <w:rsid w:val="236F5E31"/>
    <w:rsid w:val="2466767A"/>
    <w:rsid w:val="26CD4B5F"/>
    <w:rsid w:val="271F4B51"/>
    <w:rsid w:val="283A0BC0"/>
    <w:rsid w:val="29087DFD"/>
    <w:rsid w:val="2912129A"/>
    <w:rsid w:val="2A500D37"/>
    <w:rsid w:val="2B122623"/>
    <w:rsid w:val="2B1C72B6"/>
    <w:rsid w:val="2C735390"/>
    <w:rsid w:val="2C932FD6"/>
    <w:rsid w:val="2CA5304B"/>
    <w:rsid w:val="2FE70875"/>
    <w:rsid w:val="338F32D4"/>
    <w:rsid w:val="34C81DA4"/>
    <w:rsid w:val="37DC2334"/>
    <w:rsid w:val="39F94FF7"/>
    <w:rsid w:val="3B9511F0"/>
    <w:rsid w:val="3EC917B4"/>
    <w:rsid w:val="3FAE7091"/>
    <w:rsid w:val="409749EB"/>
    <w:rsid w:val="41275591"/>
    <w:rsid w:val="41D66A18"/>
    <w:rsid w:val="42E3304C"/>
    <w:rsid w:val="43F403A7"/>
    <w:rsid w:val="45157FCA"/>
    <w:rsid w:val="49E30645"/>
    <w:rsid w:val="4A817DD7"/>
    <w:rsid w:val="4B262E8D"/>
    <w:rsid w:val="506A5C79"/>
    <w:rsid w:val="508809D7"/>
    <w:rsid w:val="51011065"/>
    <w:rsid w:val="51607800"/>
    <w:rsid w:val="51F7458C"/>
    <w:rsid w:val="544B7748"/>
    <w:rsid w:val="574C52C4"/>
    <w:rsid w:val="5968352A"/>
    <w:rsid w:val="59963CCF"/>
    <w:rsid w:val="5C7B6A69"/>
    <w:rsid w:val="5FCD4898"/>
    <w:rsid w:val="626726FE"/>
    <w:rsid w:val="62DE42A4"/>
    <w:rsid w:val="62FE3EF7"/>
    <w:rsid w:val="637C1645"/>
    <w:rsid w:val="64176BC2"/>
    <w:rsid w:val="64EC2CEA"/>
    <w:rsid w:val="658E5783"/>
    <w:rsid w:val="68F04FF8"/>
    <w:rsid w:val="6A5D3B97"/>
    <w:rsid w:val="6B6B71B5"/>
    <w:rsid w:val="6BB024E8"/>
    <w:rsid w:val="6D2A5643"/>
    <w:rsid w:val="6DC228B6"/>
    <w:rsid w:val="6E763C49"/>
    <w:rsid w:val="6FB63B61"/>
    <w:rsid w:val="6FD70655"/>
    <w:rsid w:val="727067EA"/>
    <w:rsid w:val="730E4161"/>
    <w:rsid w:val="75F1438E"/>
    <w:rsid w:val="78370E74"/>
    <w:rsid w:val="785E0C86"/>
    <w:rsid w:val="7875472F"/>
    <w:rsid w:val="789A5CCB"/>
    <w:rsid w:val="79633DB7"/>
    <w:rsid w:val="7A3A4D14"/>
    <w:rsid w:val="7C517901"/>
    <w:rsid w:val="7ECA1B09"/>
    <w:rsid w:val="7EEF6BDD"/>
    <w:rsid w:val="7F897A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87"/>
    <w:autoRedefine/>
    <w:qFormat/>
    <w:uiPriority w:val="0"/>
    <w:pPr>
      <w:keepNext/>
      <w:keepLines/>
      <w:jc w:val="left"/>
    </w:pPr>
    <w:rPr>
      <w:rFonts w:ascii="宋体" w:hAnsi="宋体" w:eastAsia="宋体"/>
    </w:rPr>
  </w:style>
  <w:style w:type="paragraph" w:styleId="4">
    <w:name w:val="heading 2"/>
    <w:basedOn w:val="3"/>
    <w:next w:val="1"/>
    <w:link w:val="88"/>
    <w:autoRedefine/>
    <w:qFormat/>
    <w:uiPriority w:val="0"/>
    <w:pPr>
      <w:keepNext/>
      <w:keepLines/>
      <w:jc w:val="left"/>
      <w:outlineLvl w:val="1"/>
    </w:pPr>
    <w:rPr>
      <w:rFonts w:hAnsi="黑体" w:cs="黑体"/>
      <w:b w:val="0"/>
      <w:kern w:val="0"/>
    </w:rPr>
  </w:style>
  <w:style w:type="paragraph" w:styleId="5">
    <w:name w:val="heading 3"/>
    <w:basedOn w:val="3"/>
    <w:next w:val="1"/>
    <w:link w:val="89"/>
    <w:autoRedefine/>
    <w:qFormat/>
    <w:uiPriority w:val="0"/>
    <w:pPr>
      <w:keepNext/>
      <w:keepLines/>
      <w:jc w:val="left"/>
      <w:outlineLvl w:val="2"/>
    </w:pPr>
    <w:rPr>
      <w:rFonts w:hAnsi="宋体"/>
      <w:b w:val="0"/>
      <w:sz w:val="30"/>
      <w:szCs w:val="30"/>
    </w:rPr>
  </w:style>
  <w:style w:type="paragraph" w:styleId="6">
    <w:name w:val="heading 4"/>
    <w:basedOn w:val="1"/>
    <w:next w:val="1"/>
    <w:link w:val="90"/>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30"/>
    <w:autoRedefine/>
    <w:qFormat/>
    <w:uiPriority w:val="0"/>
    <w:pPr>
      <w:keepNext/>
      <w:keepLines/>
      <w:spacing w:before="280" w:after="290" w:line="372" w:lineRule="auto"/>
      <w:outlineLvl w:val="4"/>
    </w:pPr>
    <w:rPr>
      <w:rFonts w:ascii="Calibri" w:hAnsi="Calibri"/>
      <w:b/>
      <w:bCs/>
      <w:sz w:val="28"/>
      <w:szCs w:val="28"/>
    </w:rPr>
  </w:style>
  <w:style w:type="paragraph" w:styleId="8">
    <w:name w:val="heading 6"/>
    <w:basedOn w:val="1"/>
    <w:next w:val="1"/>
    <w:link w:val="91"/>
    <w:autoRedefine/>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link w:val="92"/>
    <w:autoRedefine/>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link w:val="93"/>
    <w:autoRedefine/>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link w:val="94"/>
    <w:autoRedefine/>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styleId="3">
    <w:name w:val="Title"/>
    <w:basedOn w:val="1"/>
    <w:link w:val="86"/>
    <w:autoRedefine/>
    <w:qFormat/>
    <w:uiPriority w:val="0"/>
    <w:pPr>
      <w:spacing w:before="120" w:after="120" w:line="360" w:lineRule="auto"/>
      <w:jc w:val="center"/>
      <w:outlineLvl w:val="0"/>
    </w:pPr>
    <w:rPr>
      <w:rFonts w:ascii="黑体" w:hAnsi="Arial" w:eastAsia="黑体"/>
      <w:b/>
      <w:bCs/>
      <w:sz w:val="32"/>
      <w:szCs w:val="32"/>
    </w:rPr>
  </w:style>
  <w:style w:type="paragraph" w:styleId="12">
    <w:name w:val="toc 7"/>
    <w:basedOn w:val="1"/>
    <w:next w:val="1"/>
    <w:autoRedefine/>
    <w:qFormat/>
    <w:uiPriority w:val="0"/>
    <w:pPr>
      <w:ind w:left="2520" w:leftChars="1200"/>
    </w:pPr>
    <w:rPr>
      <w:rFonts w:ascii="Calibri" w:hAnsi="Calibri"/>
      <w:szCs w:val="22"/>
    </w:rPr>
  </w:style>
  <w:style w:type="paragraph" w:styleId="13">
    <w:name w:val="Normal Indent"/>
    <w:basedOn w:val="1"/>
    <w:link w:val="136"/>
    <w:autoRedefine/>
    <w:qFormat/>
    <w:uiPriority w:val="0"/>
    <w:pPr>
      <w:ind w:firstLine="420" w:firstLineChars="200"/>
    </w:pPr>
  </w:style>
  <w:style w:type="paragraph" w:styleId="14">
    <w:name w:val="caption"/>
    <w:basedOn w:val="1"/>
    <w:next w:val="1"/>
    <w:autoRedefine/>
    <w:qFormat/>
    <w:uiPriority w:val="0"/>
    <w:rPr>
      <w:rFonts w:ascii="Cambria" w:hAnsi="Cambria" w:eastAsia="黑体"/>
      <w:sz w:val="20"/>
      <w:szCs w:val="20"/>
    </w:rPr>
  </w:style>
  <w:style w:type="paragraph" w:styleId="15">
    <w:name w:val="Document Map"/>
    <w:basedOn w:val="1"/>
    <w:link w:val="122"/>
    <w:autoRedefine/>
    <w:qFormat/>
    <w:uiPriority w:val="0"/>
    <w:pPr>
      <w:shd w:val="clear" w:color="auto" w:fill="000080"/>
    </w:pPr>
  </w:style>
  <w:style w:type="paragraph" w:styleId="16">
    <w:name w:val="annotation text"/>
    <w:basedOn w:val="1"/>
    <w:link w:val="99"/>
    <w:autoRedefine/>
    <w:qFormat/>
    <w:uiPriority w:val="0"/>
    <w:pPr>
      <w:jc w:val="left"/>
    </w:pPr>
  </w:style>
  <w:style w:type="paragraph" w:styleId="17">
    <w:name w:val="Body Text 3"/>
    <w:basedOn w:val="1"/>
    <w:link w:val="98"/>
    <w:autoRedefine/>
    <w:qFormat/>
    <w:uiPriority w:val="0"/>
    <w:rPr>
      <w:rFonts w:ascii="宋体"/>
      <w:sz w:val="24"/>
      <w:szCs w:val="20"/>
    </w:rPr>
  </w:style>
  <w:style w:type="paragraph" w:styleId="18">
    <w:name w:val="Body Text"/>
    <w:basedOn w:val="1"/>
    <w:next w:val="19"/>
    <w:link w:val="104"/>
    <w:autoRedefine/>
    <w:qFormat/>
    <w:uiPriority w:val="0"/>
    <w:pPr>
      <w:spacing w:after="120"/>
    </w:pPr>
  </w:style>
  <w:style w:type="paragraph" w:customStyle="1" w:styleId="1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20">
    <w:name w:val="Body Text Indent"/>
    <w:basedOn w:val="1"/>
    <w:link w:val="101"/>
    <w:autoRedefine/>
    <w:qFormat/>
    <w:uiPriority w:val="0"/>
    <w:pPr>
      <w:spacing w:after="120"/>
      <w:ind w:left="420" w:leftChars="200"/>
    </w:pPr>
  </w:style>
  <w:style w:type="paragraph" w:styleId="21">
    <w:name w:val="index 4"/>
    <w:basedOn w:val="1"/>
    <w:next w:val="1"/>
    <w:autoRedefine/>
    <w:qFormat/>
    <w:uiPriority w:val="0"/>
    <w:pPr>
      <w:ind w:left="600" w:leftChars="600"/>
    </w:pPr>
  </w:style>
  <w:style w:type="paragraph" w:styleId="22">
    <w:name w:val="toc 5"/>
    <w:basedOn w:val="1"/>
    <w:next w:val="1"/>
    <w:autoRedefine/>
    <w:qFormat/>
    <w:uiPriority w:val="0"/>
    <w:pPr>
      <w:tabs>
        <w:tab w:val="right" w:leader="dot" w:pos="8296"/>
      </w:tabs>
      <w:ind w:left="1050" w:leftChars="500"/>
    </w:pPr>
    <w:rPr>
      <w:rFonts w:ascii="Calibri" w:hAnsi="Calibri"/>
      <w:szCs w:val="22"/>
    </w:rPr>
  </w:style>
  <w:style w:type="paragraph" w:styleId="23">
    <w:name w:val="toc 3"/>
    <w:basedOn w:val="1"/>
    <w:next w:val="1"/>
    <w:autoRedefine/>
    <w:qFormat/>
    <w:uiPriority w:val="39"/>
    <w:pPr>
      <w:ind w:left="840" w:leftChars="400"/>
    </w:pPr>
  </w:style>
  <w:style w:type="paragraph" w:styleId="24">
    <w:name w:val="Plain Text"/>
    <w:basedOn w:val="1"/>
    <w:next w:val="22"/>
    <w:link w:val="118"/>
    <w:autoRedefine/>
    <w:qFormat/>
    <w:uiPriority w:val="0"/>
    <w:rPr>
      <w:rFonts w:ascii="宋体" w:hAnsi="Courier New" w:cs="Courier New"/>
      <w:szCs w:val="21"/>
    </w:rPr>
  </w:style>
  <w:style w:type="paragraph" w:styleId="25">
    <w:name w:val="toc 8"/>
    <w:basedOn w:val="1"/>
    <w:next w:val="1"/>
    <w:autoRedefine/>
    <w:qFormat/>
    <w:uiPriority w:val="0"/>
    <w:pPr>
      <w:ind w:left="2940" w:leftChars="1400"/>
    </w:pPr>
    <w:rPr>
      <w:rFonts w:ascii="Calibri" w:hAnsi="Calibri"/>
      <w:szCs w:val="22"/>
    </w:rPr>
  </w:style>
  <w:style w:type="paragraph" w:styleId="26">
    <w:name w:val="Date"/>
    <w:basedOn w:val="1"/>
    <w:next w:val="1"/>
    <w:link w:val="105"/>
    <w:autoRedefine/>
    <w:qFormat/>
    <w:uiPriority w:val="0"/>
    <w:rPr>
      <w:sz w:val="24"/>
      <w:szCs w:val="20"/>
    </w:rPr>
  </w:style>
  <w:style w:type="paragraph" w:styleId="27">
    <w:name w:val="Body Text Indent 2"/>
    <w:basedOn w:val="1"/>
    <w:next w:val="24"/>
    <w:link w:val="106"/>
    <w:autoRedefine/>
    <w:qFormat/>
    <w:uiPriority w:val="0"/>
    <w:pPr>
      <w:spacing w:line="480" w:lineRule="exact"/>
      <w:ind w:firstLine="480"/>
    </w:pPr>
    <w:rPr>
      <w:rFonts w:ascii="宋体"/>
      <w:sz w:val="28"/>
      <w:szCs w:val="20"/>
    </w:rPr>
  </w:style>
  <w:style w:type="paragraph" w:styleId="28">
    <w:name w:val="Balloon Text"/>
    <w:basedOn w:val="1"/>
    <w:link w:val="123"/>
    <w:autoRedefine/>
    <w:qFormat/>
    <w:uiPriority w:val="0"/>
    <w:rPr>
      <w:sz w:val="18"/>
      <w:szCs w:val="18"/>
    </w:rPr>
  </w:style>
  <w:style w:type="paragraph" w:styleId="29">
    <w:name w:val="footer"/>
    <w:basedOn w:val="1"/>
    <w:link w:val="96"/>
    <w:autoRedefine/>
    <w:qFormat/>
    <w:uiPriority w:val="99"/>
    <w:pPr>
      <w:tabs>
        <w:tab w:val="center" w:pos="4153"/>
        <w:tab w:val="right" w:pos="8306"/>
      </w:tabs>
      <w:snapToGrid w:val="0"/>
      <w:jc w:val="left"/>
    </w:pPr>
    <w:rPr>
      <w:sz w:val="18"/>
      <w:szCs w:val="18"/>
    </w:rPr>
  </w:style>
  <w:style w:type="paragraph" w:styleId="30">
    <w:name w:val="header"/>
    <w:basedOn w:val="1"/>
    <w:link w:val="95"/>
    <w:autoRedefine/>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39"/>
    <w:pPr>
      <w:spacing w:line="440" w:lineRule="exact"/>
    </w:pPr>
  </w:style>
  <w:style w:type="paragraph" w:styleId="32">
    <w:name w:val="toc 4"/>
    <w:basedOn w:val="1"/>
    <w:next w:val="1"/>
    <w:autoRedefine/>
    <w:qFormat/>
    <w:uiPriority w:val="0"/>
    <w:pPr>
      <w:tabs>
        <w:tab w:val="left" w:pos="1890"/>
        <w:tab w:val="right" w:leader="dot" w:pos="8296"/>
      </w:tabs>
      <w:ind w:left="630" w:leftChars="300"/>
    </w:pPr>
    <w:rPr>
      <w:rFonts w:ascii="Calibri" w:hAnsi="Calibri"/>
      <w:szCs w:val="22"/>
    </w:rPr>
  </w:style>
  <w:style w:type="paragraph" w:styleId="33">
    <w:name w:val="Subtitle"/>
    <w:basedOn w:val="1"/>
    <w:next w:val="1"/>
    <w:link w:val="139"/>
    <w:autoRedefine/>
    <w:qFormat/>
    <w:uiPriority w:val="0"/>
    <w:pPr>
      <w:spacing w:before="240" w:after="60" w:line="312" w:lineRule="auto"/>
      <w:jc w:val="center"/>
      <w:outlineLvl w:val="1"/>
    </w:pPr>
    <w:rPr>
      <w:rFonts w:ascii="Cambria" w:hAnsi="Cambria" w:cs="黑体"/>
      <w:b/>
      <w:bCs/>
      <w:kern w:val="28"/>
      <w:sz w:val="32"/>
      <w:szCs w:val="32"/>
    </w:rPr>
  </w:style>
  <w:style w:type="paragraph" w:styleId="34">
    <w:name w:val="toc 6"/>
    <w:basedOn w:val="1"/>
    <w:next w:val="1"/>
    <w:autoRedefine/>
    <w:qFormat/>
    <w:uiPriority w:val="0"/>
    <w:pPr>
      <w:ind w:left="2100" w:leftChars="1000"/>
    </w:pPr>
    <w:rPr>
      <w:rFonts w:ascii="Calibri" w:hAnsi="Calibri"/>
      <w:szCs w:val="22"/>
    </w:rPr>
  </w:style>
  <w:style w:type="paragraph" w:styleId="35">
    <w:name w:val="Body Text Indent 3"/>
    <w:basedOn w:val="1"/>
    <w:link w:val="102"/>
    <w:autoRedefine/>
    <w:qFormat/>
    <w:uiPriority w:val="0"/>
    <w:pPr>
      <w:spacing w:after="120"/>
      <w:ind w:left="420" w:leftChars="200"/>
    </w:pPr>
    <w:rPr>
      <w:sz w:val="16"/>
      <w:szCs w:val="16"/>
    </w:rPr>
  </w:style>
  <w:style w:type="paragraph" w:styleId="36">
    <w:name w:val="toc 2"/>
    <w:basedOn w:val="1"/>
    <w:next w:val="1"/>
    <w:autoRedefine/>
    <w:qFormat/>
    <w:uiPriority w:val="39"/>
    <w:pPr>
      <w:ind w:left="420" w:leftChars="200"/>
    </w:pPr>
  </w:style>
  <w:style w:type="paragraph" w:styleId="37">
    <w:name w:val="toc 9"/>
    <w:basedOn w:val="1"/>
    <w:next w:val="1"/>
    <w:autoRedefine/>
    <w:qFormat/>
    <w:uiPriority w:val="0"/>
    <w:pPr>
      <w:ind w:left="3360" w:leftChars="1600"/>
    </w:pPr>
    <w:rPr>
      <w:rFonts w:ascii="Calibri" w:hAnsi="Calibri"/>
      <w:szCs w:val="22"/>
    </w:rPr>
  </w:style>
  <w:style w:type="paragraph" w:styleId="38">
    <w:name w:val="Body Text 2"/>
    <w:basedOn w:val="1"/>
    <w:link w:val="107"/>
    <w:autoRedefine/>
    <w:qFormat/>
    <w:uiPriority w:val="0"/>
    <w:pPr>
      <w:tabs>
        <w:tab w:val="left" w:pos="540"/>
      </w:tabs>
      <w:spacing w:line="360" w:lineRule="auto"/>
    </w:pPr>
    <w:rPr>
      <w:rFonts w:ascii="宋体"/>
      <w:color w:val="000000"/>
      <w:sz w:val="28"/>
      <w:szCs w:val="20"/>
    </w:rPr>
  </w:style>
  <w:style w:type="paragraph" w:styleId="39">
    <w:name w:val="Normal (Web)"/>
    <w:basedOn w:val="1"/>
    <w:autoRedefine/>
    <w:qFormat/>
    <w:uiPriority w:val="99"/>
    <w:pPr>
      <w:widowControl/>
      <w:spacing w:before="100" w:beforeAutospacing="1" w:after="100" w:afterAutospacing="1" w:line="283" w:lineRule="atLeast"/>
      <w:jc w:val="left"/>
    </w:pPr>
    <w:rPr>
      <w:rFonts w:ascii="宋体" w:hAnsi="宋体"/>
      <w:color w:val="000000"/>
      <w:kern w:val="0"/>
      <w:sz w:val="19"/>
      <w:szCs w:val="19"/>
    </w:rPr>
  </w:style>
  <w:style w:type="paragraph" w:styleId="40">
    <w:name w:val="index 1"/>
    <w:basedOn w:val="1"/>
    <w:next w:val="1"/>
    <w:autoRedefine/>
    <w:semiHidden/>
    <w:qFormat/>
    <w:uiPriority w:val="0"/>
  </w:style>
  <w:style w:type="paragraph" w:styleId="41">
    <w:name w:val="annotation subject"/>
    <w:basedOn w:val="16"/>
    <w:next w:val="16"/>
    <w:link w:val="119"/>
    <w:autoRedefine/>
    <w:qFormat/>
    <w:uiPriority w:val="0"/>
    <w:rPr>
      <w:b/>
      <w:bCs/>
    </w:rPr>
  </w:style>
  <w:style w:type="paragraph" w:styleId="42">
    <w:name w:val="Body Text First Indent"/>
    <w:basedOn w:val="18"/>
    <w:next w:val="1"/>
    <w:link w:val="160"/>
    <w:autoRedefine/>
    <w:semiHidden/>
    <w:unhideWhenUsed/>
    <w:qFormat/>
    <w:uiPriority w:val="0"/>
    <w:pPr>
      <w:ind w:firstLine="420" w:firstLineChars="100"/>
    </w:pPr>
  </w:style>
  <w:style w:type="paragraph" w:styleId="43">
    <w:name w:val="Body Text First Indent 2"/>
    <w:basedOn w:val="20"/>
    <w:link w:val="108"/>
    <w:autoRedefine/>
    <w:qFormat/>
    <w:uiPriority w:val="0"/>
    <w:pPr>
      <w:ind w:firstLine="420" w:firstLineChars="200"/>
    </w:pPr>
    <w:rPr>
      <w:szCs w:val="20"/>
    </w:rPr>
  </w:style>
  <w:style w:type="table" w:styleId="45">
    <w:name w:val="Table Grid"/>
    <w:basedOn w:val="4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autoRedefine/>
    <w:qFormat/>
    <w:uiPriority w:val="0"/>
    <w:rPr>
      <w:b/>
    </w:rPr>
  </w:style>
  <w:style w:type="character" w:styleId="48">
    <w:name w:val="page number"/>
    <w:basedOn w:val="46"/>
    <w:autoRedefine/>
    <w:qFormat/>
    <w:uiPriority w:val="0"/>
  </w:style>
  <w:style w:type="character" w:styleId="49">
    <w:name w:val="FollowedHyperlink"/>
    <w:autoRedefine/>
    <w:qFormat/>
    <w:uiPriority w:val="0"/>
    <w:rPr>
      <w:color w:val="800080"/>
      <w:u w:val="single"/>
    </w:rPr>
  </w:style>
  <w:style w:type="character" w:styleId="50">
    <w:name w:val="Emphasis"/>
    <w:autoRedefine/>
    <w:qFormat/>
    <w:uiPriority w:val="0"/>
    <w:rPr>
      <w:i/>
    </w:rPr>
  </w:style>
  <w:style w:type="character" w:styleId="51">
    <w:name w:val="Hyperlink"/>
    <w:autoRedefine/>
    <w:qFormat/>
    <w:uiPriority w:val="99"/>
    <w:rPr>
      <w:color w:val="0000FF"/>
      <w:u w:val="single"/>
    </w:rPr>
  </w:style>
  <w:style w:type="character" w:styleId="52">
    <w:name w:val="annotation reference"/>
    <w:autoRedefine/>
    <w:qFormat/>
    <w:uiPriority w:val="0"/>
    <w:rPr>
      <w:sz w:val="21"/>
      <w:szCs w:val="21"/>
    </w:rPr>
  </w:style>
  <w:style w:type="paragraph" w:customStyle="1" w:styleId="53">
    <w:name w:val="样式 标题 3 + (中文) 黑体 小四 非加粗 段前: 7.8 磅 段后: 0 磅 行距: 固定值 20 磅"/>
    <w:basedOn w:val="5"/>
    <w:autoRedefine/>
    <w:qFormat/>
    <w:uiPriority w:val="0"/>
    <w:pPr>
      <w:spacing w:before="0" w:after="0" w:line="400" w:lineRule="exact"/>
    </w:pPr>
    <w:rPr>
      <w:rFonts w:cs="宋体"/>
      <w:szCs w:val="20"/>
    </w:rPr>
  </w:style>
  <w:style w:type="paragraph" w:customStyle="1" w:styleId="54">
    <w:name w:val="样式 标题 2 + Times New Roman 四号 非加粗 段前: 5 磅 段后: 0 磅 行距: 固定值 20..."/>
    <w:basedOn w:val="4"/>
    <w:autoRedefine/>
    <w:qFormat/>
    <w:uiPriority w:val="0"/>
    <w:pPr>
      <w:spacing w:before="100" w:after="0" w:line="400" w:lineRule="exact"/>
    </w:pPr>
    <w:rPr>
      <w:rFonts w:ascii="Times New Roman" w:hAnsi="Times New Roman" w:cs="宋体"/>
      <w:b/>
      <w:bCs w:val="0"/>
      <w:szCs w:val="20"/>
    </w:rPr>
  </w:style>
  <w:style w:type="paragraph" w:customStyle="1" w:styleId="55">
    <w:name w:val="样式 标题 1 + 黑体 三号 非加粗 居中 段前: 6 磅 段后: 6 磅 行距: 固定值 20 磅"/>
    <w:basedOn w:val="2"/>
    <w:autoRedefine/>
    <w:qFormat/>
    <w:uiPriority w:val="0"/>
    <w:pPr>
      <w:spacing w:line="400" w:lineRule="exact"/>
    </w:pPr>
    <w:rPr>
      <w:rFonts w:hAnsi="黑体" w:cs="宋体"/>
      <w:b w:val="0"/>
      <w:bCs w:val="0"/>
      <w:szCs w:val="20"/>
    </w:rPr>
  </w:style>
  <w:style w:type="paragraph" w:customStyle="1" w:styleId="56">
    <w:name w:val="表格"/>
    <w:basedOn w:val="1"/>
    <w:autoRedefine/>
    <w:qFormat/>
    <w:uiPriority w:val="0"/>
    <w:pPr>
      <w:jc w:val="center"/>
      <w:textAlignment w:val="center"/>
    </w:pPr>
    <w:rPr>
      <w:rFonts w:ascii="华文细黑" w:hAnsi="华文细黑"/>
      <w:kern w:val="0"/>
      <w:szCs w:val="20"/>
    </w:rPr>
  </w:style>
  <w:style w:type="paragraph" w:customStyle="1" w:styleId="57">
    <w:name w:val="样式1"/>
    <w:basedOn w:val="1"/>
    <w:autoRedefine/>
    <w:qFormat/>
    <w:uiPriority w:val="0"/>
    <w:pPr>
      <w:jc w:val="center"/>
    </w:pPr>
    <w:rPr>
      <w:rFonts w:ascii="幼圆" w:eastAsia="幼圆"/>
      <w:b/>
      <w:sz w:val="32"/>
      <w:szCs w:val="28"/>
    </w:rPr>
  </w:style>
  <w:style w:type="paragraph" w:customStyle="1" w:styleId="58">
    <w:name w:val="Definition Term"/>
    <w:basedOn w:val="1"/>
    <w:next w:val="59"/>
    <w:autoRedefine/>
    <w:qFormat/>
    <w:uiPriority w:val="0"/>
    <w:pPr>
      <w:autoSpaceDE w:val="0"/>
      <w:autoSpaceDN w:val="0"/>
      <w:adjustRightInd w:val="0"/>
      <w:jc w:val="left"/>
    </w:pPr>
    <w:rPr>
      <w:kern w:val="0"/>
      <w:sz w:val="24"/>
      <w:szCs w:val="20"/>
    </w:rPr>
  </w:style>
  <w:style w:type="paragraph" w:customStyle="1" w:styleId="59">
    <w:name w:val="Definition List"/>
    <w:basedOn w:val="1"/>
    <w:next w:val="58"/>
    <w:autoRedefine/>
    <w:qFormat/>
    <w:uiPriority w:val="0"/>
    <w:pPr>
      <w:autoSpaceDE w:val="0"/>
      <w:autoSpaceDN w:val="0"/>
      <w:adjustRightInd w:val="0"/>
      <w:ind w:left="360"/>
      <w:jc w:val="left"/>
    </w:pPr>
    <w:rPr>
      <w:kern w:val="0"/>
      <w:sz w:val="24"/>
      <w:szCs w:val="20"/>
    </w:rPr>
  </w:style>
  <w:style w:type="paragraph" w:customStyle="1" w:styleId="60">
    <w:name w:val="默认段落字体 Para Char Char Char Char Char Char Char"/>
    <w:basedOn w:val="1"/>
    <w:autoRedefine/>
    <w:qFormat/>
    <w:uiPriority w:val="0"/>
    <w:rPr>
      <w:rFonts w:ascii="Tahoma" w:hAnsi="Tahoma"/>
      <w:sz w:val="24"/>
      <w:szCs w:val="20"/>
    </w:rPr>
  </w:style>
  <w:style w:type="paragraph" w:customStyle="1" w:styleId="61">
    <w:name w:val="样式 (西文) 仿宋_GB2312 居中 行距: 1.5 倍行距"/>
    <w:basedOn w:val="1"/>
    <w:autoRedefine/>
    <w:qFormat/>
    <w:uiPriority w:val="0"/>
    <w:pPr>
      <w:spacing w:line="360" w:lineRule="auto"/>
      <w:jc w:val="center"/>
    </w:pPr>
    <w:rPr>
      <w:rFonts w:ascii="宋体" w:hAnsi="宋体" w:cs="宋体"/>
      <w:kern w:val="0"/>
      <w:szCs w:val="20"/>
    </w:rPr>
  </w:style>
  <w:style w:type="paragraph" w:customStyle="1" w:styleId="62">
    <w:name w:val="H1"/>
    <w:basedOn w:val="1"/>
    <w:next w:val="1"/>
    <w:autoRedefine/>
    <w:qFormat/>
    <w:uiPriority w:val="0"/>
    <w:pPr>
      <w:keepNext/>
      <w:autoSpaceDE w:val="0"/>
      <w:autoSpaceDN w:val="0"/>
      <w:adjustRightInd w:val="0"/>
      <w:spacing w:before="100" w:after="100"/>
      <w:jc w:val="left"/>
      <w:outlineLvl w:val="1"/>
    </w:pPr>
    <w:rPr>
      <w:b/>
      <w:kern w:val="36"/>
      <w:sz w:val="48"/>
      <w:szCs w:val="20"/>
    </w:rPr>
  </w:style>
  <w:style w:type="paragraph" w:customStyle="1" w:styleId="63">
    <w:name w:val="H2"/>
    <w:basedOn w:val="1"/>
    <w:next w:val="1"/>
    <w:autoRedefine/>
    <w:qFormat/>
    <w:uiPriority w:val="0"/>
    <w:pPr>
      <w:keepNext/>
      <w:autoSpaceDE w:val="0"/>
      <w:autoSpaceDN w:val="0"/>
      <w:adjustRightInd w:val="0"/>
      <w:spacing w:before="100" w:after="100"/>
      <w:jc w:val="left"/>
      <w:outlineLvl w:val="2"/>
    </w:pPr>
    <w:rPr>
      <w:b/>
      <w:kern w:val="0"/>
      <w:sz w:val="36"/>
      <w:szCs w:val="20"/>
    </w:rPr>
  </w:style>
  <w:style w:type="paragraph" w:customStyle="1" w:styleId="64">
    <w:name w:val="H3"/>
    <w:basedOn w:val="1"/>
    <w:next w:val="1"/>
    <w:autoRedefine/>
    <w:qFormat/>
    <w:uiPriority w:val="0"/>
    <w:pPr>
      <w:keepNext/>
      <w:autoSpaceDE w:val="0"/>
      <w:autoSpaceDN w:val="0"/>
      <w:adjustRightInd w:val="0"/>
      <w:spacing w:before="100" w:after="100"/>
      <w:jc w:val="left"/>
      <w:outlineLvl w:val="3"/>
    </w:pPr>
    <w:rPr>
      <w:b/>
      <w:kern w:val="0"/>
      <w:sz w:val="28"/>
      <w:szCs w:val="20"/>
    </w:rPr>
  </w:style>
  <w:style w:type="paragraph" w:customStyle="1" w:styleId="65">
    <w:name w:val="H4"/>
    <w:basedOn w:val="1"/>
    <w:next w:val="1"/>
    <w:autoRedefine/>
    <w:qFormat/>
    <w:uiPriority w:val="0"/>
    <w:pPr>
      <w:keepNext/>
      <w:autoSpaceDE w:val="0"/>
      <w:autoSpaceDN w:val="0"/>
      <w:adjustRightInd w:val="0"/>
      <w:spacing w:before="100" w:after="100"/>
      <w:jc w:val="left"/>
      <w:outlineLvl w:val="4"/>
    </w:pPr>
    <w:rPr>
      <w:b/>
      <w:kern w:val="0"/>
      <w:sz w:val="24"/>
      <w:szCs w:val="20"/>
    </w:rPr>
  </w:style>
  <w:style w:type="paragraph" w:customStyle="1" w:styleId="66">
    <w:name w:val="H5"/>
    <w:basedOn w:val="1"/>
    <w:next w:val="1"/>
    <w:autoRedefine/>
    <w:qFormat/>
    <w:uiPriority w:val="0"/>
    <w:pPr>
      <w:keepNext/>
      <w:autoSpaceDE w:val="0"/>
      <w:autoSpaceDN w:val="0"/>
      <w:adjustRightInd w:val="0"/>
      <w:spacing w:before="100" w:after="100"/>
      <w:jc w:val="left"/>
      <w:outlineLvl w:val="5"/>
    </w:pPr>
    <w:rPr>
      <w:b/>
      <w:kern w:val="0"/>
      <w:sz w:val="20"/>
      <w:szCs w:val="20"/>
    </w:rPr>
  </w:style>
  <w:style w:type="paragraph" w:customStyle="1" w:styleId="67">
    <w:name w:val="H6"/>
    <w:basedOn w:val="1"/>
    <w:next w:val="1"/>
    <w:autoRedefine/>
    <w:qFormat/>
    <w:uiPriority w:val="0"/>
    <w:pPr>
      <w:keepNext/>
      <w:autoSpaceDE w:val="0"/>
      <w:autoSpaceDN w:val="0"/>
      <w:adjustRightInd w:val="0"/>
      <w:spacing w:before="100" w:after="100"/>
      <w:jc w:val="left"/>
      <w:outlineLvl w:val="6"/>
    </w:pPr>
    <w:rPr>
      <w:b/>
      <w:kern w:val="0"/>
      <w:sz w:val="16"/>
      <w:szCs w:val="20"/>
    </w:rPr>
  </w:style>
  <w:style w:type="paragraph" w:customStyle="1" w:styleId="68">
    <w:name w:val="Address"/>
    <w:basedOn w:val="1"/>
    <w:next w:val="1"/>
    <w:autoRedefine/>
    <w:qFormat/>
    <w:uiPriority w:val="0"/>
    <w:pPr>
      <w:autoSpaceDE w:val="0"/>
      <w:autoSpaceDN w:val="0"/>
      <w:adjustRightInd w:val="0"/>
      <w:jc w:val="left"/>
    </w:pPr>
    <w:rPr>
      <w:i/>
      <w:kern w:val="0"/>
      <w:sz w:val="24"/>
      <w:szCs w:val="20"/>
    </w:rPr>
  </w:style>
  <w:style w:type="paragraph" w:customStyle="1" w:styleId="69">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7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71">
    <w:name w:val="z-Bottom of Form"/>
    <w:next w:val="1"/>
    <w:autoRedefine/>
    <w:hidden/>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72">
    <w:name w:val="z-Top of Form"/>
    <w:next w:val="1"/>
    <w:autoRedefine/>
    <w:hidden/>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73">
    <w:name w:val="列出段落1"/>
    <w:basedOn w:val="1"/>
    <w:autoRedefine/>
    <w:qFormat/>
    <w:uiPriority w:val="0"/>
    <w:pPr>
      <w:ind w:firstLine="420" w:firstLineChars="200"/>
    </w:pPr>
  </w:style>
  <w:style w:type="paragraph" w:customStyle="1" w:styleId="74">
    <w:name w:val="正文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75">
    <w:name w:val="reader-word-laye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76">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77">
    <w:name w:val="明显引用1"/>
    <w:basedOn w:val="1"/>
    <w:next w:val="1"/>
    <w:link w:val="137"/>
    <w:autoRedefine/>
    <w:qFormat/>
    <w:uiPriority w:val="0"/>
    <w:pPr>
      <w:pBdr>
        <w:bottom w:val="single" w:color="4F81BD" w:sz="4" w:space="4"/>
      </w:pBdr>
      <w:spacing w:before="200" w:after="280"/>
      <w:ind w:left="936" w:right="936"/>
    </w:pPr>
    <w:rPr>
      <w:rFonts w:ascii="Calibri" w:hAnsi="Calibri" w:cs="黑体"/>
      <w:b/>
      <w:bCs/>
      <w:i/>
      <w:iCs/>
      <w:color w:val="4F81BD"/>
      <w:szCs w:val="22"/>
    </w:rPr>
  </w:style>
  <w:style w:type="paragraph" w:customStyle="1" w:styleId="78">
    <w:name w:val="引用1"/>
    <w:basedOn w:val="1"/>
    <w:next w:val="1"/>
    <w:link w:val="151"/>
    <w:autoRedefine/>
    <w:qFormat/>
    <w:uiPriority w:val="0"/>
    <w:rPr>
      <w:rFonts w:ascii="Calibri" w:hAnsi="Calibri" w:cs="黑体"/>
      <w:i/>
      <w:iCs/>
      <w:color w:val="000000"/>
      <w:szCs w:val="22"/>
    </w:rPr>
  </w:style>
  <w:style w:type="paragraph" w:customStyle="1" w:styleId="79">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80">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81">
    <w:name w:val="标题5"/>
    <w:basedOn w:val="5"/>
    <w:link w:val="141"/>
    <w:autoRedefine/>
    <w:qFormat/>
    <w:uiPriority w:val="0"/>
    <w:pPr>
      <w:spacing w:before="260" w:after="260" w:line="413" w:lineRule="auto"/>
      <w:jc w:val="both"/>
    </w:pPr>
    <w:rPr>
      <w:rFonts w:ascii="Arial" w:hAnsi="Arial" w:eastAsia="宋体" w:cs="黑体"/>
      <w:b/>
      <w:sz w:val="24"/>
      <w:szCs w:val="32"/>
    </w:rPr>
  </w:style>
  <w:style w:type="paragraph" w:customStyle="1" w:styleId="82">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83">
    <w:name w:val="TOC 标题1"/>
    <w:basedOn w:val="2"/>
    <w:next w:val="1"/>
    <w:autoRedefine/>
    <w:qFormat/>
    <w:uiPriority w:val="0"/>
    <w:pPr>
      <w:spacing w:before="340" w:after="330" w:line="576" w:lineRule="auto"/>
      <w:jc w:val="both"/>
      <w:outlineLvl w:val="9"/>
    </w:pPr>
    <w:rPr>
      <w:rFonts w:ascii="Calibri" w:hAnsi="Calibri"/>
      <w:color w:val="FF0000"/>
      <w:kern w:val="44"/>
      <w:sz w:val="44"/>
      <w:szCs w:val="44"/>
    </w:rPr>
  </w:style>
  <w:style w:type="paragraph" w:customStyle="1" w:styleId="84">
    <w:name w:val="Char Char Char Char Char Char Char Char Char Char Char Char Char Char Char Char"/>
    <w:basedOn w:val="1"/>
    <w:autoRedefine/>
    <w:qFormat/>
    <w:uiPriority w:val="0"/>
    <w:pPr>
      <w:snapToGrid w:val="0"/>
      <w:spacing w:line="360" w:lineRule="auto"/>
      <w:ind w:firstLine="200" w:firstLineChars="200"/>
    </w:pPr>
  </w:style>
  <w:style w:type="paragraph" w:customStyle="1" w:styleId="85">
    <w:name w:val="列出段落2"/>
    <w:basedOn w:val="1"/>
    <w:autoRedefine/>
    <w:qFormat/>
    <w:uiPriority w:val="99"/>
    <w:pPr>
      <w:ind w:firstLine="420" w:firstLineChars="200"/>
    </w:pPr>
  </w:style>
  <w:style w:type="character" w:customStyle="1" w:styleId="86">
    <w:name w:val="标题 字符"/>
    <w:link w:val="3"/>
    <w:autoRedefine/>
    <w:qFormat/>
    <w:uiPriority w:val="0"/>
    <w:rPr>
      <w:rFonts w:ascii="黑体" w:hAnsi="Arial" w:eastAsia="黑体" w:cs="Times New Roman"/>
      <w:b/>
      <w:bCs/>
      <w:sz w:val="32"/>
      <w:szCs w:val="32"/>
    </w:rPr>
  </w:style>
  <w:style w:type="character" w:customStyle="1" w:styleId="87">
    <w:name w:val="标题 1 字符"/>
    <w:link w:val="2"/>
    <w:autoRedefine/>
    <w:qFormat/>
    <w:uiPriority w:val="0"/>
    <w:rPr>
      <w:rFonts w:ascii="宋体" w:hAnsi="宋体" w:eastAsia="宋体" w:cs="Times New Roman"/>
      <w:b/>
      <w:bCs/>
      <w:sz w:val="32"/>
      <w:szCs w:val="32"/>
    </w:rPr>
  </w:style>
  <w:style w:type="character" w:customStyle="1" w:styleId="88">
    <w:name w:val="标题 2 字符"/>
    <w:link w:val="4"/>
    <w:autoRedefine/>
    <w:qFormat/>
    <w:uiPriority w:val="0"/>
    <w:rPr>
      <w:rFonts w:ascii="黑体" w:hAnsi="黑体" w:eastAsia="黑体" w:cs="黑体"/>
      <w:bCs/>
      <w:kern w:val="0"/>
      <w:sz w:val="32"/>
      <w:szCs w:val="32"/>
    </w:rPr>
  </w:style>
  <w:style w:type="character" w:customStyle="1" w:styleId="89">
    <w:name w:val="标题 3 字符"/>
    <w:link w:val="5"/>
    <w:autoRedefine/>
    <w:qFormat/>
    <w:uiPriority w:val="0"/>
    <w:rPr>
      <w:rFonts w:ascii="黑体" w:hAnsi="宋体" w:eastAsia="黑体" w:cs="Times New Roman"/>
      <w:bCs/>
      <w:sz w:val="30"/>
      <w:szCs w:val="30"/>
    </w:rPr>
  </w:style>
  <w:style w:type="character" w:customStyle="1" w:styleId="90">
    <w:name w:val="标题 4 字符"/>
    <w:link w:val="6"/>
    <w:autoRedefine/>
    <w:qFormat/>
    <w:uiPriority w:val="0"/>
    <w:rPr>
      <w:rFonts w:ascii="Arial" w:hAnsi="Arial" w:eastAsia="黑体" w:cs="Times New Roman"/>
      <w:b/>
      <w:bCs/>
      <w:sz w:val="28"/>
      <w:szCs w:val="28"/>
    </w:rPr>
  </w:style>
  <w:style w:type="character" w:customStyle="1" w:styleId="91">
    <w:name w:val="标题 6 字符"/>
    <w:link w:val="8"/>
    <w:autoRedefine/>
    <w:qFormat/>
    <w:uiPriority w:val="0"/>
    <w:rPr>
      <w:rFonts w:ascii="Arial" w:hAnsi="Arial" w:eastAsia="黑体" w:cs="Times New Roman"/>
      <w:b/>
      <w:bCs/>
      <w:kern w:val="0"/>
      <w:sz w:val="24"/>
      <w:szCs w:val="24"/>
    </w:rPr>
  </w:style>
  <w:style w:type="character" w:customStyle="1" w:styleId="92">
    <w:name w:val="标题 7 字符"/>
    <w:link w:val="9"/>
    <w:autoRedefine/>
    <w:qFormat/>
    <w:uiPriority w:val="0"/>
    <w:rPr>
      <w:rFonts w:ascii="Times New Roman" w:hAnsi="Times New Roman" w:eastAsia="宋体" w:cs="Times New Roman"/>
      <w:b/>
      <w:bCs/>
      <w:kern w:val="0"/>
      <w:sz w:val="24"/>
      <w:szCs w:val="24"/>
    </w:rPr>
  </w:style>
  <w:style w:type="character" w:customStyle="1" w:styleId="93">
    <w:name w:val="标题 8 字符"/>
    <w:link w:val="10"/>
    <w:autoRedefine/>
    <w:qFormat/>
    <w:uiPriority w:val="0"/>
    <w:rPr>
      <w:rFonts w:ascii="Arial" w:hAnsi="Arial" w:eastAsia="黑体" w:cs="Times New Roman"/>
      <w:kern w:val="0"/>
      <w:sz w:val="24"/>
      <w:szCs w:val="24"/>
    </w:rPr>
  </w:style>
  <w:style w:type="character" w:customStyle="1" w:styleId="94">
    <w:name w:val="标题 9 字符"/>
    <w:link w:val="11"/>
    <w:autoRedefine/>
    <w:qFormat/>
    <w:uiPriority w:val="0"/>
    <w:rPr>
      <w:rFonts w:ascii="Arial" w:hAnsi="Arial" w:eastAsia="黑体" w:cs="Times New Roman"/>
      <w:kern w:val="0"/>
      <w:szCs w:val="21"/>
    </w:rPr>
  </w:style>
  <w:style w:type="character" w:customStyle="1" w:styleId="95">
    <w:name w:val="页眉 字符"/>
    <w:link w:val="30"/>
    <w:autoRedefine/>
    <w:qFormat/>
    <w:uiPriority w:val="99"/>
    <w:rPr>
      <w:rFonts w:ascii="Times New Roman" w:hAnsi="Times New Roman" w:eastAsia="宋体" w:cs="Times New Roman"/>
      <w:sz w:val="18"/>
      <w:szCs w:val="18"/>
    </w:rPr>
  </w:style>
  <w:style w:type="character" w:customStyle="1" w:styleId="96">
    <w:name w:val="页脚 字符"/>
    <w:link w:val="29"/>
    <w:autoRedefine/>
    <w:qFormat/>
    <w:uiPriority w:val="99"/>
    <w:rPr>
      <w:rFonts w:ascii="Times New Roman" w:hAnsi="Times New Roman" w:eastAsia="宋体" w:cs="Times New Roman"/>
      <w:sz w:val="18"/>
      <w:szCs w:val="18"/>
    </w:rPr>
  </w:style>
  <w:style w:type="character" w:customStyle="1" w:styleId="97">
    <w:name w:val="Char Char4"/>
    <w:autoRedefine/>
    <w:qFormat/>
    <w:uiPriority w:val="0"/>
    <w:rPr>
      <w:rFonts w:ascii="宋体" w:hAnsi="宋体" w:eastAsia="黑体" w:cs="Arial"/>
      <w:b/>
      <w:kern w:val="2"/>
      <w:sz w:val="28"/>
      <w:szCs w:val="32"/>
      <w:lang w:val="en-US" w:eastAsia="zh-CN" w:bidi="ar-SA"/>
    </w:rPr>
  </w:style>
  <w:style w:type="character" w:customStyle="1" w:styleId="98">
    <w:name w:val="正文文本 3 字符"/>
    <w:link w:val="17"/>
    <w:autoRedefine/>
    <w:qFormat/>
    <w:uiPriority w:val="0"/>
    <w:rPr>
      <w:rFonts w:ascii="宋体" w:hAnsi="Times New Roman" w:eastAsia="宋体" w:cs="Times New Roman"/>
      <w:sz w:val="24"/>
      <w:szCs w:val="20"/>
    </w:rPr>
  </w:style>
  <w:style w:type="character" w:customStyle="1" w:styleId="99">
    <w:name w:val="批注文字 字符"/>
    <w:link w:val="16"/>
    <w:autoRedefine/>
    <w:qFormat/>
    <w:uiPriority w:val="0"/>
    <w:rPr>
      <w:rFonts w:ascii="Times New Roman" w:hAnsi="Times New Roman" w:eastAsia="宋体" w:cs="Times New Roman"/>
      <w:szCs w:val="24"/>
    </w:rPr>
  </w:style>
  <w:style w:type="character" w:customStyle="1" w:styleId="100">
    <w:name w:val="Char Char1"/>
    <w:autoRedefine/>
    <w:qFormat/>
    <w:uiPriority w:val="0"/>
    <w:rPr>
      <w:rFonts w:ascii="黑体" w:hAnsi="Arial" w:eastAsia="黑体" w:cs="Arial"/>
      <w:b/>
      <w:bCs/>
      <w:kern w:val="2"/>
      <w:sz w:val="32"/>
      <w:szCs w:val="32"/>
      <w:lang w:val="en-US" w:eastAsia="zh-CN" w:bidi="ar-SA"/>
    </w:rPr>
  </w:style>
  <w:style w:type="character" w:customStyle="1" w:styleId="101">
    <w:name w:val="正文文本缩进 字符"/>
    <w:link w:val="20"/>
    <w:autoRedefine/>
    <w:qFormat/>
    <w:uiPriority w:val="0"/>
    <w:rPr>
      <w:rFonts w:ascii="Times New Roman" w:hAnsi="Times New Roman" w:eastAsia="宋体" w:cs="Times New Roman"/>
      <w:szCs w:val="24"/>
    </w:rPr>
  </w:style>
  <w:style w:type="character" w:customStyle="1" w:styleId="102">
    <w:name w:val="正文文本缩进 3 字符"/>
    <w:link w:val="35"/>
    <w:autoRedefine/>
    <w:qFormat/>
    <w:uiPriority w:val="0"/>
    <w:rPr>
      <w:rFonts w:ascii="Times New Roman" w:hAnsi="Times New Roman" w:eastAsia="宋体" w:cs="Times New Roman"/>
      <w:sz w:val="16"/>
      <w:szCs w:val="16"/>
    </w:rPr>
  </w:style>
  <w:style w:type="character" w:customStyle="1" w:styleId="103">
    <w:name w:val="Char Char3"/>
    <w:autoRedefine/>
    <w:qFormat/>
    <w:uiPriority w:val="0"/>
    <w:rPr>
      <w:rFonts w:ascii="黑体" w:hAnsi="宋体" w:eastAsia="黑体" w:cs="Arial"/>
      <w:b/>
      <w:bCs/>
      <w:kern w:val="2"/>
      <w:sz w:val="24"/>
      <w:szCs w:val="24"/>
      <w:lang w:val="en-US" w:eastAsia="zh-CN" w:bidi="ar-SA"/>
    </w:rPr>
  </w:style>
  <w:style w:type="character" w:customStyle="1" w:styleId="104">
    <w:name w:val="正文文本 字符"/>
    <w:link w:val="18"/>
    <w:autoRedefine/>
    <w:qFormat/>
    <w:uiPriority w:val="0"/>
    <w:rPr>
      <w:rFonts w:ascii="Times New Roman" w:hAnsi="Times New Roman" w:eastAsia="宋体" w:cs="Times New Roman"/>
      <w:szCs w:val="24"/>
    </w:rPr>
  </w:style>
  <w:style w:type="character" w:customStyle="1" w:styleId="105">
    <w:name w:val="日期 字符"/>
    <w:link w:val="26"/>
    <w:autoRedefine/>
    <w:qFormat/>
    <w:uiPriority w:val="0"/>
    <w:rPr>
      <w:rFonts w:ascii="Times New Roman" w:hAnsi="Times New Roman" w:eastAsia="宋体" w:cs="Times New Roman"/>
      <w:sz w:val="24"/>
      <w:szCs w:val="20"/>
    </w:rPr>
  </w:style>
  <w:style w:type="character" w:customStyle="1" w:styleId="106">
    <w:name w:val="正文文本缩进 2 字符"/>
    <w:link w:val="27"/>
    <w:autoRedefine/>
    <w:qFormat/>
    <w:uiPriority w:val="0"/>
    <w:rPr>
      <w:rFonts w:ascii="宋体" w:hAnsi="Times New Roman" w:eastAsia="宋体" w:cs="Times New Roman"/>
      <w:sz w:val="28"/>
      <w:szCs w:val="20"/>
    </w:rPr>
  </w:style>
  <w:style w:type="character" w:customStyle="1" w:styleId="107">
    <w:name w:val="正文文本 2 字符"/>
    <w:link w:val="38"/>
    <w:autoRedefine/>
    <w:qFormat/>
    <w:uiPriority w:val="0"/>
    <w:rPr>
      <w:rFonts w:ascii="宋体" w:eastAsia="宋体" w:cs="Times New Roman"/>
      <w:color w:val="000000"/>
      <w:sz w:val="28"/>
      <w:szCs w:val="20"/>
    </w:rPr>
  </w:style>
  <w:style w:type="character" w:customStyle="1" w:styleId="108">
    <w:name w:val="正文首行缩进 2 字符"/>
    <w:link w:val="43"/>
    <w:autoRedefine/>
    <w:qFormat/>
    <w:uiPriority w:val="0"/>
    <w:rPr>
      <w:rFonts w:ascii="Times New Roman" w:hAnsi="Times New Roman" w:eastAsia="宋体" w:cs="Times New Roman"/>
      <w:szCs w:val="20"/>
    </w:rPr>
  </w:style>
  <w:style w:type="character" w:customStyle="1" w:styleId="109">
    <w:name w:val="Definition"/>
    <w:autoRedefine/>
    <w:qFormat/>
    <w:uiPriority w:val="0"/>
    <w:rPr>
      <w:i/>
    </w:rPr>
  </w:style>
  <w:style w:type="character" w:customStyle="1" w:styleId="110">
    <w:name w:val="CITE"/>
    <w:autoRedefine/>
    <w:qFormat/>
    <w:uiPriority w:val="0"/>
    <w:rPr>
      <w:i/>
    </w:rPr>
  </w:style>
  <w:style w:type="character" w:customStyle="1" w:styleId="111">
    <w:name w:val="CODE"/>
    <w:autoRedefine/>
    <w:qFormat/>
    <w:uiPriority w:val="0"/>
    <w:rPr>
      <w:rFonts w:ascii="Courier New" w:hAnsi="Courier New"/>
      <w:sz w:val="20"/>
    </w:rPr>
  </w:style>
  <w:style w:type="character" w:customStyle="1" w:styleId="112">
    <w:name w:val="Keyboard"/>
    <w:autoRedefine/>
    <w:qFormat/>
    <w:uiPriority w:val="0"/>
    <w:rPr>
      <w:rFonts w:ascii="Courier New" w:hAnsi="Courier New"/>
      <w:b/>
      <w:sz w:val="20"/>
    </w:rPr>
  </w:style>
  <w:style w:type="character" w:customStyle="1" w:styleId="113">
    <w:name w:val="Sample"/>
    <w:autoRedefine/>
    <w:qFormat/>
    <w:uiPriority w:val="0"/>
    <w:rPr>
      <w:rFonts w:ascii="Courier New" w:hAnsi="Courier New"/>
    </w:rPr>
  </w:style>
  <w:style w:type="character" w:customStyle="1" w:styleId="114">
    <w:name w:val="Typewriter"/>
    <w:autoRedefine/>
    <w:qFormat/>
    <w:uiPriority w:val="0"/>
    <w:rPr>
      <w:rFonts w:ascii="Courier New" w:hAnsi="Courier New"/>
      <w:sz w:val="20"/>
    </w:rPr>
  </w:style>
  <w:style w:type="character" w:customStyle="1" w:styleId="115">
    <w:name w:val="Variable"/>
    <w:autoRedefine/>
    <w:qFormat/>
    <w:uiPriority w:val="0"/>
    <w:rPr>
      <w:i/>
    </w:rPr>
  </w:style>
  <w:style w:type="character" w:customStyle="1" w:styleId="116">
    <w:name w:val="HTML Markup"/>
    <w:autoRedefine/>
    <w:qFormat/>
    <w:uiPriority w:val="0"/>
    <w:rPr>
      <w:vanish/>
      <w:color w:val="FF0000"/>
    </w:rPr>
  </w:style>
  <w:style w:type="character" w:customStyle="1" w:styleId="117">
    <w:name w:val="Comment"/>
    <w:autoRedefine/>
    <w:qFormat/>
    <w:uiPriority w:val="0"/>
    <w:rPr>
      <w:vanish/>
    </w:rPr>
  </w:style>
  <w:style w:type="character" w:customStyle="1" w:styleId="118">
    <w:name w:val="纯文本 字符"/>
    <w:link w:val="24"/>
    <w:autoRedefine/>
    <w:qFormat/>
    <w:uiPriority w:val="0"/>
    <w:rPr>
      <w:rFonts w:ascii="宋体" w:hAnsi="Courier New" w:eastAsia="宋体" w:cs="Courier New"/>
      <w:szCs w:val="21"/>
    </w:rPr>
  </w:style>
  <w:style w:type="character" w:customStyle="1" w:styleId="119">
    <w:name w:val="批注主题 字符"/>
    <w:link w:val="41"/>
    <w:autoRedefine/>
    <w:qFormat/>
    <w:uiPriority w:val="0"/>
    <w:rPr>
      <w:rFonts w:ascii="Times New Roman" w:hAnsi="Times New Roman" w:eastAsia="宋体" w:cs="Times New Roman"/>
      <w:b/>
      <w:bCs/>
      <w:szCs w:val="24"/>
    </w:rPr>
  </w:style>
  <w:style w:type="character" w:customStyle="1" w:styleId="120">
    <w:name w:val="Char Char"/>
    <w:autoRedefine/>
    <w:qFormat/>
    <w:uiPriority w:val="0"/>
    <w:rPr>
      <w:rFonts w:eastAsia="宋体"/>
      <w:b/>
      <w:bCs/>
      <w:kern w:val="2"/>
      <w:sz w:val="21"/>
      <w:szCs w:val="24"/>
      <w:lang w:val="en-US" w:eastAsia="zh-CN" w:bidi="ar-SA"/>
    </w:rPr>
  </w:style>
  <w:style w:type="character" w:customStyle="1" w:styleId="121">
    <w:name w:val="样式 标题 3 + (中文) 黑体 小四 非加粗 段前: 7.8 磅 段后: 0 磅 行距: 固定值 20 磅 Char"/>
    <w:autoRedefine/>
    <w:qFormat/>
    <w:uiPriority w:val="0"/>
    <w:rPr>
      <w:rFonts w:ascii="黑体" w:hAnsi="宋体" w:eastAsia="黑体" w:cs="宋体"/>
      <w:b/>
      <w:bCs/>
      <w:kern w:val="2"/>
      <w:sz w:val="24"/>
      <w:lang w:val="en-US" w:eastAsia="zh-CN" w:bidi="ar-SA"/>
    </w:rPr>
  </w:style>
  <w:style w:type="character" w:customStyle="1" w:styleId="122">
    <w:name w:val="文档结构图 字符"/>
    <w:link w:val="15"/>
    <w:autoRedefine/>
    <w:qFormat/>
    <w:uiPriority w:val="0"/>
    <w:rPr>
      <w:rFonts w:ascii="Times New Roman" w:hAnsi="Times New Roman" w:eastAsia="宋体" w:cs="Times New Roman"/>
      <w:szCs w:val="24"/>
      <w:shd w:val="clear" w:color="auto" w:fill="000080"/>
    </w:rPr>
  </w:style>
  <w:style w:type="character" w:customStyle="1" w:styleId="123">
    <w:name w:val="批注框文本 字符"/>
    <w:link w:val="28"/>
    <w:autoRedefine/>
    <w:qFormat/>
    <w:uiPriority w:val="0"/>
    <w:rPr>
      <w:rFonts w:ascii="Times New Roman" w:hAnsi="Times New Roman" w:eastAsia="宋体" w:cs="Times New Roman"/>
      <w:sz w:val="18"/>
      <w:szCs w:val="18"/>
    </w:rPr>
  </w:style>
  <w:style w:type="character" w:customStyle="1" w:styleId="124">
    <w:name w:val="Char Char2"/>
    <w:autoRedefine/>
    <w:semiHidden/>
    <w:qFormat/>
    <w:uiPriority w:val="0"/>
    <w:rPr>
      <w:rFonts w:eastAsia="宋体"/>
      <w:kern w:val="2"/>
      <w:sz w:val="21"/>
      <w:szCs w:val="24"/>
      <w:lang w:val="en-US" w:eastAsia="zh-CN" w:bidi="ar-SA"/>
    </w:rPr>
  </w:style>
  <w:style w:type="character" w:customStyle="1" w:styleId="125">
    <w:name w:val="Char Char7"/>
    <w:autoRedefine/>
    <w:qFormat/>
    <w:locked/>
    <w:uiPriority w:val="0"/>
    <w:rPr>
      <w:rFonts w:ascii="黑体" w:hAnsi="宋体" w:eastAsia="黑体" w:cs="Arial"/>
      <w:b/>
      <w:bCs/>
      <w:kern w:val="2"/>
      <w:sz w:val="30"/>
      <w:szCs w:val="24"/>
      <w:lang w:val="en-US" w:eastAsia="zh-CN" w:bidi="ar-SA"/>
    </w:rPr>
  </w:style>
  <w:style w:type="character" w:customStyle="1" w:styleId="126">
    <w:name w:val="Char Char41"/>
    <w:autoRedefine/>
    <w:qFormat/>
    <w:uiPriority w:val="0"/>
    <w:rPr>
      <w:rFonts w:ascii="宋体" w:hAnsi="宋体" w:eastAsia="黑体" w:cs="Arial"/>
      <w:b/>
      <w:kern w:val="2"/>
      <w:sz w:val="28"/>
      <w:szCs w:val="32"/>
      <w:lang w:val="en-US" w:eastAsia="zh-CN" w:bidi="ar-SA"/>
    </w:rPr>
  </w:style>
  <w:style w:type="character" w:customStyle="1" w:styleId="127">
    <w:name w:val="Char Char11"/>
    <w:autoRedefine/>
    <w:qFormat/>
    <w:uiPriority w:val="0"/>
    <w:rPr>
      <w:rFonts w:ascii="黑体" w:hAnsi="Arial" w:eastAsia="黑体" w:cs="Arial"/>
      <w:b/>
      <w:bCs/>
      <w:kern w:val="2"/>
      <w:sz w:val="32"/>
      <w:szCs w:val="32"/>
      <w:lang w:val="en-US" w:eastAsia="zh-CN" w:bidi="ar-SA"/>
    </w:rPr>
  </w:style>
  <w:style w:type="character" w:customStyle="1" w:styleId="128">
    <w:name w:val="Char Char31"/>
    <w:autoRedefine/>
    <w:qFormat/>
    <w:uiPriority w:val="0"/>
    <w:rPr>
      <w:rFonts w:ascii="黑体" w:hAnsi="宋体" w:eastAsia="黑体" w:cs="Arial"/>
      <w:b/>
      <w:bCs/>
      <w:kern w:val="2"/>
      <w:sz w:val="24"/>
      <w:szCs w:val="24"/>
      <w:lang w:val="en-US" w:eastAsia="zh-CN" w:bidi="ar-SA"/>
    </w:rPr>
  </w:style>
  <w:style w:type="character" w:customStyle="1" w:styleId="129">
    <w:name w:val="Char Char5"/>
    <w:autoRedefine/>
    <w:qFormat/>
    <w:uiPriority w:val="0"/>
    <w:rPr>
      <w:rFonts w:eastAsia="宋体"/>
      <w:b/>
      <w:bCs/>
      <w:kern w:val="2"/>
      <w:sz w:val="21"/>
      <w:szCs w:val="24"/>
      <w:lang w:val="en-US" w:eastAsia="zh-CN" w:bidi="ar-SA"/>
    </w:rPr>
  </w:style>
  <w:style w:type="character" w:customStyle="1" w:styleId="130">
    <w:name w:val="标题 5 字符"/>
    <w:link w:val="7"/>
    <w:autoRedefine/>
    <w:qFormat/>
    <w:uiPriority w:val="0"/>
    <w:rPr>
      <w:rFonts w:ascii="Calibri" w:hAnsi="Calibri" w:eastAsia="宋体" w:cs="Times New Roman"/>
      <w:b/>
      <w:bCs/>
      <w:sz w:val="28"/>
      <w:szCs w:val="28"/>
    </w:rPr>
  </w:style>
  <w:style w:type="character" w:customStyle="1" w:styleId="131">
    <w:name w:val="Char Char42"/>
    <w:autoRedefine/>
    <w:qFormat/>
    <w:uiPriority w:val="0"/>
    <w:rPr>
      <w:rFonts w:ascii="宋体" w:hAnsi="宋体" w:eastAsia="黑体" w:cs="Arial"/>
      <w:b/>
      <w:kern w:val="2"/>
      <w:sz w:val="28"/>
      <w:szCs w:val="32"/>
      <w:lang w:val="en-US" w:eastAsia="zh-CN" w:bidi="ar-SA"/>
    </w:rPr>
  </w:style>
  <w:style w:type="character" w:customStyle="1" w:styleId="132">
    <w:name w:val="Char Char12"/>
    <w:autoRedefine/>
    <w:qFormat/>
    <w:uiPriority w:val="0"/>
    <w:rPr>
      <w:rFonts w:ascii="黑体" w:hAnsi="Arial" w:eastAsia="黑体" w:cs="Arial"/>
      <w:b/>
      <w:bCs/>
      <w:kern w:val="2"/>
      <w:sz w:val="32"/>
      <w:szCs w:val="32"/>
      <w:lang w:val="en-US" w:eastAsia="zh-CN" w:bidi="ar-SA"/>
    </w:rPr>
  </w:style>
  <w:style w:type="character" w:customStyle="1" w:styleId="133">
    <w:name w:val="Char Char32"/>
    <w:autoRedefine/>
    <w:qFormat/>
    <w:uiPriority w:val="0"/>
    <w:rPr>
      <w:rFonts w:ascii="黑体" w:hAnsi="宋体" w:eastAsia="黑体" w:cs="Arial"/>
      <w:b/>
      <w:bCs/>
      <w:kern w:val="2"/>
      <w:sz w:val="24"/>
      <w:szCs w:val="24"/>
      <w:lang w:val="en-US" w:eastAsia="zh-CN" w:bidi="ar-SA"/>
    </w:rPr>
  </w:style>
  <w:style w:type="character" w:customStyle="1" w:styleId="134">
    <w:name w:val="Char Char6"/>
    <w:autoRedefine/>
    <w:qFormat/>
    <w:uiPriority w:val="0"/>
    <w:rPr>
      <w:rFonts w:eastAsia="宋体"/>
      <w:b/>
      <w:bCs/>
      <w:kern w:val="2"/>
      <w:sz w:val="21"/>
      <w:szCs w:val="24"/>
      <w:lang w:val="en-US" w:eastAsia="zh-CN" w:bidi="ar-SA"/>
    </w:rPr>
  </w:style>
  <w:style w:type="character" w:customStyle="1" w:styleId="135">
    <w:name w:val="Char Char21"/>
    <w:autoRedefine/>
    <w:semiHidden/>
    <w:qFormat/>
    <w:uiPriority w:val="0"/>
    <w:rPr>
      <w:rFonts w:eastAsia="宋体"/>
      <w:kern w:val="2"/>
      <w:sz w:val="21"/>
      <w:szCs w:val="24"/>
      <w:lang w:val="en-US" w:eastAsia="zh-CN" w:bidi="ar-SA"/>
    </w:rPr>
  </w:style>
  <w:style w:type="character" w:customStyle="1" w:styleId="136">
    <w:name w:val="正文缩进 字符"/>
    <w:link w:val="13"/>
    <w:autoRedefine/>
    <w:qFormat/>
    <w:uiPriority w:val="0"/>
    <w:rPr>
      <w:rFonts w:ascii="Times New Roman" w:hAnsi="Times New Roman" w:eastAsia="宋体" w:cs="Times New Roman"/>
      <w:szCs w:val="24"/>
    </w:rPr>
  </w:style>
  <w:style w:type="character" w:customStyle="1" w:styleId="137">
    <w:name w:val="明显引用 Char"/>
    <w:link w:val="77"/>
    <w:autoRedefine/>
    <w:qFormat/>
    <w:uiPriority w:val="0"/>
    <w:rPr>
      <w:b/>
      <w:bCs/>
      <w:i/>
      <w:iCs/>
      <w:color w:val="4F81BD"/>
    </w:rPr>
  </w:style>
  <w:style w:type="character" w:customStyle="1" w:styleId="138">
    <w:name w:val="书籍标题1"/>
    <w:autoRedefine/>
    <w:qFormat/>
    <w:uiPriority w:val="0"/>
    <w:rPr>
      <w:b/>
      <w:bCs/>
      <w:smallCaps/>
      <w:spacing w:val="5"/>
    </w:rPr>
  </w:style>
  <w:style w:type="character" w:customStyle="1" w:styleId="139">
    <w:name w:val="副标题 字符"/>
    <w:link w:val="33"/>
    <w:autoRedefine/>
    <w:qFormat/>
    <w:uiPriority w:val="0"/>
    <w:rPr>
      <w:rFonts w:ascii="Cambria" w:hAnsi="Cambria"/>
      <w:b/>
      <w:bCs/>
      <w:kern w:val="28"/>
      <w:sz w:val="32"/>
      <w:szCs w:val="32"/>
    </w:rPr>
  </w:style>
  <w:style w:type="character" w:customStyle="1" w:styleId="140">
    <w:name w:val="明显强调1"/>
    <w:autoRedefine/>
    <w:qFormat/>
    <w:uiPriority w:val="0"/>
    <w:rPr>
      <w:b/>
      <w:bCs/>
      <w:i/>
      <w:iCs/>
      <w:color w:val="4F81BD"/>
    </w:rPr>
  </w:style>
  <w:style w:type="character" w:customStyle="1" w:styleId="141">
    <w:name w:val="标题5 Char Char"/>
    <w:link w:val="81"/>
    <w:autoRedefine/>
    <w:qFormat/>
    <w:uiPriority w:val="0"/>
    <w:rPr>
      <w:rFonts w:ascii="Arial" w:hAnsi="Arial"/>
      <w:b/>
      <w:bCs/>
      <w:sz w:val="24"/>
      <w:szCs w:val="32"/>
    </w:rPr>
  </w:style>
  <w:style w:type="character" w:customStyle="1" w:styleId="142">
    <w:name w:val="textcontents"/>
    <w:autoRedefine/>
    <w:qFormat/>
    <w:uiPriority w:val="0"/>
    <w:rPr>
      <w:rFonts w:cs="Times New Roman"/>
    </w:rPr>
  </w:style>
  <w:style w:type="character" w:customStyle="1" w:styleId="143">
    <w:name w:val="不明显强调1"/>
    <w:autoRedefine/>
    <w:qFormat/>
    <w:uiPriority w:val="0"/>
    <w:rPr>
      <w:i/>
      <w:iCs/>
      <w:color w:val="808080"/>
    </w:rPr>
  </w:style>
  <w:style w:type="character" w:customStyle="1" w:styleId="144">
    <w:name w:val="不明显参考1"/>
    <w:autoRedefine/>
    <w:qFormat/>
    <w:uiPriority w:val="0"/>
    <w:rPr>
      <w:smallCaps/>
      <w:color w:val="C0504D"/>
      <w:u w:val="single"/>
    </w:rPr>
  </w:style>
  <w:style w:type="character" w:customStyle="1" w:styleId="145">
    <w:name w:val="日期 Char1"/>
    <w:autoRedefine/>
    <w:qFormat/>
    <w:uiPriority w:val="0"/>
    <w:rPr>
      <w:kern w:val="2"/>
      <w:sz w:val="21"/>
      <w:szCs w:val="22"/>
    </w:rPr>
  </w:style>
  <w:style w:type="character" w:customStyle="1" w:styleId="146">
    <w:name w:val="正文文本 Char1"/>
    <w:autoRedefine/>
    <w:qFormat/>
    <w:uiPriority w:val="0"/>
    <w:rPr>
      <w:kern w:val="2"/>
      <w:sz w:val="21"/>
      <w:szCs w:val="22"/>
    </w:rPr>
  </w:style>
  <w:style w:type="character" w:customStyle="1" w:styleId="147">
    <w:name w:val="批注主题 Char1"/>
    <w:autoRedefine/>
    <w:qFormat/>
    <w:uiPriority w:val="0"/>
    <w:rPr>
      <w:b/>
      <w:bCs/>
      <w:kern w:val="2"/>
      <w:sz w:val="21"/>
      <w:szCs w:val="22"/>
    </w:rPr>
  </w:style>
  <w:style w:type="character" w:customStyle="1" w:styleId="148">
    <w:name w:val="批注文字 Char Char"/>
    <w:autoRedefine/>
    <w:qFormat/>
    <w:uiPriority w:val="0"/>
    <w:rPr>
      <w:rFonts w:ascii="宋体" w:hAnsi="Times New Roman" w:eastAsia="宋体" w:cs="Times New Roman"/>
      <w:sz w:val="28"/>
      <w:szCs w:val="20"/>
    </w:rPr>
  </w:style>
  <w:style w:type="character" w:customStyle="1" w:styleId="149">
    <w:name w:val="明显参考1"/>
    <w:autoRedefine/>
    <w:qFormat/>
    <w:uiPriority w:val="0"/>
    <w:rPr>
      <w:b/>
      <w:bCs/>
      <w:smallCaps/>
      <w:color w:val="C0504D"/>
      <w:spacing w:val="5"/>
      <w:u w:val="single"/>
    </w:rPr>
  </w:style>
  <w:style w:type="character" w:customStyle="1" w:styleId="150">
    <w:name w:val="批注框文本 Char1"/>
    <w:autoRedefine/>
    <w:qFormat/>
    <w:uiPriority w:val="0"/>
    <w:rPr>
      <w:kern w:val="2"/>
      <w:sz w:val="18"/>
      <w:szCs w:val="18"/>
    </w:rPr>
  </w:style>
  <w:style w:type="character" w:customStyle="1" w:styleId="151">
    <w:name w:val="引用 Char"/>
    <w:link w:val="78"/>
    <w:autoRedefine/>
    <w:qFormat/>
    <w:uiPriority w:val="0"/>
    <w:rPr>
      <w:i/>
      <w:iCs/>
      <w:color w:val="000000"/>
    </w:rPr>
  </w:style>
  <w:style w:type="character" w:customStyle="1" w:styleId="152">
    <w:name w:val="文档结构图 Char1"/>
    <w:autoRedefine/>
    <w:qFormat/>
    <w:uiPriority w:val="0"/>
    <w:rPr>
      <w:rFonts w:ascii="宋体"/>
      <w:kern w:val="2"/>
      <w:sz w:val="18"/>
      <w:szCs w:val="18"/>
    </w:rPr>
  </w:style>
  <w:style w:type="character" w:customStyle="1" w:styleId="153">
    <w:name w:val="副标题 Char1"/>
    <w:autoRedefine/>
    <w:qFormat/>
    <w:uiPriority w:val="0"/>
    <w:rPr>
      <w:rFonts w:ascii="Calibri Light" w:hAnsi="Calibri Light" w:eastAsia="宋体" w:cs="黑体"/>
      <w:b/>
      <w:bCs/>
      <w:kern w:val="28"/>
      <w:sz w:val="32"/>
      <w:szCs w:val="32"/>
    </w:rPr>
  </w:style>
  <w:style w:type="character" w:customStyle="1" w:styleId="154">
    <w:name w:val="明显引用 Char1"/>
    <w:autoRedefine/>
    <w:qFormat/>
    <w:uiPriority w:val="30"/>
    <w:rPr>
      <w:rFonts w:ascii="Times New Roman" w:hAnsi="Times New Roman" w:eastAsia="宋体" w:cs="Times New Roman"/>
      <w:i/>
      <w:iCs/>
      <w:color w:val="5B9BD5"/>
      <w:szCs w:val="24"/>
    </w:rPr>
  </w:style>
  <w:style w:type="character" w:customStyle="1" w:styleId="155">
    <w:name w:val="引用 Char1"/>
    <w:autoRedefine/>
    <w:qFormat/>
    <w:uiPriority w:val="29"/>
    <w:rPr>
      <w:rFonts w:ascii="Times New Roman" w:hAnsi="Times New Roman" w:eastAsia="宋体" w:cs="Times New Roman"/>
      <w:i/>
      <w:iCs/>
      <w:color w:val="3F3F3F"/>
      <w:szCs w:val="24"/>
    </w:rPr>
  </w:style>
  <w:style w:type="paragraph" w:styleId="156">
    <w:name w:val="List Paragraph"/>
    <w:basedOn w:val="1"/>
    <w:autoRedefine/>
    <w:qFormat/>
    <w:uiPriority w:val="99"/>
    <w:pPr>
      <w:ind w:firstLine="420" w:firstLineChars="200"/>
    </w:pPr>
  </w:style>
  <w:style w:type="paragraph" w:customStyle="1" w:styleId="157">
    <w:name w:val="正文1"/>
    <w:autoRedefine/>
    <w:qFormat/>
    <w:uiPriority w:val="0"/>
    <w:pPr>
      <w:jc w:val="both"/>
    </w:pPr>
    <w:rPr>
      <w:rFonts w:ascii="Calibri" w:hAnsi="Calibri" w:eastAsia="宋体" w:cs="宋体"/>
      <w:kern w:val="2"/>
      <w:sz w:val="21"/>
      <w:szCs w:val="21"/>
      <w:lang w:val="en-US" w:eastAsia="zh-CN" w:bidi="ar-SA"/>
    </w:rPr>
  </w:style>
  <w:style w:type="paragraph" w:customStyle="1" w:styleId="158">
    <w:name w:val="List Paragraph1"/>
    <w:basedOn w:val="1"/>
    <w:autoRedefine/>
    <w:qFormat/>
    <w:uiPriority w:val="0"/>
    <w:pPr>
      <w:ind w:firstLine="420" w:firstLineChars="200"/>
    </w:pPr>
    <w:rPr>
      <w:rFonts w:ascii="Calibri" w:hAnsi="Calibri"/>
      <w:szCs w:val="21"/>
    </w:rPr>
  </w:style>
  <w:style w:type="paragraph" w:customStyle="1" w:styleId="159">
    <w:name w:val="正文_0"/>
    <w:next w:val="19"/>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character" w:customStyle="1" w:styleId="160">
    <w:name w:val="正文首行缩进 字符"/>
    <w:basedOn w:val="104"/>
    <w:link w:val="42"/>
    <w:autoRedefine/>
    <w:semiHidden/>
    <w:qFormat/>
    <w:uiPriority w:val="0"/>
    <w:rPr>
      <w:rFonts w:ascii="Times New Roman" w:hAnsi="Times New Roman" w:eastAsia="宋体" w:cs="Times New Roman"/>
      <w:kern w:val="2"/>
      <w:sz w:val="21"/>
      <w:szCs w:val="24"/>
    </w:rPr>
  </w:style>
  <w:style w:type="paragraph" w:styleId="161">
    <w:name w:val="No Spacing"/>
    <w:link w:val="162"/>
    <w:autoRedefine/>
    <w:qFormat/>
    <w:uiPriority w:val="1"/>
    <w:rPr>
      <w:rFonts w:asciiTheme="minorHAnsi" w:hAnsiTheme="minorHAnsi" w:eastAsiaTheme="minorEastAsia" w:cstheme="minorBidi"/>
      <w:sz w:val="22"/>
      <w:szCs w:val="22"/>
      <w:lang w:val="en-US" w:eastAsia="zh-CN" w:bidi="ar-SA"/>
    </w:rPr>
  </w:style>
  <w:style w:type="character" w:customStyle="1" w:styleId="162">
    <w:name w:val="无间隔 字符"/>
    <w:basedOn w:val="46"/>
    <w:link w:val="161"/>
    <w:autoRedefine/>
    <w:qFormat/>
    <w:uiPriority w:val="1"/>
    <w:rPr>
      <w:rFonts w:asciiTheme="minorHAnsi" w:hAnsiTheme="minorHAnsi" w:eastAsiaTheme="minorEastAsia" w:cstheme="minorBidi"/>
      <w:sz w:val="22"/>
      <w:szCs w:val="22"/>
    </w:rPr>
  </w:style>
  <w:style w:type="paragraph" w:customStyle="1" w:styleId="163">
    <w:name w:val="正文2"/>
    <w:autoRedefine/>
    <w:qFormat/>
    <w:uiPriority w:val="0"/>
    <w:rPr>
      <w:rFonts w:ascii="Times New Roman" w:hAnsi="Times New Roman" w:eastAsia="Times New Roman" w:cs="Times New Roman"/>
      <w:sz w:val="24"/>
      <w:szCs w:val="24"/>
      <w:lang w:val="en-US" w:eastAsia="zh-CN" w:bidi="ar-SA"/>
    </w:rPr>
  </w:style>
  <w:style w:type="character" w:customStyle="1" w:styleId="164">
    <w:name w:val="markedcontent"/>
    <w:basedOn w:val="46"/>
    <w:autoRedefine/>
    <w:qFormat/>
    <w:uiPriority w:val="0"/>
  </w:style>
  <w:style w:type="paragraph" w:customStyle="1" w:styleId="165">
    <w:name w:val="标题 2_0"/>
    <w:basedOn w:val="166"/>
    <w:next w:val="167"/>
    <w:autoRedefine/>
    <w:qFormat/>
    <w:uiPriority w:val="0"/>
    <w:pPr>
      <w:keepNext/>
      <w:keepLines/>
      <w:jc w:val="left"/>
      <w:outlineLvl w:val="1"/>
    </w:pPr>
    <w:rPr>
      <w:rFonts w:hAnsi="黑体"/>
      <w:b w:val="0"/>
    </w:rPr>
  </w:style>
  <w:style w:type="paragraph" w:customStyle="1" w:styleId="166">
    <w:name w:val="标题_0"/>
    <w:basedOn w:val="167"/>
    <w:autoRedefine/>
    <w:qFormat/>
    <w:uiPriority w:val="0"/>
    <w:pPr>
      <w:spacing w:before="120" w:after="120" w:line="360" w:lineRule="auto"/>
      <w:jc w:val="center"/>
      <w:outlineLvl w:val="0"/>
    </w:pPr>
    <w:rPr>
      <w:rFonts w:ascii="黑体" w:hAnsi="Arial" w:eastAsia="黑体"/>
      <w:b/>
      <w:bCs/>
      <w:kern w:val="0"/>
      <w:sz w:val="32"/>
      <w:szCs w:val="32"/>
    </w:rPr>
  </w:style>
  <w:style w:type="paragraph" w:customStyle="1" w:styleId="167">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正文文本_0"/>
    <w:basedOn w:val="167"/>
    <w:autoRedefine/>
    <w:qFormat/>
    <w:uiPriority w:val="0"/>
    <w:pPr>
      <w:spacing w:after="120"/>
    </w:pPr>
    <w:rPr>
      <w:kern w:val="0"/>
      <w:sz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DD5C7A-BABA-4CCF-8FE7-5436CF40E3C5}">
  <ds:schemaRefs/>
</ds:datastoreItem>
</file>

<file path=customXml/itemProps3.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167</Pages>
  <Words>12118</Words>
  <Characters>69075</Characters>
  <Lines>575</Lines>
  <Paragraphs>162</Paragraphs>
  <TotalTime>0</TotalTime>
  <ScaleCrop>false</ScaleCrop>
  <LinksUpToDate>false</LinksUpToDate>
  <CharactersWithSpaces>81031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2018-11-22T10:17:00Z</dcterms:created>
  <dc:creator>卢连强</dc:creator>
  <cp:lastModifiedBy>WPS_1619420006</cp:lastModifiedBy>
  <cp:lastPrinted>2024-04-16T09:28:00Z</cp:lastPrinted>
  <dcterms:modified xsi:type="dcterms:W3CDTF">2024-04-19T00:45:49Z</dcterms:modified>
  <dc:title>南阳市房屋建筑和市政工程</dc:title>
  <cp:revision>372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2431D66CD27B4BE090CB9136755F7EFB_12</vt:lpwstr>
  </property>
</Properties>
</file>