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33CCBF">
      <w:pPr>
        <w:pStyle w:val="2"/>
        <w:jc w:val="center"/>
        <w:rPr>
          <w:rFonts w:hint="eastAsia" w:ascii="宋体" w:hAnsi="宋体"/>
          <w:b/>
          <w:bCs/>
          <w:kern w:val="0"/>
          <w:sz w:val="44"/>
          <w:szCs w:val="44"/>
        </w:rPr>
      </w:pPr>
      <w:bookmarkStart w:id="0" w:name="_Toc144974479"/>
      <w:bookmarkStart w:id="1" w:name="_Toc152045511"/>
      <w:bookmarkStart w:id="2" w:name="_Toc152042287"/>
      <w:bookmarkStart w:id="3" w:name="_Toc179632527"/>
    </w:p>
    <w:p w14:paraId="37A07F6D">
      <w:pPr>
        <w:pStyle w:val="2"/>
        <w:jc w:val="center"/>
        <w:rPr>
          <w:rFonts w:hint="eastAsia" w:ascii="宋体" w:hAnsi="宋体" w:eastAsia="宋体"/>
          <w:b/>
          <w:bCs/>
          <w:kern w:val="0"/>
          <w:sz w:val="44"/>
          <w:szCs w:val="44"/>
          <w:lang w:eastAsia="zh-CN"/>
        </w:rPr>
      </w:pPr>
      <w:r>
        <w:rPr>
          <w:rFonts w:hint="eastAsia" w:ascii="宋体" w:hAnsi="宋体"/>
          <w:b/>
          <w:bCs/>
          <w:kern w:val="0"/>
          <w:sz w:val="44"/>
          <w:szCs w:val="44"/>
          <w:lang w:eastAsia="zh-CN"/>
        </w:rPr>
        <w:t>唐河县兴唐九年一贯制学校餐厅建设项目</w:t>
      </w:r>
    </w:p>
    <w:p w14:paraId="71E1EB59">
      <w:pPr>
        <w:spacing w:line="360" w:lineRule="auto"/>
        <w:jc w:val="center"/>
        <w:rPr>
          <w:rFonts w:ascii="宋体" w:hAnsi="宋体"/>
          <w:b/>
          <w:bCs/>
          <w:sz w:val="36"/>
          <w:szCs w:val="36"/>
        </w:rPr>
      </w:pPr>
    </w:p>
    <w:p w14:paraId="044B3C29">
      <w:pPr>
        <w:spacing w:line="360" w:lineRule="auto"/>
        <w:jc w:val="center"/>
        <w:rPr>
          <w:rFonts w:ascii="宋体" w:hAnsi="宋体"/>
          <w:b/>
          <w:bCs/>
          <w:sz w:val="24"/>
          <w:szCs w:val="24"/>
        </w:rPr>
      </w:pPr>
      <w:r>
        <w:rPr>
          <w:rFonts w:hint="eastAsia" w:ascii="宋体" w:hAnsi="宋体" w:eastAsia="宋体" w:cs="宋体"/>
          <w:b/>
          <w:bCs/>
          <w:kern w:val="2"/>
          <w:sz w:val="28"/>
          <w:szCs w:val="28"/>
          <w:lang w:val="en-US" w:eastAsia="zh-CN" w:bidi="ar-SA"/>
        </w:rPr>
        <w:t>招标编号：thggzygcjy-</w:t>
      </w:r>
      <w:r>
        <w:rPr>
          <w:rFonts w:hint="eastAsia" w:ascii="宋体" w:hAnsi="宋体" w:cs="宋体"/>
          <w:b/>
          <w:bCs/>
          <w:kern w:val="2"/>
          <w:sz w:val="28"/>
          <w:szCs w:val="28"/>
          <w:lang w:val="en-US" w:eastAsia="zh-CN" w:bidi="ar-SA"/>
        </w:rPr>
        <w:t>2024</w:t>
      </w: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079</w:t>
      </w:r>
    </w:p>
    <w:p w14:paraId="763B9B6B">
      <w:pPr>
        <w:spacing w:line="360" w:lineRule="auto"/>
        <w:jc w:val="center"/>
        <w:rPr>
          <w:rFonts w:ascii="宋体" w:hAnsi="宋体"/>
          <w:b/>
          <w:bCs/>
          <w:sz w:val="36"/>
          <w:szCs w:val="36"/>
          <w:highlight w:val="yellow"/>
        </w:rPr>
      </w:pPr>
    </w:p>
    <w:p w14:paraId="7EDC9ABA">
      <w:pPr>
        <w:spacing w:line="360" w:lineRule="auto"/>
        <w:jc w:val="center"/>
        <w:rPr>
          <w:rFonts w:ascii="宋体" w:hAnsi="宋体"/>
          <w:b/>
          <w:bCs/>
          <w:sz w:val="36"/>
          <w:szCs w:val="36"/>
          <w:highlight w:val="yellow"/>
        </w:rPr>
      </w:pPr>
    </w:p>
    <w:p w14:paraId="68D1CAE7">
      <w:pPr>
        <w:spacing w:line="360" w:lineRule="auto"/>
        <w:jc w:val="center"/>
        <w:rPr>
          <w:rFonts w:ascii="宋体" w:hAnsi="宋体"/>
          <w:b/>
          <w:bCs/>
          <w:sz w:val="36"/>
          <w:szCs w:val="36"/>
          <w:highlight w:val="yellow"/>
          <w:u w:val="single"/>
        </w:rPr>
      </w:pPr>
    </w:p>
    <w:p w14:paraId="4AF86D12">
      <w:pPr>
        <w:pStyle w:val="2"/>
      </w:pPr>
    </w:p>
    <w:p w14:paraId="25D7FA05">
      <w:pPr>
        <w:pStyle w:val="64"/>
        <w:rPr>
          <w:color w:val="auto"/>
        </w:rPr>
      </w:pPr>
    </w:p>
    <w:p w14:paraId="0A3F811B">
      <w:pPr>
        <w:pStyle w:val="2"/>
      </w:pPr>
    </w:p>
    <w:p w14:paraId="5F72A896">
      <w:pPr>
        <w:jc w:val="center"/>
        <w:rPr>
          <w:rFonts w:ascii="宋体" w:hAnsi="宋体"/>
          <w:b/>
          <w:sz w:val="72"/>
          <w:szCs w:val="72"/>
        </w:rPr>
      </w:pPr>
      <w:r>
        <w:rPr>
          <w:rFonts w:hint="eastAsia" w:ascii="宋体" w:hAnsi="宋体"/>
          <w:b/>
          <w:sz w:val="72"/>
          <w:szCs w:val="72"/>
        </w:rPr>
        <w:t>招 标 文 件</w:t>
      </w:r>
    </w:p>
    <w:p w14:paraId="1557432B">
      <w:pPr>
        <w:pStyle w:val="2"/>
        <w:jc w:val="center"/>
        <w:rPr>
          <w:sz w:val="44"/>
        </w:rPr>
      </w:pPr>
      <w:r>
        <w:rPr>
          <w:rFonts w:hint="eastAsia"/>
          <w:sz w:val="44"/>
        </w:rPr>
        <w:t>（监理</w:t>
      </w:r>
      <w:r>
        <w:rPr>
          <w:rFonts w:hint="eastAsia"/>
          <w:sz w:val="44"/>
          <w:lang w:val="en-US" w:eastAsia="zh-CN"/>
        </w:rPr>
        <w:t>标</w:t>
      </w:r>
      <w:r>
        <w:rPr>
          <w:rFonts w:hint="eastAsia"/>
          <w:sz w:val="44"/>
        </w:rPr>
        <w:t>）</w:t>
      </w:r>
    </w:p>
    <w:p w14:paraId="42B4F14F">
      <w:pPr>
        <w:pStyle w:val="2"/>
      </w:pPr>
    </w:p>
    <w:p w14:paraId="7343DEF2">
      <w:pPr>
        <w:ind w:firstLine="899" w:firstLineChars="281"/>
        <w:rPr>
          <w:rFonts w:ascii="宋体" w:hAnsi="宋体"/>
          <w:sz w:val="32"/>
        </w:rPr>
      </w:pPr>
    </w:p>
    <w:p w14:paraId="5C251E2B">
      <w:pPr>
        <w:pStyle w:val="2"/>
      </w:pPr>
    </w:p>
    <w:p w14:paraId="0C53B767">
      <w:pPr>
        <w:pStyle w:val="64"/>
        <w:rPr>
          <w:rFonts w:hAnsi="宋体"/>
          <w:color w:val="auto"/>
          <w:sz w:val="32"/>
        </w:rPr>
      </w:pPr>
    </w:p>
    <w:p w14:paraId="473535BD">
      <w:pPr>
        <w:jc w:val="center"/>
        <w:rPr>
          <w:rFonts w:ascii="宋体" w:hAnsi="宋体"/>
          <w:sz w:val="32"/>
        </w:rPr>
      </w:pPr>
    </w:p>
    <w:p w14:paraId="50598FDB">
      <w:pPr>
        <w:spacing w:line="360" w:lineRule="auto"/>
        <w:ind w:firstLine="1680" w:firstLineChars="600"/>
        <w:jc w:val="both"/>
        <w:rPr>
          <w:rFonts w:ascii="宋体" w:hAnsi="宋体"/>
          <w:b/>
          <w:bCs/>
          <w:sz w:val="28"/>
          <w:szCs w:val="28"/>
          <w:u w:val="single"/>
        </w:rPr>
      </w:pPr>
      <w:bookmarkStart w:id="4" w:name="_Toc296602400"/>
      <w:bookmarkStart w:id="5" w:name="_Toc361824821"/>
      <w:bookmarkStart w:id="6" w:name="_Toc247085669"/>
      <w:bookmarkStart w:id="7" w:name="_Toc399596148"/>
      <w:bookmarkStart w:id="8" w:name="_Toc246996898"/>
      <w:r>
        <w:rPr>
          <w:rFonts w:hint="eastAsia" w:ascii="宋体" w:hAnsi="宋体"/>
          <w:b/>
          <w:bCs/>
          <w:sz w:val="28"/>
          <w:szCs w:val="28"/>
        </w:rPr>
        <w:t xml:space="preserve">招 </w:t>
      </w:r>
      <w:r>
        <w:rPr>
          <w:rFonts w:hint="eastAsia" w:ascii="宋体" w:hAnsi="宋体"/>
          <w:b/>
          <w:bCs/>
          <w:sz w:val="28"/>
          <w:szCs w:val="28"/>
          <w:lang w:val="en-US" w:eastAsia="zh-CN"/>
        </w:rPr>
        <w:t xml:space="preserve">  </w:t>
      </w:r>
      <w:r>
        <w:rPr>
          <w:rFonts w:hint="eastAsia" w:ascii="宋体" w:hAnsi="宋体"/>
          <w:b/>
          <w:bCs/>
          <w:sz w:val="28"/>
          <w:szCs w:val="28"/>
        </w:rPr>
        <w:t xml:space="preserve">标 </w:t>
      </w:r>
      <w:r>
        <w:rPr>
          <w:rFonts w:hint="eastAsia" w:ascii="宋体" w:hAnsi="宋体"/>
          <w:b/>
          <w:bCs/>
          <w:sz w:val="28"/>
          <w:szCs w:val="28"/>
          <w:lang w:val="en-US" w:eastAsia="zh-CN"/>
        </w:rPr>
        <w:t xml:space="preserve">  </w:t>
      </w:r>
      <w:r>
        <w:rPr>
          <w:rFonts w:hint="eastAsia" w:ascii="宋体" w:hAnsi="宋体"/>
          <w:b/>
          <w:bCs/>
          <w:sz w:val="28"/>
          <w:szCs w:val="28"/>
        </w:rPr>
        <w:t>人：</w:t>
      </w:r>
      <w:bookmarkStart w:id="9" w:name="EptNR_招标人名称1"/>
      <w:bookmarkEnd w:id="9"/>
      <w:r>
        <w:rPr>
          <w:rFonts w:hint="eastAsia" w:ascii="宋体" w:hAnsi="宋体"/>
          <w:b/>
          <w:bCs/>
          <w:sz w:val="28"/>
          <w:szCs w:val="28"/>
          <w:u w:val="single"/>
        </w:rPr>
        <w:t>唐河县教育体育局</w:t>
      </w:r>
    </w:p>
    <w:p w14:paraId="2CF0101A">
      <w:pPr>
        <w:tabs>
          <w:tab w:val="center" w:pos="4479"/>
          <w:tab w:val="left" w:pos="8190"/>
        </w:tabs>
        <w:spacing w:line="360" w:lineRule="auto"/>
        <w:ind w:firstLine="1680" w:firstLineChars="600"/>
        <w:jc w:val="both"/>
        <w:rPr>
          <w:rFonts w:hint="eastAsia" w:ascii="宋体" w:hAnsi="宋体" w:eastAsia="宋体"/>
          <w:b/>
          <w:bCs/>
          <w:sz w:val="28"/>
          <w:szCs w:val="28"/>
          <w:u w:val="single"/>
          <w:lang w:eastAsia="zh-CN"/>
        </w:rPr>
      </w:pPr>
      <w:r>
        <w:rPr>
          <w:rFonts w:hint="eastAsia" w:ascii="宋体" w:hAnsi="宋体"/>
          <w:b/>
          <w:bCs/>
          <w:sz w:val="28"/>
          <w:szCs w:val="28"/>
        </w:rPr>
        <w:t>招标代理机构：</w:t>
      </w:r>
      <w:bookmarkStart w:id="10" w:name="EptNR_招标代理机构1"/>
      <w:bookmarkEnd w:id="10"/>
      <w:r>
        <w:rPr>
          <w:rFonts w:hint="eastAsia" w:ascii="宋体" w:hAnsi="宋体"/>
          <w:b/>
          <w:bCs/>
          <w:sz w:val="28"/>
          <w:szCs w:val="28"/>
          <w:u w:val="single"/>
          <w:lang w:eastAsia="zh-CN"/>
        </w:rPr>
        <w:t>河南合旺工程管理咨询有限公司</w:t>
      </w:r>
    </w:p>
    <w:p w14:paraId="54CC3D37">
      <w:pPr>
        <w:ind w:firstLine="1680" w:firstLineChars="600"/>
        <w:jc w:val="both"/>
        <w:rPr>
          <w:rFonts w:hint="eastAsia" w:ascii="宋体" w:hAnsi="宋体"/>
          <w:b/>
          <w:bCs/>
          <w:sz w:val="28"/>
          <w:szCs w:val="28"/>
        </w:rPr>
      </w:pPr>
      <w:r>
        <w:rPr>
          <w:rFonts w:hint="eastAsia" w:ascii="宋体" w:hAnsi="宋体"/>
          <w:b/>
          <w:bCs/>
          <w:sz w:val="28"/>
          <w:szCs w:val="28"/>
        </w:rPr>
        <w:t>日</w:t>
      </w:r>
      <w:r>
        <w:rPr>
          <w:rFonts w:hint="eastAsia" w:ascii="宋体" w:hAnsi="宋体"/>
          <w:b/>
          <w:bCs/>
          <w:sz w:val="28"/>
          <w:szCs w:val="28"/>
          <w:lang w:val="en-US" w:eastAsia="zh-CN"/>
        </w:rPr>
        <w:t xml:space="preserve">        </w:t>
      </w:r>
      <w:r>
        <w:rPr>
          <w:rFonts w:hint="eastAsia" w:ascii="宋体" w:hAnsi="宋体"/>
          <w:b/>
          <w:bCs/>
          <w:sz w:val="28"/>
          <w:szCs w:val="28"/>
        </w:rPr>
        <w:t>期：2</w:t>
      </w:r>
      <w:r>
        <w:rPr>
          <w:rFonts w:ascii="宋体" w:hAnsi="宋体"/>
          <w:b/>
          <w:bCs/>
          <w:sz w:val="28"/>
          <w:szCs w:val="28"/>
        </w:rPr>
        <w:t>02</w:t>
      </w:r>
      <w:r>
        <w:rPr>
          <w:rFonts w:hint="eastAsia" w:ascii="宋体" w:hAnsi="宋体"/>
          <w:b/>
          <w:bCs/>
          <w:sz w:val="28"/>
          <w:szCs w:val="28"/>
        </w:rPr>
        <w:t>4年</w:t>
      </w:r>
      <w:r>
        <w:rPr>
          <w:rFonts w:hint="eastAsia" w:ascii="宋体" w:hAnsi="宋体"/>
          <w:b/>
          <w:bCs/>
          <w:sz w:val="28"/>
          <w:szCs w:val="28"/>
          <w:lang w:val="en-US" w:eastAsia="zh-CN"/>
        </w:rPr>
        <w:t>9</w:t>
      </w:r>
      <w:r>
        <w:rPr>
          <w:rFonts w:hint="eastAsia" w:ascii="宋体" w:hAnsi="宋体"/>
          <w:b/>
          <w:bCs/>
          <w:sz w:val="28"/>
          <w:szCs w:val="28"/>
        </w:rPr>
        <w:t>月</w:t>
      </w:r>
    </w:p>
    <w:p w14:paraId="68369A33">
      <w:pPr>
        <w:pStyle w:val="2"/>
        <w:rPr>
          <w:rFonts w:hint="default"/>
          <w:lang w:val="en-US" w:eastAsia="zh-CN"/>
        </w:rPr>
      </w:pPr>
    </w:p>
    <w:p w14:paraId="3FA04FE5">
      <w:pPr>
        <w:pStyle w:val="2"/>
        <w:jc w:val="center"/>
        <w:rPr>
          <w:rFonts w:hint="eastAsia" w:ascii="宋体" w:hAnsi="宋体"/>
          <w:b/>
          <w:bCs/>
          <w:sz w:val="28"/>
          <w:szCs w:val="28"/>
        </w:rPr>
      </w:pPr>
      <w:r>
        <w:rPr>
          <w:rFonts w:hint="default"/>
          <w:lang w:val="en-US" w:eastAsia="zh-CN"/>
        </w:rPr>
        <w:t>此文件仅供参考，招标文件以系统内报名下载文件为准</w:t>
      </w:r>
    </w:p>
    <w:p w14:paraId="47C8FE11">
      <w:pPr>
        <w:rPr>
          <w:rFonts w:hint="eastAsia" w:ascii="宋体" w:hAnsi="宋体"/>
          <w:b/>
          <w:bCs/>
          <w:sz w:val="28"/>
          <w:szCs w:val="28"/>
        </w:rPr>
      </w:pPr>
    </w:p>
    <w:p w14:paraId="50DF43FA">
      <w:pPr>
        <w:pStyle w:val="2"/>
        <w:sectPr>
          <w:headerReference r:id="rId3" w:type="default"/>
          <w:footerReference r:id="rId4" w:type="default"/>
          <w:footerReference r:id="rId5" w:type="even"/>
          <w:pgSz w:w="11906" w:h="16838"/>
          <w:pgMar w:top="1440" w:right="1247" w:bottom="1440" w:left="1701" w:header="1077" w:footer="1021" w:gutter="0"/>
          <w:pgNumType w:start="0"/>
          <w:cols w:space="720" w:num="1"/>
          <w:titlePg/>
          <w:docGrid w:type="linesAndChars" w:linePitch="312" w:charSpace="0"/>
        </w:sectPr>
      </w:pPr>
    </w:p>
    <w:bookmarkEnd w:id="4"/>
    <w:bookmarkEnd w:id="5"/>
    <w:bookmarkEnd w:id="6"/>
    <w:bookmarkEnd w:id="7"/>
    <w:bookmarkEnd w:id="8"/>
    <w:sdt>
      <w:sdtPr>
        <w:rPr>
          <w:rFonts w:ascii="宋体" w:hAnsi="宋体"/>
          <w:b/>
          <w:bCs/>
          <w:sz w:val="52"/>
          <w:szCs w:val="72"/>
        </w:rPr>
        <w:id w:val="147468704"/>
        <w:docPartObj>
          <w:docPartGallery w:val="Table of Contents"/>
          <w:docPartUnique/>
        </w:docPartObj>
      </w:sdtPr>
      <w:sdtEndPr>
        <w:rPr>
          <w:rFonts w:ascii="宋体" w:hAnsi="宋体"/>
          <w:b/>
          <w:bCs/>
          <w:sz w:val="24"/>
          <w:szCs w:val="24"/>
        </w:rPr>
      </w:sdtEndPr>
      <w:sdtContent>
        <w:p w14:paraId="66A7E7BA">
          <w:pPr>
            <w:jc w:val="center"/>
          </w:pPr>
          <w:r>
            <w:rPr>
              <w:rFonts w:ascii="宋体" w:hAnsi="宋体"/>
            </w:rPr>
            <w:t>目录</w:t>
          </w:r>
        </w:p>
        <w:p w14:paraId="0F637B4A">
          <w:pPr>
            <w:pStyle w:val="30"/>
            <w:tabs>
              <w:tab w:val="right" w:leader="dot" w:pos="8948"/>
            </w:tabs>
            <w:rPr>
              <w:rFonts w:asciiTheme="minorHAnsi" w:hAnsiTheme="minorHAnsi" w:eastAsiaTheme="minorEastAsia" w:cstheme="minorBidi"/>
              <w:szCs w:val="22"/>
            </w:rPr>
          </w:pPr>
          <w:r>
            <w:rPr>
              <w:rFonts w:ascii="宋体" w:hAnsi="宋体"/>
              <w:sz w:val="24"/>
            </w:rPr>
            <w:fldChar w:fldCharType="begin"/>
          </w:r>
          <w:r>
            <w:rPr>
              <w:rFonts w:ascii="宋体" w:hAnsi="宋体"/>
              <w:sz w:val="24"/>
            </w:rPr>
            <w:instrText xml:space="preserve">TOC \o "1-3" \h \u </w:instrText>
          </w:r>
          <w:r>
            <w:rPr>
              <w:rFonts w:ascii="宋体" w:hAnsi="宋体"/>
              <w:sz w:val="24"/>
            </w:rPr>
            <w:fldChar w:fldCharType="separate"/>
          </w:r>
          <w:r>
            <w:fldChar w:fldCharType="begin"/>
          </w:r>
          <w:r>
            <w:instrText xml:space="preserve"> HYPERLINK \l "_Toc167311823" </w:instrText>
          </w:r>
          <w:r>
            <w:fldChar w:fldCharType="separate"/>
          </w:r>
          <w:r>
            <w:rPr>
              <w:rStyle w:val="57"/>
              <w:rFonts w:ascii="宋体" w:hAnsi="宋体"/>
              <w:b/>
              <w:bCs/>
              <w:color w:val="auto"/>
            </w:rPr>
            <w:t>第一章 招标公告</w:t>
          </w:r>
          <w:r>
            <w:tab/>
          </w:r>
          <w:r>
            <w:fldChar w:fldCharType="begin"/>
          </w:r>
          <w:r>
            <w:instrText xml:space="preserve"> PAGEREF _Toc167311823 \h </w:instrText>
          </w:r>
          <w:r>
            <w:fldChar w:fldCharType="separate"/>
          </w:r>
          <w:r>
            <w:t>2</w:t>
          </w:r>
          <w:r>
            <w:fldChar w:fldCharType="end"/>
          </w:r>
          <w:r>
            <w:fldChar w:fldCharType="end"/>
          </w:r>
        </w:p>
        <w:p w14:paraId="7EFDECA3">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"_Toc167311824" </w:instrText>
          </w:r>
          <w:r>
            <w:fldChar w:fldCharType="separate"/>
          </w:r>
          <w:r>
            <w:rPr>
              <w:rStyle w:val="57"/>
              <w:rFonts w:ascii="宋体" w:hAnsi="宋体"/>
              <w:color w:val="auto"/>
            </w:rPr>
            <w:t>第二章 投标人须知</w:t>
          </w:r>
          <w:r>
            <w:tab/>
          </w:r>
          <w:r>
            <w:fldChar w:fldCharType="begin"/>
          </w:r>
          <w:r>
            <w:instrText xml:space="preserve"> PAGEREF _Toc167311824 \h </w:instrText>
          </w:r>
          <w:r>
            <w:fldChar w:fldCharType="separate"/>
          </w:r>
          <w:r>
            <w:t>6</w:t>
          </w:r>
          <w:r>
            <w:fldChar w:fldCharType="end"/>
          </w:r>
          <w:r>
            <w:fldChar w:fldCharType="end"/>
          </w:r>
        </w:p>
        <w:p w14:paraId="4A2BE2B3">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"_Toc167311825" </w:instrText>
          </w:r>
          <w:r>
            <w:fldChar w:fldCharType="separate"/>
          </w:r>
          <w:r>
            <w:rPr>
              <w:rStyle w:val="57"/>
              <w:rFonts w:ascii="宋体" w:hAnsi="宋体"/>
              <w:color w:val="auto"/>
            </w:rPr>
            <w:t>第三章 评标办法（综合评估法）</w:t>
          </w:r>
          <w:r>
            <w:tab/>
          </w:r>
          <w:r>
            <w:fldChar w:fldCharType="begin"/>
          </w:r>
          <w:r>
            <w:instrText xml:space="preserve"> PAGEREF _Toc167311825 \h </w:instrText>
          </w:r>
          <w:r>
            <w:fldChar w:fldCharType="separate"/>
          </w:r>
          <w:r>
            <w:t>16</w:t>
          </w:r>
          <w:r>
            <w:fldChar w:fldCharType="end"/>
          </w:r>
          <w:r>
            <w:fldChar w:fldCharType="end"/>
          </w:r>
        </w:p>
        <w:p w14:paraId="0CFCC223">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"_Toc167311826" </w:instrText>
          </w:r>
          <w:r>
            <w:fldChar w:fldCharType="separate"/>
          </w:r>
          <w:r>
            <w:rPr>
              <w:rStyle w:val="57"/>
              <w:rFonts w:ascii="宋体" w:hAnsi="宋体"/>
              <w:color w:val="auto"/>
            </w:rPr>
            <w:t>第四章 合同条款及格式</w:t>
          </w:r>
          <w:r>
            <w:tab/>
          </w:r>
          <w:r>
            <w:fldChar w:fldCharType="begin"/>
          </w:r>
          <w:r>
            <w:instrText xml:space="preserve"> PAGEREF _Toc167311826 \h </w:instrText>
          </w:r>
          <w:r>
            <w:fldChar w:fldCharType="separate"/>
          </w:r>
          <w:r>
            <w:t>22</w:t>
          </w:r>
          <w:r>
            <w:fldChar w:fldCharType="end"/>
          </w:r>
          <w:r>
            <w:fldChar w:fldCharType="end"/>
          </w:r>
        </w:p>
        <w:p w14:paraId="7BECC95D">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"_Toc167311827" </w:instrText>
          </w:r>
          <w:r>
            <w:fldChar w:fldCharType="separate"/>
          </w:r>
          <w:r>
            <w:rPr>
              <w:rStyle w:val="57"/>
              <w:rFonts w:ascii="宋体" w:hAnsi="宋体"/>
              <w:color w:val="auto"/>
            </w:rPr>
            <w:t>第五章 图纸</w:t>
          </w:r>
          <w:r>
            <w:tab/>
          </w:r>
          <w:r>
            <w:fldChar w:fldCharType="begin"/>
          </w:r>
          <w:r>
            <w:instrText xml:space="preserve"> PAGEREF _Toc167311827 \h </w:instrText>
          </w:r>
          <w:r>
            <w:fldChar w:fldCharType="separate"/>
          </w:r>
          <w:r>
            <w:t>41</w:t>
          </w:r>
          <w:r>
            <w:fldChar w:fldCharType="end"/>
          </w:r>
          <w:r>
            <w:fldChar w:fldCharType="end"/>
          </w:r>
        </w:p>
        <w:p w14:paraId="492CB078">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"_Toc167311828" </w:instrText>
          </w:r>
          <w:r>
            <w:fldChar w:fldCharType="separate"/>
          </w:r>
          <w:r>
            <w:rPr>
              <w:rStyle w:val="57"/>
              <w:rFonts w:ascii="宋体" w:hAnsi="宋体"/>
              <w:color w:val="auto"/>
            </w:rPr>
            <w:t>第六章 技术标准和要求</w:t>
          </w:r>
          <w:r>
            <w:tab/>
          </w:r>
          <w:r>
            <w:fldChar w:fldCharType="begin"/>
          </w:r>
          <w:r>
            <w:instrText xml:space="preserve"> PAGEREF _Toc167311828 \h </w:instrText>
          </w:r>
          <w:r>
            <w:fldChar w:fldCharType="separate"/>
          </w:r>
          <w:r>
            <w:t>42</w:t>
          </w:r>
          <w:r>
            <w:fldChar w:fldCharType="end"/>
          </w:r>
          <w:r>
            <w:fldChar w:fldCharType="end"/>
          </w:r>
        </w:p>
        <w:p w14:paraId="26DC3D29">
          <w:pPr>
            <w:pStyle w:val="30"/>
            <w:tabs>
              <w:tab w:val="right" w:leader="dot" w:pos="8948"/>
            </w:tabs>
            <w:rPr>
              <w:rFonts w:asciiTheme="minorHAnsi" w:hAnsiTheme="minorHAnsi" w:eastAsiaTheme="minorEastAsia" w:cstheme="minorBidi"/>
              <w:szCs w:val="22"/>
            </w:rPr>
          </w:pPr>
          <w:r>
            <w:fldChar w:fldCharType="begin"/>
          </w:r>
          <w:r>
            <w:instrText xml:space="preserve"> HYPERLINK \l "_Toc167311829" </w:instrText>
          </w:r>
          <w:r>
            <w:fldChar w:fldCharType="separate"/>
          </w:r>
          <w:r>
            <w:rPr>
              <w:rStyle w:val="57"/>
              <w:rFonts w:ascii="宋体" w:hAnsi="宋体"/>
              <w:color w:val="auto"/>
            </w:rPr>
            <w:t>第七章 投标文件格式</w:t>
          </w:r>
          <w:r>
            <w:tab/>
          </w:r>
          <w:r>
            <w:fldChar w:fldCharType="begin"/>
          </w:r>
          <w:r>
            <w:instrText xml:space="preserve"> PAGEREF _Toc167311829 \h </w:instrText>
          </w:r>
          <w:r>
            <w:fldChar w:fldCharType="separate"/>
          </w:r>
          <w:r>
            <w:t>43</w:t>
          </w:r>
          <w:r>
            <w:fldChar w:fldCharType="end"/>
          </w:r>
          <w:r>
            <w:fldChar w:fldCharType="end"/>
          </w:r>
        </w:p>
        <w:p w14:paraId="349C3E39">
          <w:pPr>
            <w:pStyle w:val="37"/>
            <w:tabs>
              <w:tab w:val="right" w:leader="dot" w:pos="8948"/>
            </w:tabs>
            <w:rPr>
              <w:rFonts w:asciiTheme="minorHAnsi" w:hAnsiTheme="minorHAnsi" w:eastAsiaTheme="minorEastAsia" w:cstheme="minorBidi"/>
              <w:szCs w:val="22"/>
            </w:rPr>
          </w:pPr>
          <w:r>
            <w:fldChar w:fldCharType="begin"/>
          </w:r>
          <w:r>
            <w:instrText xml:space="preserve"> HYPERLINK \l "_Toc167311830" </w:instrText>
          </w:r>
          <w:r>
            <w:fldChar w:fldCharType="separate"/>
          </w:r>
          <w:r>
            <w:rPr>
              <w:rStyle w:val="57"/>
              <w:rFonts w:ascii="宋体" w:hAnsi="宋体"/>
              <w:color w:val="auto"/>
            </w:rPr>
            <w:t>第一部分  投标函部分格式</w:t>
          </w:r>
          <w:r>
            <w:tab/>
          </w:r>
          <w:r>
            <w:fldChar w:fldCharType="begin"/>
          </w:r>
          <w:r>
            <w:instrText xml:space="preserve"> PAGEREF _Toc167311830 \h </w:instrText>
          </w:r>
          <w:r>
            <w:fldChar w:fldCharType="separate"/>
          </w:r>
          <w:r>
            <w:t>45</w:t>
          </w:r>
          <w:r>
            <w:fldChar w:fldCharType="end"/>
          </w:r>
          <w:r>
            <w:fldChar w:fldCharType="end"/>
          </w:r>
        </w:p>
        <w:p w14:paraId="05E28950">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"_Toc167311831" </w:instrText>
          </w:r>
          <w:r>
            <w:fldChar w:fldCharType="separate"/>
          </w:r>
          <w:r>
            <w:rPr>
              <w:rStyle w:val="57"/>
              <w:rFonts w:ascii="宋体" w:hAnsi="宋体"/>
              <w:color w:val="auto"/>
            </w:rPr>
            <w:t>一、开标一览表</w:t>
          </w:r>
          <w:r>
            <w:tab/>
          </w:r>
          <w:r>
            <w:fldChar w:fldCharType="begin"/>
          </w:r>
          <w:r>
            <w:instrText xml:space="preserve"> PAGEREF _Toc167311831 \h </w:instrText>
          </w:r>
          <w:r>
            <w:fldChar w:fldCharType="separate"/>
          </w:r>
          <w:r>
            <w:t>46</w:t>
          </w:r>
          <w:r>
            <w:fldChar w:fldCharType="end"/>
          </w:r>
          <w:r>
            <w:fldChar w:fldCharType="end"/>
          </w:r>
        </w:p>
        <w:p w14:paraId="636B2BD5">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"_Toc167311832" </w:instrText>
          </w:r>
          <w:r>
            <w:fldChar w:fldCharType="separate"/>
          </w:r>
          <w:r>
            <w:rPr>
              <w:rStyle w:val="57"/>
              <w:rFonts w:ascii="宋体" w:hAnsi="宋体"/>
              <w:color w:val="auto"/>
            </w:rPr>
            <w:t>二、投标函</w:t>
          </w:r>
          <w:r>
            <w:tab/>
          </w:r>
          <w:r>
            <w:fldChar w:fldCharType="begin"/>
          </w:r>
          <w:r>
            <w:instrText xml:space="preserve"> PAGEREF _Toc167311832 \h </w:instrText>
          </w:r>
          <w:r>
            <w:fldChar w:fldCharType="separate"/>
          </w:r>
          <w:r>
            <w:t>47</w:t>
          </w:r>
          <w:r>
            <w:fldChar w:fldCharType="end"/>
          </w:r>
          <w:r>
            <w:fldChar w:fldCharType="end"/>
          </w:r>
        </w:p>
        <w:p w14:paraId="08C645D1">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"_Toc167311833" </w:instrText>
          </w:r>
          <w:r>
            <w:fldChar w:fldCharType="separate"/>
          </w:r>
          <w:r>
            <w:rPr>
              <w:rStyle w:val="57"/>
              <w:rFonts w:ascii="宋体" w:hAnsi="宋体"/>
              <w:color w:val="auto"/>
            </w:rPr>
            <w:t>三、法定代表人身份证明书</w:t>
          </w:r>
          <w:r>
            <w:tab/>
          </w:r>
          <w:r>
            <w:fldChar w:fldCharType="begin"/>
          </w:r>
          <w:r>
            <w:instrText xml:space="preserve"> PAGEREF _Toc167311833 \h </w:instrText>
          </w:r>
          <w:r>
            <w:fldChar w:fldCharType="separate"/>
          </w:r>
          <w:r>
            <w:t>48</w:t>
          </w:r>
          <w:r>
            <w:fldChar w:fldCharType="end"/>
          </w:r>
          <w:r>
            <w:fldChar w:fldCharType="end"/>
          </w:r>
        </w:p>
        <w:p w14:paraId="2F547AB0">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"_Toc167311834" </w:instrText>
          </w:r>
          <w:r>
            <w:fldChar w:fldCharType="separate"/>
          </w:r>
          <w:r>
            <w:rPr>
              <w:rStyle w:val="57"/>
              <w:rFonts w:ascii="宋体" w:hAnsi="宋体"/>
              <w:color w:val="auto"/>
            </w:rPr>
            <w:t>四、法定代表人授权委托书</w:t>
          </w:r>
          <w:r>
            <w:tab/>
          </w:r>
          <w:r>
            <w:fldChar w:fldCharType="begin"/>
          </w:r>
          <w:r>
            <w:instrText xml:space="preserve"> PAGEREF _Toc167311834 \h </w:instrText>
          </w:r>
          <w:r>
            <w:fldChar w:fldCharType="separate"/>
          </w:r>
          <w:r>
            <w:t>49</w:t>
          </w:r>
          <w:r>
            <w:fldChar w:fldCharType="end"/>
          </w:r>
          <w:r>
            <w:fldChar w:fldCharType="end"/>
          </w:r>
        </w:p>
        <w:p w14:paraId="4633A902">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"_Toc167311835" </w:instrText>
          </w:r>
          <w:r>
            <w:fldChar w:fldCharType="separate"/>
          </w:r>
          <w:r>
            <w:rPr>
              <w:rStyle w:val="57"/>
              <w:rFonts w:ascii="宋体" w:hAnsi="宋体"/>
              <w:color w:val="auto"/>
            </w:rPr>
            <w:t>五、投标人基本情况表</w:t>
          </w:r>
          <w:r>
            <w:tab/>
          </w:r>
          <w:r>
            <w:fldChar w:fldCharType="begin"/>
          </w:r>
          <w:r>
            <w:instrText xml:space="preserve"> PAGEREF _Toc167311835 \h </w:instrText>
          </w:r>
          <w:r>
            <w:fldChar w:fldCharType="separate"/>
          </w:r>
          <w:r>
            <w:t>50</w:t>
          </w:r>
          <w:r>
            <w:fldChar w:fldCharType="end"/>
          </w:r>
          <w:r>
            <w:fldChar w:fldCharType="end"/>
          </w:r>
        </w:p>
        <w:p w14:paraId="3E62B372">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"_Toc167311836" </w:instrText>
          </w:r>
          <w:r>
            <w:fldChar w:fldCharType="separate"/>
          </w:r>
          <w:r>
            <w:rPr>
              <w:rStyle w:val="57"/>
              <w:rFonts w:ascii="宋体" w:hAnsi="宋体"/>
              <w:color w:val="auto"/>
            </w:rPr>
            <w:t>六、保证金交付证明</w:t>
          </w:r>
          <w:r>
            <w:tab/>
          </w:r>
          <w:r>
            <w:fldChar w:fldCharType="begin"/>
          </w:r>
          <w:r>
            <w:instrText xml:space="preserve"> PAGEREF _Toc167311836 \h </w:instrText>
          </w:r>
          <w:r>
            <w:fldChar w:fldCharType="separate"/>
          </w:r>
          <w:r>
            <w:t>51</w:t>
          </w:r>
          <w:r>
            <w:fldChar w:fldCharType="end"/>
          </w:r>
          <w:r>
            <w:fldChar w:fldCharType="end"/>
          </w:r>
        </w:p>
        <w:p w14:paraId="2016A2CC">
          <w:pPr>
            <w:pStyle w:val="37"/>
            <w:tabs>
              <w:tab w:val="right" w:leader="dot" w:pos="8948"/>
            </w:tabs>
            <w:rPr>
              <w:rFonts w:asciiTheme="minorHAnsi" w:hAnsiTheme="minorHAnsi" w:eastAsiaTheme="minorEastAsia" w:cstheme="minorBidi"/>
              <w:szCs w:val="22"/>
            </w:rPr>
          </w:pPr>
          <w:r>
            <w:fldChar w:fldCharType="begin"/>
          </w:r>
          <w:r>
            <w:instrText xml:space="preserve"> HYPERLINK \l "_Toc167311837" </w:instrText>
          </w:r>
          <w:r>
            <w:fldChar w:fldCharType="separate"/>
          </w:r>
          <w:r>
            <w:rPr>
              <w:rStyle w:val="57"/>
              <w:rFonts w:ascii="宋体" w:hAnsi="宋体"/>
              <w:color w:val="auto"/>
            </w:rPr>
            <w:t>第二部分  商务部分格式</w:t>
          </w:r>
          <w:r>
            <w:tab/>
          </w:r>
          <w:r>
            <w:fldChar w:fldCharType="begin"/>
          </w:r>
          <w:r>
            <w:instrText xml:space="preserve"> PAGEREF _Toc167311837 \h </w:instrText>
          </w:r>
          <w:r>
            <w:fldChar w:fldCharType="separate"/>
          </w:r>
          <w:r>
            <w:t>53</w:t>
          </w:r>
          <w:r>
            <w:fldChar w:fldCharType="end"/>
          </w:r>
          <w:r>
            <w:fldChar w:fldCharType="end"/>
          </w:r>
        </w:p>
        <w:p w14:paraId="474F5764">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"_Toc167311838" </w:instrText>
          </w:r>
          <w:r>
            <w:fldChar w:fldCharType="separate"/>
          </w:r>
          <w:r>
            <w:rPr>
              <w:rStyle w:val="57"/>
              <w:rFonts w:ascii="宋体" w:hAnsi="宋体"/>
              <w:color w:val="auto"/>
            </w:rPr>
            <w:t>七、监理费报价及组成分析和说明</w:t>
          </w:r>
          <w:r>
            <w:tab/>
          </w:r>
          <w:r>
            <w:fldChar w:fldCharType="begin"/>
          </w:r>
          <w:r>
            <w:instrText xml:space="preserve"> PAGEREF _Toc167311838 \h </w:instrText>
          </w:r>
          <w:r>
            <w:fldChar w:fldCharType="separate"/>
          </w:r>
          <w:r>
            <w:t>54</w:t>
          </w:r>
          <w:r>
            <w:fldChar w:fldCharType="end"/>
          </w:r>
          <w:r>
            <w:fldChar w:fldCharType="end"/>
          </w:r>
        </w:p>
        <w:p w14:paraId="499E00AA">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"_Toc167311839" </w:instrText>
          </w:r>
          <w:r>
            <w:fldChar w:fldCharType="separate"/>
          </w:r>
          <w:r>
            <w:rPr>
              <w:rStyle w:val="57"/>
              <w:rFonts w:ascii="宋体" w:hAnsi="宋体"/>
              <w:color w:val="auto"/>
            </w:rPr>
            <w:t>八、项目监理机构配备情况</w:t>
          </w:r>
          <w:r>
            <w:tab/>
          </w:r>
          <w:r>
            <w:fldChar w:fldCharType="begin"/>
          </w:r>
          <w:r>
            <w:instrText xml:space="preserve"> PAGEREF _Toc167311839 \h </w:instrText>
          </w:r>
          <w:r>
            <w:fldChar w:fldCharType="separate"/>
          </w:r>
          <w:r>
            <w:t>55</w:t>
          </w:r>
          <w:r>
            <w:fldChar w:fldCharType="end"/>
          </w:r>
          <w:r>
            <w:fldChar w:fldCharType="end"/>
          </w:r>
        </w:p>
        <w:p w14:paraId="1A7AC4DD">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"_Toc167311840" </w:instrText>
          </w:r>
          <w:r>
            <w:fldChar w:fldCharType="separate"/>
          </w:r>
          <w:r>
            <w:rPr>
              <w:rStyle w:val="57"/>
              <w:rFonts w:ascii="宋体" w:hAnsi="宋体"/>
              <w:color w:val="auto"/>
            </w:rPr>
            <w:t>九、承诺书</w:t>
          </w:r>
          <w:r>
            <w:tab/>
          </w:r>
          <w:r>
            <w:fldChar w:fldCharType="begin"/>
          </w:r>
          <w:r>
            <w:instrText xml:space="preserve"> PAGEREF _Toc167311840 \h </w:instrText>
          </w:r>
          <w:r>
            <w:fldChar w:fldCharType="separate"/>
          </w:r>
          <w:r>
            <w:t>57</w:t>
          </w:r>
          <w:r>
            <w:fldChar w:fldCharType="end"/>
          </w:r>
          <w:r>
            <w:fldChar w:fldCharType="end"/>
          </w:r>
        </w:p>
        <w:p w14:paraId="7085C2E0">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"_Toc167311841" </w:instrText>
          </w:r>
          <w:r>
            <w:fldChar w:fldCharType="separate"/>
          </w:r>
          <w:r>
            <w:rPr>
              <w:rStyle w:val="57"/>
              <w:rFonts w:ascii="宋体" w:hAnsi="宋体"/>
              <w:color w:val="auto"/>
            </w:rPr>
            <w:t>十、其它需要提供的资料</w:t>
          </w:r>
          <w:r>
            <w:tab/>
          </w:r>
          <w:r>
            <w:fldChar w:fldCharType="begin"/>
          </w:r>
          <w:r>
            <w:instrText xml:space="preserve"> PAGEREF _Toc167311841 \h </w:instrText>
          </w:r>
          <w:r>
            <w:fldChar w:fldCharType="separate"/>
          </w:r>
          <w:r>
            <w:t>62</w:t>
          </w:r>
          <w:r>
            <w:fldChar w:fldCharType="end"/>
          </w:r>
          <w:r>
            <w:fldChar w:fldCharType="end"/>
          </w:r>
        </w:p>
        <w:p w14:paraId="23A65100">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"_Toc167311842" </w:instrText>
          </w:r>
          <w:r>
            <w:fldChar w:fldCharType="separate"/>
          </w:r>
          <w:r>
            <w:rPr>
              <w:rStyle w:val="57"/>
              <w:rFonts w:ascii="宋体" w:hAnsi="宋体"/>
              <w:color w:val="auto"/>
            </w:rPr>
            <w:t>十一、招标文件确认书</w:t>
          </w:r>
          <w:r>
            <w:tab/>
          </w:r>
          <w:r>
            <w:fldChar w:fldCharType="begin"/>
          </w:r>
          <w:r>
            <w:instrText xml:space="preserve"> PAGEREF _Toc167311842 \h </w:instrText>
          </w:r>
          <w:r>
            <w:fldChar w:fldCharType="separate"/>
          </w:r>
          <w:r>
            <w:t>63</w:t>
          </w:r>
          <w:r>
            <w:fldChar w:fldCharType="end"/>
          </w:r>
          <w:r>
            <w:fldChar w:fldCharType="end"/>
          </w:r>
        </w:p>
        <w:p w14:paraId="28D3371B">
          <w:pPr>
            <w:pStyle w:val="37"/>
            <w:tabs>
              <w:tab w:val="right" w:leader="dot" w:pos="8948"/>
            </w:tabs>
            <w:rPr>
              <w:rFonts w:asciiTheme="minorHAnsi" w:hAnsiTheme="minorHAnsi" w:eastAsiaTheme="minorEastAsia" w:cstheme="minorBidi"/>
              <w:szCs w:val="22"/>
            </w:rPr>
          </w:pPr>
          <w:r>
            <w:fldChar w:fldCharType="begin"/>
          </w:r>
          <w:r>
            <w:instrText xml:space="preserve"> HYPERLINK \l "_Toc167311843" </w:instrText>
          </w:r>
          <w:r>
            <w:fldChar w:fldCharType="separate"/>
          </w:r>
          <w:r>
            <w:rPr>
              <w:rStyle w:val="57"/>
              <w:rFonts w:ascii="宋体" w:hAnsi="宋体"/>
              <w:color w:val="auto"/>
            </w:rPr>
            <w:t>第三部分  技术部分格式</w:t>
          </w:r>
          <w:r>
            <w:tab/>
          </w:r>
          <w:r>
            <w:fldChar w:fldCharType="begin"/>
          </w:r>
          <w:r>
            <w:instrText xml:space="preserve"> PAGEREF _Toc167311843 \h </w:instrText>
          </w:r>
          <w:r>
            <w:fldChar w:fldCharType="separate"/>
          </w:r>
          <w:r>
            <w:t>64</w:t>
          </w:r>
          <w:r>
            <w:fldChar w:fldCharType="end"/>
          </w:r>
          <w:r>
            <w:fldChar w:fldCharType="end"/>
          </w:r>
        </w:p>
        <w:p w14:paraId="5A7D2038">
          <w:pPr>
            <w:pStyle w:val="22"/>
            <w:tabs>
              <w:tab w:val="right" w:leader="dot" w:pos="8948"/>
            </w:tabs>
            <w:rPr>
              <w:rFonts w:asciiTheme="minorHAnsi" w:hAnsiTheme="minorHAnsi" w:eastAsiaTheme="minorEastAsia" w:cstheme="minorBidi"/>
              <w:szCs w:val="22"/>
            </w:rPr>
          </w:pPr>
          <w:r>
            <w:fldChar w:fldCharType="begin"/>
          </w:r>
          <w:r>
            <w:instrText xml:space="preserve"> HYPERLINK \l "_Toc167311844" </w:instrText>
          </w:r>
          <w:r>
            <w:fldChar w:fldCharType="separate"/>
          </w:r>
          <w:r>
            <w:rPr>
              <w:rStyle w:val="57"/>
              <w:rFonts w:ascii="宋体" w:hAnsi="宋体"/>
              <w:color w:val="auto"/>
            </w:rPr>
            <w:t>十二、监理大纲</w:t>
          </w:r>
          <w:r>
            <w:tab/>
          </w:r>
          <w:r>
            <w:fldChar w:fldCharType="begin"/>
          </w:r>
          <w:r>
            <w:instrText xml:space="preserve"> PAGEREF _Toc167311844 \h </w:instrText>
          </w:r>
          <w:r>
            <w:fldChar w:fldCharType="separate"/>
          </w:r>
          <w:r>
            <w:t>65</w:t>
          </w:r>
          <w:r>
            <w:fldChar w:fldCharType="end"/>
          </w:r>
          <w:r>
            <w:fldChar w:fldCharType="end"/>
          </w:r>
        </w:p>
        <w:p w14:paraId="62C842B2">
          <w:pPr>
            <w:jc w:val="left"/>
            <w:rPr>
              <w:rFonts w:ascii="宋体" w:hAnsi="宋体"/>
              <w:sz w:val="24"/>
            </w:rPr>
          </w:pPr>
          <w:r>
            <w:rPr>
              <w:rFonts w:ascii="宋体" w:hAnsi="宋体"/>
            </w:rPr>
            <w:fldChar w:fldCharType="end"/>
          </w:r>
        </w:p>
      </w:sdtContent>
    </w:sdt>
    <w:p w14:paraId="7E9E17F4">
      <w:pPr>
        <w:jc w:val="left"/>
        <w:rPr>
          <w:rFonts w:ascii="宋体" w:hAnsi="宋体"/>
        </w:rPr>
      </w:pPr>
    </w:p>
    <w:p w14:paraId="04035F67">
      <w:pPr>
        <w:pStyle w:val="2"/>
      </w:pPr>
    </w:p>
    <w:p w14:paraId="603834F6">
      <w:pPr>
        <w:jc w:val="left"/>
        <w:rPr>
          <w:rFonts w:ascii="宋体" w:hAnsi="宋体"/>
          <w:b/>
          <w:bCs/>
          <w:kern w:val="44"/>
          <w:sz w:val="24"/>
        </w:rPr>
      </w:pPr>
      <w:r>
        <w:rPr>
          <w:rFonts w:hint="eastAsia"/>
          <w:b/>
          <w:bCs/>
          <w:sz w:val="24"/>
        </w:rPr>
        <w:t>注：投标单位购取招标文件后，对其内容、份（页）数等方面应认真核对，如招标文件有缺少份数、漏页或其他内容方面的问题，投标单位应在投标截止之日前10日内向招标代理机构提出，若超过期限，则视为认同招标文件的所有内容，后期不得再提出。</w:t>
      </w:r>
    </w:p>
    <w:p w14:paraId="67EACBEC">
      <w:pPr>
        <w:rPr>
          <w:rFonts w:ascii="宋体" w:hAnsi="宋体"/>
          <w:b/>
          <w:bCs/>
          <w:sz w:val="24"/>
        </w:rPr>
        <w:sectPr>
          <w:footerReference r:id="rId7" w:type="first"/>
          <w:footerReference r:id="rId6" w:type="default"/>
          <w:pgSz w:w="11906" w:h="16838"/>
          <w:pgMar w:top="1440" w:right="1247" w:bottom="1440" w:left="1701" w:header="1077" w:footer="1021" w:gutter="0"/>
          <w:pgNumType w:start="1"/>
          <w:cols w:space="720" w:num="1"/>
          <w:docGrid w:type="linesAndChars" w:linePitch="312" w:charSpace="0"/>
        </w:sectPr>
      </w:pPr>
    </w:p>
    <w:bookmarkEnd w:id="0"/>
    <w:bookmarkEnd w:id="1"/>
    <w:bookmarkEnd w:id="2"/>
    <w:bookmarkEnd w:id="3"/>
    <w:p w14:paraId="0ABBB7B2">
      <w:pPr>
        <w:keepNext/>
        <w:keepLines/>
        <w:spacing w:before="120" w:after="120" w:line="360" w:lineRule="auto"/>
        <w:jc w:val="center"/>
        <w:outlineLvl w:val="0"/>
        <w:rPr>
          <w:rFonts w:ascii="宋体" w:hAnsi="宋体"/>
          <w:b/>
          <w:bCs/>
          <w:sz w:val="32"/>
          <w:szCs w:val="32"/>
        </w:rPr>
      </w:pPr>
      <w:bookmarkStart w:id="11" w:name="_Toc167311823"/>
      <w:bookmarkStart w:id="12" w:name="_Toc521085055"/>
      <w:bookmarkStart w:id="13" w:name="_Toc83848201"/>
      <w:bookmarkStart w:id="14" w:name="_Toc4653"/>
      <w:bookmarkStart w:id="15" w:name="_Toc30580"/>
      <w:bookmarkStart w:id="16" w:name="_Toc152042303"/>
      <w:bookmarkStart w:id="17" w:name="_Toc144974495"/>
      <w:bookmarkStart w:id="18" w:name="_Toc399596150"/>
      <w:bookmarkStart w:id="19" w:name="_Toc246996916"/>
      <w:bookmarkStart w:id="20" w:name="_Toc247085687"/>
      <w:bookmarkStart w:id="21" w:name="_Toc152045527"/>
      <w:bookmarkStart w:id="22" w:name="_Toc179632544"/>
      <w:bookmarkStart w:id="23" w:name="_Toc246996173"/>
      <w:r>
        <w:rPr>
          <w:rFonts w:hint="eastAsia" w:ascii="宋体" w:hAnsi="宋体"/>
          <w:b/>
          <w:bCs/>
          <w:sz w:val="32"/>
          <w:szCs w:val="32"/>
        </w:rPr>
        <w:t>第一章 招标公告</w:t>
      </w:r>
      <w:bookmarkEnd w:id="11"/>
      <w:bookmarkEnd w:id="12"/>
      <w:bookmarkEnd w:id="13"/>
    </w:p>
    <w:p w14:paraId="189931C9">
      <w:pPr>
        <w:shd w:val="clear" w:color="auto" w:fill="FFFFFF"/>
        <w:autoSpaceDE w:val="0"/>
        <w:spacing w:line="360" w:lineRule="auto"/>
        <w:ind w:firstLine="560" w:firstLineChars="200"/>
        <w:jc w:val="center"/>
        <w:rPr>
          <w:rFonts w:ascii="宋体" w:hAnsi="宋体"/>
          <w:b/>
          <w:bCs/>
          <w:sz w:val="28"/>
          <w:szCs w:val="28"/>
        </w:rPr>
      </w:pPr>
      <w:bookmarkStart w:id="24" w:name="OLE_LINK2"/>
      <w:bookmarkStart w:id="25" w:name="OLE_LINK3"/>
      <w:bookmarkStart w:id="26" w:name="OLE_LINK1"/>
      <w:bookmarkStart w:id="27" w:name="OLE_LINK4"/>
      <w:r>
        <w:rPr>
          <w:rFonts w:hint="eastAsia" w:ascii="宋体" w:hAnsi="宋体"/>
          <w:b/>
          <w:bCs/>
          <w:sz w:val="28"/>
          <w:szCs w:val="28"/>
          <w:lang w:eastAsia="zh-CN"/>
        </w:rPr>
        <w:t>唐河县兴唐九年一贯制学校餐厅建设项目</w:t>
      </w:r>
      <w:r>
        <w:rPr>
          <w:rFonts w:hint="eastAsia" w:ascii="宋体" w:hAnsi="宋体"/>
          <w:b/>
          <w:bCs/>
          <w:sz w:val="28"/>
          <w:szCs w:val="28"/>
        </w:rPr>
        <w:t>招标公告</w:t>
      </w:r>
    </w:p>
    <w:p w14:paraId="6300249B">
      <w:pPr>
        <w:shd w:val="clear" w:color="auto" w:fill="FFFFFF"/>
        <w:autoSpaceDE w:val="0"/>
        <w:spacing w:line="360" w:lineRule="auto"/>
        <w:ind w:firstLine="420" w:firstLineChars="200"/>
        <w:rPr>
          <w:rFonts w:ascii="宋体" w:hAnsi="宋体"/>
          <w:b/>
          <w:bCs/>
          <w:szCs w:val="21"/>
        </w:rPr>
      </w:pPr>
      <w:r>
        <w:rPr>
          <w:rFonts w:hint="eastAsia" w:ascii="宋体" w:hAnsi="宋体"/>
          <w:b/>
          <w:bCs/>
          <w:szCs w:val="21"/>
        </w:rPr>
        <w:t>一、招标条件:</w:t>
      </w:r>
    </w:p>
    <w:p w14:paraId="34624F5C">
      <w:pPr>
        <w:shd w:val="clear" w:color="auto" w:fill="FFFFFF"/>
        <w:autoSpaceDE w:val="0"/>
        <w:spacing w:line="360" w:lineRule="auto"/>
        <w:ind w:firstLine="420" w:firstLineChars="200"/>
        <w:rPr>
          <w:rFonts w:ascii="宋体" w:hAnsi="宋体" w:cs="宋体"/>
          <w:szCs w:val="21"/>
        </w:rPr>
      </w:pPr>
      <w:r>
        <w:rPr>
          <w:rFonts w:hint="eastAsia" w:ascii="宋体" w:hAnsi="宋体" w:cs="宋体"/>
          <w:szCs w:val="21"/>
          <w:lang w:eastAsia="zh-CN"/>
        </w:rPr>
        <w:t>唐河县兴唐九年一贯制学校餐厅建设项目</w:t>
      </w:r>
      <w:r>
        <w:rPr>
          <w:rFonts w:hint="eastAsia" w:ascii="宋体" w:hAnsi="宋体" w:cs="宋体"/>
          <w:szCs w:val="21"/>
        </w:rPr>
        <w:t>已由唐河县发展和改革委员会（审批文号：经唐发改社会〔2023〕</w:t>
      </w:r>
      <w:r>
        <w:rPr>
          <w:rFonts w:hint="eastAsia" w:ascii="宋体" w:hAnsi="宋体" w:cs="宋体"/>
          <w:szCs w:val="21"/>
          <w:lang w:val="en-US" w:eastAsia="zh-CN"/>
        </w:rPr>
        <w:t>231</w:t>
      </w:r>
      <w:r>
        <w:rPr>
          <w:rFonts w:hint="eastAsia" w:ascii="宋体" w:hAnsi="宋体" w:cs="宋体"/>
          <w:szCs w:val="21"/>
        </w:rPr>
        <w:t>号）投资项目统一代码:2309-411328-04-01-322656批准建设；资金来源为</w:t>
      </w:r>
      <w:r>
        <w:rPr>
          <w:rFonts w:hint="eastAsia" w:ascii="宋体" w:hAnsi="宋体" w:cs="宋体"/>
          <w:szCs w:val="21"/>
          <w:lang w:eastAsia="zh-CN"/>
        </w:rPr>
        <w:t>中央预算内专项补助资金和地方财政配套资金</w:t>
      </w:r>
      <w:r>
        <w:rPr>
          <w:rFonts w:hint="eastAsia" w:ascii="宋体" w:hAnsi="宋体" w:cs="宋体"/>
          <w:szCs w:val="21"/>
        </w:rPr>
        <w:t>。招标人为唐河县教育体育局，招标代理机构为</w:t>
      </w:r>
      <w:r>
        <w:rPr>
          <w:rFonts w:hint="eastAsia" w:ascii="宋体" w:hAnsi="宋体" w:cs="宋体"/>
          <w:szCs w:val="21"/>
          <w:lang w:eastAsia="zh-CN"/>
        </w:rPr>
        <w:t>河南合旺工程管理咨询有限公司</w:t>
      </w:r>
      <w:r>
        <w:rPr>
          <w:rFonts w:hint="eastAsia" w:ascii="宋体" w:hAnsi="宋体" w:cs="宋体"/>
          <w:szCs w:val="21"/>
        </w:rPr>
        <w:t>，项目已具备招标条件，现对该项目施工进行国内公开招标。本次招标采用全流程电子辅助招投标。</w:t>
      </w:r>
    </w:p>
    <w:p w14:paraId="61DE44DB">
      <w:pPr>
        <w:shd w:val="clear" w:color="auto" w:fill="FFFFFF"/>
        <w:autoSpaceDE w:val="0"/>
        <w:spacing w:line="360" w:lineRule="auto"/>
        <w:ind w:firstLine="420" w:firstLineChars="200"/>
        <w:rPr>
          <w:rFonts w:ascii="宋体" w:hAnsi="宋体"/>
          <w:b/>
          <w:bCs/>
          <w:szCs w:val="21"/>
        </w:rPr>
      </w:pPr>
      <w:r>
        <w:rPr>
          <w:rFonts w:hint="eastAsia" w:ascii="宋体" w:hAnsi="宋体"/>
          <w:b/>
          <w:bCs/>
          <w:szCs w:val="21"/>
        </w:rPr>
        <w:t>二、项目概况与招标范围:</w:t>
      </w:r>
    </w:p>
    <w:p w14:paraId="26A269DC">
      <w:pPr>
        <w:shd w:val="clear" w:color="auto" w:fill="FFFFFF"/>
        <w:autoSpaceDE w:val="0"/>
        <w:spacing w:line="360" w:lineRule="auto"/>
        <w:ind w:firstLine="420" w:firstLineChars="200"/>
        <w:rPr>
          <w:rFonts w:hint="eastAsia" w:ascii="宋体" w:hAnsi="宋体" w:eastAsia="宋体"/>
          <w:bCs/>
          <w:szCs w:val="21"/>
          <w:lang w:eastAsia="zh-CN"/>
        </w:rPr>
      </w:pPr>
      <w:bookmarkStart w:id="28" w:name="OLE_LINK5"/>
      <w:r>
        <w:rPr>
          <w:rFonts w:hint="eastAsia" w:ascii="宋体" w:hAnsi="宋体"/>
          <w:bCs/>
          <w:szCs w:val="21"/>
        </w:rPr>
        <w:t>2.1项目名称：</w:t>
      </w:r>
      <w:r>
        <w:rPr>
          <w:rFonts w:hint="eastAsia" w:ascii="宋体" w:hAnsi="宋体"/>
          <w:bCs/>
          <w:szCs w:val="21"/>
          <w:lang w:eastAsia="zh-CN"/>
        </w:rPr>
        <w:t>唐河县兴唐九年一贯制学校餐厅建设项目</w:t>
      </w:r>
    </w:p>
    <w:p w14:paraId="6E3F94D3">
      <w:pPr>
        <w:shd w:val="clear" w:color="auto" w:fill="FFFFFF"/>
        <w:autoSpaceDE w:val="0"/>
        <w:spacing w:line="360" w:lineRule="auto"/>
        <w:ind w:firstLine="420" w:firstLineChars="200"/>
        <w:rPr>
          <w:rFonts w:hint="default" w:ascii="宋体" w:hAnsi="宋体" w:eastAsia="宋体"/>
          <w:bCs/>
          <w:szCs w:val="21"/>
          <w:highlight w:val="none"/>
          <w:lang w:val="en-US" w:eastAsia="zh-CN"/>
        </w:rPr>
      </w:pPr>
      <w:r>
        <w:rPr>
          <w:rFonts w:hint="eastAsia" w:ascii="宋体" w:hAnsi="宋体"/>
          <w:bCs/>
          <w:szCs w:val="21"/>
        </w:rPr>
        <w:t>2.2项目编号：</w:t>
      </w:r>
      <w:r>
        <w:rPr>
          <w:rFonts w:hint="eastAsia" w:ascii="宋体" w:hAnsi="宋体"/>
          <w:bCs/>
          <w:szCs w:val="21"/>
          <w:highlight w:val="none"/>
        </w:rPr>
        <w:t>thggzygcjy-2024</w:t>
      </w:r>
      <w:r>
        <w:rPr>
          <w:rFonts w:hint="eastAsia" w:ascii="宋体" w:hAnsi="宋体"/>
          <w:bCs/>
          <w:szCs w:val="21"/>
          <w:highlight w:val="none"/>
          <w:lang w:val="en-US" w:eastAsia="zh-CN"/>
        </w:rPr>
        <w:t>-079</w:t>
      </w:r>
    </w:p>
    <w:p w14:paraId="52ABCE0C">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2.3建设地点：</w:t>
      </w:r>
      <w:r>
        <w:rPr>
          <w:rFonts w:hint="eastAsia" w:ascii="宋体" w:hAnsi="宋体"/>
          <w:bCs/>
          <w:szCs w:val="21"/>
          <w:lang w:eastAsia="zh-CN"/>
        </w:rPr>
        <w:t>唐河县新华路东侧,油城路南侧,盛产路西侧谢岗路北侧，唐河县兴唐九年一贯制学校校内</w:t>
      </w:r>
      <w:r>
        <w:rPr>
          <w:rFonts w:hint="eastAsia" w:ascii="宋体" w:hAnsi="宋体"/>
          <w:bCs/>
          <w:szCs w:val="21"/>
        </w:rPr>
        <w:t>。</w:t>
      </w:r>
    </w:p>
    <w:p w14:paraId="321AD0B8">
      <w:pPr>
        <w:shd w:val="clear" w:color="auto" w:fill="FFFFFF"/>
        <w:autoSpaceDE w:val="0"/>
        <w:spacing w:line="360" w:lineRule="auto"/>
        <w:ind w:firstLine="420" w:firstLineChars="200"/>
        <w:rPr>
          <w:rFonts w:ascii="宋体" w:hAnsi="宋体"/>
          <w:bCs/>
          <w:szCs w:val="21"/>
        </w:rPr>
      </w:pPr>
      <w:r>
        <w:rPr>
          <w:rFonts w:hint="eastAsia" w:ascii="宋体" w:hAnsi="宋体"/>
          <w:bCs/>
          <w:szCs w:val="21"/>
          <w:lang w:bidi="zh-CN"/>
        </w:rPr>
        <w:t>2.</w:t>
      </w:r>
      <w:r>
        <w:rPr>
          <w:rFonts w:ascii="宋体" w:hAnsi="宋体"/>
          <w:bCs/>
          <w:szCs w:val="21"/>
          <w:lang w:bidi="zh-CN"/>
        </w:rPr>
        <w:t xml:space="preserve">4 </w:t>
      </w:r>
      <w:r>
        <w:rPr>
          <w:rFonts w:hint="eastAsia" w:ascii="宋体" w:hAnsi="宋体"/>
          <w:bCs/>
          <w:szCs w:val="21"/>
          <w:lang w:bidi="zh-CN"/>
        </w:rPr>
        <w:t>建设规模及主要建设内容：</w:t>
      </w:r>
      <w:r>
        <w:rPr>
          <w:rFonts w:hint="eastAsia" w:ascii="宋体" w:hAnsi="宋体"/>
          <w:bCs/>
          <w:szCs w:val="21"/>
          <w:lang w:eastAsia="zh-CN"/>
        </w:rPr>
        <w:t>项目本次新建一栋餐厅建筑面积4300平方米，其他附属设施为连接室外供排水及供电工程等</w:t>
      </w:r>
      <w:r>
        <w:rPr>
          <w:rFonts w:hint="eastAsia" w:ascii="宋体" w:hAnsi="宋体"/>
          <w:bCs/>
          <w:szCs w:val="21"/>
        </w:rPr>
        <w:t>。</w:t>
      </w:r>
    </w:p>
    <w:p w14:paraId="2E347FD8">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5</w:t>
      </w:r>
      <w:r>
        <w:rPr>
          <w:rFonts w:hint="eastAsia" w:ascii="宋体" w:hAnsi="宋体"/>
          <w:bCs/>
          <w:szCs w:val="21"/>
        </w:rPr>
        <w:t>计划工期：</w:t>
      </w:r>
      <w:r>
        <w:rPr>
          <w:rFonts w:hint="eastAsia"/>
        </w:rPr>
        <w:t>本项目计划工期</w:t>
      </w:r>
      <w:r>
        <w:rPr>
          <w:rFonts w:hint="eastAsia"/>
          <w:lang w:val="en-US" w:eastAsia="zh-CN"/>
        </w:rPr>
        <w:t>240</w:t>
      </w:r>
      <w:r>
        <w:rPr>
          <w:rFonts w:hint="eastAsia"/>
        </w:rPr>
        <w:t>日历天。</w:t>
      </w:r>
    </w:p>
    <w:p w14:paraId="233B1158">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6</w:t>
      </w:r>
      <w:r>
        <w:rPr>
          <w:rFonts w:hint="eastAsia" w:ascii="宋体" w:hAnsi="宋体"/>
          <w:bCs/>
          <w:szCs w:val="21"/>
        </w:rPr>
        <w:t>质量要求：合格。</w:t>
      </w:r>
    </w:p>
    <w:p w14:paraId="3C4A6A2F">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标段划分：</w:t>
      </w:r>
      <w:r>
        <w:t>本项目划分为</w:t>
      </w:r>
      <w:r>
        <w:rPr>
          <w:rFonts w:hint="eastAsia"/>
        </w:rPr>
        <w:t>1</w:t>
      </w:r>
      <w:r>
        <w:t>个施工标段和</w:t>
      </w:r>
      <w:r>
        <w:rPr>
          <w:rFonts w:hint="eastAsia"/>
        </w:rPr>
        <w:t>1个监理标段</w:t>
      </w:r>
      <w:r>
        <w:t>。</w:t>
      </w:r>
    </w:p>
    <w:p w14:paraId="2C9AD149">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8</w:t>
      </w:r>
      <w:r>
        <w:rPr>
          <w:rFonts w:hint="eastAsia" w:ascii="宋体" w:hAnsi="宋体"/>
          <w:bCs/>
          <w:szCs w:val="21"/>
        </w:rPr>
        <w:t>招标范围：</w:t>
      </w:r>
    </w:p>
    <w:p w14:paraId="7CA7AE67">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一标段（施工）：施工图纸及工程量清单范围内的所有内容；</w:t>
      </w:r>
    </w:p>
    <w:p w14:paraId="04D3FE11">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二标段（监理）：</w:t>
      </w:r>
      <w:r>
        <w:rPr>
          <w:rFonts w:hint="eastAsia" w:ascii="宋体" w:hAnsi="宋体"/>
          <w:bCs/>
          <w:szCs w:val="21"/>
          <w:lang w:bidi="zh-CN"/>
        </w:rPr>
        <w:t>本项目施工阶段及缺陷责任期内全过程监理服务</w:t>
      </w:r>
      <w:r>
        <w:rPr>
          <w:rFonts w:hint="eastAsia" w:ascii="宋体" w:hAnsi="宋体"/>
          <w:bCs/>
          <w:szCs w:val="21"/>
        </w:rPr>
        <w:t>。</w:t>
      </w:r>
    </w:p>
    <w:bookmarkEnd w:id="28"/>
    <w:p w14:paraId="3D04E228">
      <w:pPr>
        <w:shd w:val="clear" w:color="auto" w:fill="FFFFFF"/>
        <w:autoSpaceDE w:val="0"/>
        <w:spacing w:line="360" w:lineRule="auto"/>
        <w:ind w:firstLine="420" w:firstLineChars="200"/>
        <w:rPr>
          <w:rFonts w:ascii="宋体" w:hAnsi="宋体"/>
          <w:b/>
          <w:bCs/>
          <w:szCs w:val="21"/>
        </w:rPr>
      </w:pPr>
      <w:r>
        <w:rPr>
          <w:rFonts w:hint="eastAsia" w:ascii="宋体" w:hAnsi="宋体"/>
          <w:b/>
          <w:bCs/>
          <w:szCs w:val="21"/>
        </w:rPr>
        <w:t>三、投标人资格要求:</w:t>
      </w:r>
    </w:p>
    <w:p w14:paraId="1AA95E06">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3.1投标人须具备独立法人资格，持有有效的营业执照。</w:t>
      </w:r>
    </w:p>
    <w:p w14:paraId="26208DF8">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3.2</w:t>
      </w:r>
      <w:r>
        <w:rPr>
          <w:rFonts w:ascii="宋体" w:hAnsi="宋体"/>
          <w:bCs/>
          <w:szCs w:val="21"/>
        </w:rPr>
        <w:t>.1</w:t>
      </w:r>
      <w:r>
        <w:rPr>
          <w:rFonts w:hint="eastAsia" w:ascii="宋体" w:hAnsi="宋体"/>
          <w:b/>
          <w:bCs/>
          <w:szCs w:val="21"/>
        </w:rPr>
        <w:t>一标段（施工）：</w:t>
      </w:r>
      <w:r>
        <w:rPr>
          <w:rFonts w:hint="eastAsia" w:ascii="宋体" w:hAnsi="宋体"/>
          <w:bCs/>
          <w:szCs w:val="21"/>
        </w:rPr>
        <w:t>须具备建筑工程施工总承包叁级及以上资质，持有有效的安全生产许可证；拟派项目经理须具备建筑工程专业贰级及以上注册建造师执业资格，持有有效的安全生产考核合格证，且未在正在施工项目中担任项目经理，须出具无在建工程承诺书。</w:t>
      </w:r>
    </w:p>
    <w:p w14:paraId="391CB337">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3.2</w:t>
      </w:r>
      <w:r>
        <w:rPr>
          <w:rFonts w:ascii="宋体" w:hAnsi="宋体"/>
          <w:bCs/>
          <w:szCs w:val="21"/>
        </w:rPr>
        <w:t>.2</w:t>
      </w:r>
      <w:r>
        <w:rPr>
          <w:rFonts w:hint="eastAsia" w:ascii="宋体" w:hAnsi="宋体"/>
          <w:b/>
          <w:bCs/>
          <w:szCs w:val="21"/>
        </w:rPr>
        <w:t>二标段（监理）：</w:t>
      </w:r>
      <w:r>
        <w:rPr>
          <w:rFonts w:ascii="宋体" w:hAnsi="宋体"/>
          <w:bCs/>
          <w:szCs w:val="21"/>
        </w:rPr>
        <w:t>须具备</w:t>
      </w:r>
      <w:r>
        <w:rPr>
          <w:rFonts w:hint="eastAsia" w:ascii="宋体" w:hAnsi="宋体"/>
          <w:bCs/>
          <w:szCs w:val="21"/>
        </w:rPr>
        <w:t>建筑工程专业乙级及以上监理资质或工程监理综合资质，投标人拟派总监理工程师须具有建筑工程专业注册监理工程师资格证书。</w:t>
      </w:r>
    </w:p>
    <w:p w14:paraId="0A373679">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3.3投标人近三年度财务状况良好，没有财务被接管冻结、破产状态，提供近三年第三方机构出具的财务报告(2021-2023 年度，成立未满三年的企业按已有年份计算;新成立企业不足一个自然年度的,可提供近期财务报表)。</w:t>
      </w:r>
    </w:p>
    <w:p w14:paraId="05F9EFF5">
      <w:pPr>
        <w:pStyle w:val="40"/>
        <w:spacing w:line="460" w:lineRule="exact"/>
        <w:ind w:firstLine="420"/>
        <w:rPr>
          <w:rFonts w:cs="宋体"/>
          <w:sz w:val="21"/>
          <w:szCs w:val="21"/>
        </w:rPr>
      </w:pPr>
      <w:r>
        <w:rPr>
          <w:rFonts w:hint="eastAsia" w:cs="宋体"/>
          <w:sz w:val="21"/>
          <w:szCs w:val="21"/>
        </w:rPr>
        <w:t>3.4投标人出具无行贿行为承诺函（承诺对象包括投标人、法定代表人、项目负责人）。</w:t>
      </w:r>
    </w:p>
    <w:p w14:paraId="23B22701">
      <w:pPr>
        <w:pStyle w:val="40"/>
        <w:spacing w:line="460" w:lineRule="exact"/>
        <w:ind w:firstLine="420"/>
        <w:rPr>
          <w:rFonts w:cs="宋体"/>
          <w:sz w:val="21"/>
          <w:szCs w:val="21"/>
        </w:rPr>
      </w:pPr>
      <w:r>
        <w:rPr>
          <w:rFonts w:hint="eastAsia" w:cs="宋体"/>
          <w:sz w:val="21"/>
          <w:szCs w:val="21"/>
        </w:rPr>
        <w:t>3.5列入失信被执行人、重大税收违法案件当事人名单的投标人，拒绝参与本项目招投标活动；【查询渠道：“信用中国”网站（</w:t>
      </w:r>
      <w:bookmarkStart w:id="745" w:name="_GoBack"/>
      <w:bookmarkEnd w:id="745"/>
      <w:r>
        <w:rPr>
          <w:rFonts w:hint="eastAsia" w:cs="宋体"/>
          <w:sz w:val="21"/>
          <w:szCs w:val="21"/>
        </w:rPr>
        <w:t>www.creditchina.gov.cn）；“中国裁判文书网 ”（</w:t>
      </w:r>
      <w:r>
        <w:fldChar w:fldCharType="begin"/>
      </w:r>
      <w:r>
        <w:instrText xml:space="preserve"> HYPERLINK "http://wenshu.court.gov.cn/" </w:instrText>
      </w:r>
      <w:r>
        <w:fldChar w:fldCharType="separate"/>
      </w:r>
      <w:r>
        <w:rPr>
          <w:rFonts w:hint="eastAsia" w:cs="宋体"/>
          <w:sz w:val="21"/>
          <w:szCs w:val="21"/>
        </w:rPr>
        <w:t>http://wenshu.court.gov.cn/</w:t>
      </w:r>
      <w:r>
        <w:rPr>
          <w:rFonts w:hint="eastAsia" w:cs="宋体"/>
          <w:sz w:val="21"/>
          <w:szCs w:val="21"/>
        </w:rPr>
        <w:fldChar w:fldCharType="end"/>
      </w:r>
      <w:r>
        <w:rPr>
          <w:rFonts w:hint="eastAsia" w:cs="宋体"/>
          <w:sz w:val="21"/>
          <w:szCs w:val="21"/>
        </w:rPr>
        <w:t>）或“中国执行信息公开网”（</w:t>
      </w:r>
      <w:r>
        <w:fldChar w:fldCharType="begin"/>
      </w:r>
      <w:r>
        <w:instrText xml:space="preserve"> HYPERLINK "http://zxgk.court.gov.cn/" </w:instrText>
      </w:r>
      <w:r>
        <w:fldChar w:fldCharType="separate"/>
      </w:r>
      <w:r>
        <w:rPr>
          <w:rFonts w:hint="eastAsia" w:cs="宋体"/>
          <w:sz w:val="21"/>
          <w:szCs w:val="21"/>
        </w:rPr>
        <w:t>http://zxgk.court.gov.cn/</w:t>
      </w:r>
      <w:r>
        <w:rPr>
          <w:rFonts w:hint="eastAsia" w:cs="宋体"/>
          <w:sz w:val="21"/>
          <w:szCs w:val="21"/>
        </w:rPr>
        <w:fldChar w:fldCharType="end"/>
      </w:r>
      <w:r>
        <w:rPr>
          <w:rFonts w:hint="eastAsia" w:cs="宋体"/>
          <w:sz w:val="21"/>
          <w:szCs w:val="21"/>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14:paraId="31F20392">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3.6本次招标不接受联合体投标。</w:t>
      </w:r>
    </w:p>
    <w:p w14:paraId="003D17FE">
      <w:pPr>
        <w:shd w:val="clear" w:color="auto" w:fill="FFFFFF"/>
        <w:autoSpaceDE w:val="0"/>
        <w:spacing w:line="360" w:lineRule="auto"/>
        <w:ind w:firstLine="420" w:firstLineChars="200"/>
        <w:rPr>
          <w:rFonts w:ascii="宋体" w:hAnsi="宋体"/>
          <w:bCs/>
          <w:szCs w:val="21"/>
          <w:lang w:bidi="zh-CN"/>
        </w:rPr>
      </w:pPr>
      <w:r>
        <w:rPr>
          <w:rFonts w:hint="eastAsia" w:ascii="宋体" w:hAnsi="宋体"/>
          <w:bCs/>
          <w:szCs w:val="21"/>
        </w:rPr>
        <w:t>3</w:t>
      </w:r>
      <w:r>
        <w:rPr>
          <w:rFonts w:ascii="宋体" w:hAnsi="宋体"/>
          <w:bCs/>
          <w:szCs w:val="21"/>
        </w:rPr>
        <w:t>.7</w:t>
      </w:r>
      <w:r>
        <w:rPr>
          <w:rFonts w:hint="eastAsia" w:ascii="宋体" w:hAnsi="宋体"/>
          <w:bCs/>
          <w:szCs w:val="21"/>
          <w:lang w:bidi="zh-CN"/>
        </w:rPr>
        <w:t>本项目实行资格后审，上述审查内容以投标截止时间前填报上</w:t>
      </w:r>
      <w:r>
        <w:rPr>
          <w:rFonts w:hint="eastAsia" w:ascii="宋体" w:hAnsi="宋体"/>
          <w:bCs/>
          <w:szCs w:val="21"/>
          <w:highlight w:val="none"/>
          <w:lang w:bidi="zh-CN"/>
        </w:rPr>
        <w:t>传南阳市企</w:t>
      </w:r>
      <w:r>
        <w:rPr>
          <w:rFonts w:hint="eastAsia" w:ascii="宋体" w:hAnsi="宋体"/>
          <w:bCs/>
          <w:szCs w:val="21"/>
          <w:lang w:bidi="zh-CN"/>
        </w:rPr>
        <w:t>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0EEE5C79">
      <w:pPr>
        <w:pStyle w:val="40"/>
        <w:spacing w:line="360" w:lineRule="auto"/>
        <w:ind w:firstLine="420"/>
        <w:rPr>
          <w:rFonts w:cs="宋体"/>
          <w:b/>
          <w:bCs/>
          <w:sz w:val="21"/>
          <w:szCs w:val="21"/>
        </w:rPr>
      </w:pPr>
      <w:r>
        <w:rPr>
          <w:rFonts w:hint="eastAsia" w:cs="宋体"/>
          <w:b/>
          <w:bCs/>
          <w:sz w:val="21"/>
          <w:szCs w:val="21"/>
        </w:rPr>
        <w:t>四、招标文件的获取方法</w:t>
      </w:r>
    </w:p>
    <w:p w14:paraId="6FE598BC">
      <w:pPr>
        <w:pStyle w:val="40"/>
        <w:spacing w:line="360" w:lineRule="auto"/>
        <w:ind w:firstLine="420"/>
        <w:rPr>
          <w:rFonts w:cs="宋体"/>
          <w:sz w:val="21"/>
          <w:szCs w:val="21"/>
        </w:rPr>
      </w:pPr>
      <w:r>
        <w:rPr>
          <w:rFonts w:hint="eastAsia" w:cs="宋体"/>
          <w:sz w:val="21"/>
          <w:szCs w:val="21"/>
        </w:rPr>
        <w:t>4</w:t>
      </w:r>
      <w:r>
        <w:rPr>
          <w:rFonts w:cs="宋体"/>
          <w:sz w:val="21"/>
          <w:szCs w:val="21"/>
        </w:rPr>
        <w:t>.1</w:t>
      </w:r>
      <w:r>
        <w:rPr>
          <w:rFonts w:hint="eastAsia" w:cs="宋体"/>
          <w:sz w:val="21"/>
          <w:szCs w:val="21"/>
        </w:rPr>
        <w:t>招标文件的获取方式：网上下载</w:t>
      </w:r>
    </w:p>
    <w:p w14:paraId="117BC2D4">
      <w:pPr>
        <w:pStyle w:val="40"/>
        <w:spacing w:line="360" w:lineRule="auto"/>
        <w:ind w:firstLine="420"/>
        <w:rPr>
          <w:rFonts w:cs="宋体"/>
          <w:sz w:val="21"/>
          <w:szCs w:val="21"/>
        </w:rPr>
      </w:pPr>
      <w:r>
        <w:rPr>
          <w:rFonts w:hint="eastAsia" w:cs="宋体"/>
          <w:sz w:val="21"/>
          <w:szCs w:val="21"/>
        </w:rPr>
        <w:t>潜在投标人须办理CA数字证书，在南阳市交易平台诚信库进行登记注册，验证通过后可直接运用CA证书登录唐河县公共资源交易中心网站（</w:t>
      </w:r>
      <w:r>
        <w:rPr>
          <w:rFonts w:hint="eastAsia" w:cs="宋体"/>
          <w:sz w:val="21"/>
          <w:szCs w:val="21"/>
        </w:rPr>
        <w:fldChar w:fldCharType="begin"/>
      </w:r>
      <w:r>
        <w:rPr>
          <w:rFonts w:hint="eastAsia" w:cs="宋体"/>
          <w:sz w:val="21"/>
          <w:szCs w:val="21"/>
        </w:rPr>
        <w:instrText xml:space="preserve"> HYPERLINK "http://ggzyjy.tanghe.gov.cn/" </w:instrText>
      </w:r>
      <w:r>
        <w:rPr>
          <w:rFonts w:hint="eastAsia" w:cs="宋体"/>
          <w:sz w:val="21"/>
          <w:szCs w:val="21"/>
        </w:rPr>
        <w:fldChar w:fldCharType="separate"/>
      </w:r>
      <w:r>
        <w:rPr>
          <w:rFonts w:hint="eastAsia" w:cs="宋体"/>
          <w:sz w:val="21"/>
          <w:szCs w:val="21"/>
        </w:rPr>
        <w:t>http://ggzyjy.tanghe.gov.cn</w:t>
      </w:r>
      <w:r>
        <w:rPr>
          <w:rFonts w:hint="eastAsia" w:cs="宋体"/>
          <w:sz w:val="21"/>
          <w:szCs w:val="21"/>
        </w:rPr>
        <w:fldChar w:fldCharType="end"/>
      </w:r>
      <w:r>
        <w:rPr>
          <w:rFonts w:hint="eastAsia" w:cs="宋体"/>
          <w:sz w:val="21"/>
          <w:szCs w:val="21"/>
        </w:rPr>
        <w:t>）诚信库会员系统进行网上下载招标文件。唐河县公共资源交易平台与南阳市公共资源交易平台诚信库系统互认共享、CA数字证书互认共享。</w:t>
      </w:r>
    </w:p>
    <w:p w14:paraId="0ED02038">
      <w:pPr>
        <w:pStyle w:val="40"/>
        <w:spacing w:line="360" w:lineRule="auto"/>
        <w:ind w:firstLine="420"/>
        <w:rPr>
          <w:rFonts w:cs="宋体" w:asciiTheme="minorEastAsia" w:hAnsiTheme="minorEastAsia" w:eastAsiaTheme="minorEastAsia"/>
          <w:sz w:val="21"/>
          <w:szCs w:val="21"/>
          <w:highlight w:val="none"/>
        </w:rPr>
      </w:pPr>
      <w:r>
        <w:rPr>
          <w:rFonts w:hint="eastAsia" w:cs="宋体"/>
          <w:sz w:val="21"/>
          <w:szCs w:val="21"/>
        </w:rPr>
        <w:t>4.2获取招标文件时间：</w:t>
      </w:r>
      <w:r>
        <w:rPr>
          <w:rFonts w:hint="eastAsia" w:cs="宋体" w:asciiTheme="minorEastAsia" w:hAnsiTheme="minorEastAsia" w:eastAsiaTheme="minorEastAsia"/>
          <w:sz w:val="21"/>
          <w:szCs w:val="21"/>
          <w:highlight w:val="none"/>
        </w:rPr>
        <w:t>2024年</w:t>
      </w:r>
      <w:r>
        <w:rPr>
          <w:rFonts w:hint="eastAsia" w:cs="宋体" w:asciiTheme="minorEastAsia" w:hAnsiTheme="minorEastAsia" w:eastAsiaTheme="minorEastAsia"/>
          <w:sz w:val="21"/>
          <w:szCs w:val="21"/>
          <w:highlight w:val="none"/>
          <w:lang w:val="en-US" w:eastAsia="zh-CN"/>
        </w:rPr>
        <w:t xml:space="preserve"> 09 </w:t>
      </w:r>
      <w:r>
        <w:rPr>
          <w:rFonts w:hint="eastAsia" w:cs="宋体" w:asciiTheme="minorEastAsia" w:hAnsiTheme="minorEastAsia" w:eastAsiaTheme="minorEastAsia"/>
          <w:sz w:val="21"/>
          <w:szCs w:val="21"/>
          <w:highlight w:val="none"/>
        </w:rPr>
        <w:t>月</w:t>
      </w:r>
      <w:r>
        <w:rPr>
          <w:rFonts w:hint="eastAsia" w:cs="宋体" w:asciiTheme="minorEastAsia" w:hAnsiTheme="minorEastAsia" w:eastAsiaTheme="minorEastAsia"/>
          <w:sz w:val="21"/>
          <w:szCs w:val="21"/>
          <w:highlight w:val="none"/>
          <w:lang w:val="en-US" w:eastAsia="zh-CN"/>
        </w:rPr>
        <w:t xml:space="preserve"> 19 </w:t>
      </w:r>
      <w:r>
        <w:rPr>
          <w:rFonts w:hint="eastAsia" w:cs="宋体" w:asciiTheme="minorEastAsia" w:hAnsiTheme="minorEastAsia" w:eastAsiaTheme="minorEastAsia"/>
          <w:sz w:val="21"/>
          <w:szCs w:val="21"/>
          <w:highlight w:val="none"/>
        </w:rPr>
        <w:t xml:space="preserve">日10时00分至2024年 </w:t>
      </w:r>
      <w:r>
        <w:rPr>
          <w:rFonts w:hint="eastAsia" w:cs="宋体" w:asciiTheme="minorEastAsia" w:hAnsiTheme="minorEastAsia" w:eastAsiaTheme="minorEastAsia"/>
          <w:sz w:val="21"/>
          <w:szCs w:val="21"/>
          <w:highlight w:val="none"/>
          <w:lang w:val="en-US" w:eastAsia="zh-CN"/>
        </w:rPr>
        <w:t xml:space="preserve">09 </w:t>
      </w:r>
      <w:r>
        <w:rPr>
          <w:rFonts w:hint="eastAsia" w:cs="宋体" w:asciiTheme="minorEastAsia" w:hAnsiTheme="minorEastAsia" w:eastAsiaTheme="minorEastAsia"/>
          <w:sz w:val="21"/>
          <w:szCs w:val="21"/>
          <w:highlight w:val="none"/>
        </w:rPr>
        <w:t xml:space="preserve">月 </w:t>
      </w:r>
      <w:r>
        <w:rPr>
          <w:rFonts w:hint="eastAsia" w:cs="宋体" w:asciiTheme="minorEastAsia" w:hAnsiTheme="minorEastAsia" w:eastAsiaTheme="minorEastAsia"/>
          <w:sz w:val="21"/>
          <w:szCs w:val="21"/>
          <w:highlight w:val="none"/>
          <w:lang w:val="en-US" w:eastAsia="zh-CN"/>
        </w:rPr>
        <w:t xml:space="preserve">26 </w:t>
      </w:r>
      <w:r>
        <w:rPr>
          <w:rFonts w:hint="eastAsia" w:cs="宋体" w:asciiTheme="minorEastAsia" w:hAnsiTheme="minorEastAsia" w:eastAsiaTheme="minorEastAsia"/>
          <w:sz w:val="21"/>
          <w:szCs w:val="21"/>
          <w:highlight w:val="none"/>
        </w:rPr>
        <w:t>日17时30分。</w:t>
      </w:r>
    </w:p>
    <w:p w14:paraId="2910168C">
      <w:pPr>
        <w:pStyle w:val="40"/>
        <w:spacing w:line="360" w:lineRule="auto"/>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招标文件售价：本项目不收取招标文件费用。</w:t>
      </w:r>
    </w:p>
    <w:p w14:paraId="45319B43">
      <w:pPr>
        <w:pStyle w:val="40"/>
        <w:spacing w:line="360" w:lineRule="auto"/>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成功下载本项目招标文件的投标单位为合格投标人。</w:t>
      </w:r>
    </w:p>
    <w:p w14:paraId="4F2C192D">
      <w:pPr>
        <w:pStyle w:val="40"/>
        <w:spacing w:line="360" w:lineRule="auto"/>
        <w:ind w:firstLine="42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五、投标文件的递交时间及地点：</w:t>
      </w:r>
    </w:p>
    <w:p w14:paraId="6155D7FF">
      <w:pPr>
        <w:pStyle w:val="40"/>
        <w:spacing w:line="360" w:lineRule="auto"/>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电子投标文件递交的截止时间及开标时间：</w:t>
      </w:r>
      <w:r>
        <w:rPr>
          <w:rFonts w:hint="eastAsia" w:cs="宋体" w:asciiTheme="minorEastAsia" w:hAnsiTheme="minorEastAsia" w:eastAsiaTheme="minorEastAsia"/>
          <w:sz w:val="21"/>
          <w:szCs w:val="21"/>
          <w:highlight w:val="none"/>
        </w:rPr>
        <w:t>2024年</w:t>
      </w:r>
      <w:r>
        <w:rPr>
          <w:rFonts w:hint="eastAsia" w:cs="宋体" w:asciiTheme="minorEastAsia" w:hAnsiTheme="minorEastAsia" w:eastAsiaTheme="minorEastAsia"/>
          <w:sz w:val="21"/>
          <w:szCs w:val="21"/>
          <w:highlight w:val="none"/>
          <w:lang w:val="en-US" w:eastAsia="zh-CN"/>
        </w:rPr>
        <w:t xml:space="preserve"> 10 </w:t>
      </w:r>
      <w:r>
        <w:rPr>
          <w:rFonts w:hint="eastAsia" w:cs="宋体" w:asciiTheme="minorEastAsia" w:hAnsiTheme="minorEastAsia" w:eastAsiaTheme="minorEastAsia"/>
          <w:sz w:val="21"/>
          <w:szCs w:val="21"/>
          <w:highlight w:val="none"/>
        </w:rPr>
        <w:t xml:space="preserve">月 </w:t>
      </w:r>
      <w:r>
        <w:rPr>
          <w:rFonts w:hint="eastAsia" w:cs="宋体" w:asciiTheme="minorEastAsia" w:hAnsiTheme="minorEastAsia" w:eastAsiaTheme="minorEastAsia"/>
          <w:sz w:val="21"/>
          <w:szCs w:val="21"/>
          <w:highlight w:val="none"/>
          <w:lang w:val="en-US" w:eastAsia="zh-CN"/>
        </w:rPr>
        <w:t xml:space="preserve">11 </w:t>
      </w:r>
      <w:r>
        <w:rPr>
          <w:rFonts w:hint="eastAsia" w:cs="宋体" w:asciiTheme="minorEastAsia" w:hAnsiTheme="minorEastAsia" w:eastAsiaTheme="minorEastAsia"/>
          <w:sz w:val="21"/>
          <w:szCs w:val="21"/>
          <w:highlight w:val="none"/>
        </w:rPr>
        <w:t>日上午9：30整；</w:t>
      </w:r>
    </w:p>
    <w:p w14:paraId="2A5956D4">
      <w:pPr>
        <w:pStyle w:val="40"/>
        <w:spacing w:line="360" w:lineRule="auto"/>
        <w:ind w:firstLine="420"/>
        <w:rPr>
          <w:rFonts w:cs="宋体"/>
          <w:sz w:val="21"/>
          <w:szCs w:val="21"/>
        </w:rPr>
      </w:pP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开标地点：唐河县公共资源交易中心第三开标室（本项目采用网上不见面方式</w:t>
      </w:r>
      <w:r>
        <w:rPr>
          <w:rFonts w:hint="eastAsia" w:cs="宋体"/>
          <w:sz w:val="21"/>
          <w:szCs w:val="21"/>
        </w:rPr>
        <w:t>开标，投标企业无需到达开标现场）；</w:t>
      </w:r>
    </w:p>
    <w:p w14:paraId="49396F96">
      <w:pPr>
        <w:pStyle w:val="40"/>
        <w:spacing w:line="360" w:lineRule="auto"/>
        <w:ind w:firstLine="420"/>
        <w:rPr>
          <w:rFonts w:cs="宋体"/>
          <w:sz w:val="21"/>
          <w:szCs w:val="21"/>
        </w:rPr>
      </w:pPr>
      <w:r>
        <w:rPr>
          <w:rFonts w:hint="eastAsia" w:cs="宋体"/>
          <w:sz w:val="21"/>
          <w:szCs w:val="21"/>
        </w:rPr>
        <w:t>5</w:t>
      </w:r>
      <w:r>
        <w:rPr>
          <w:rFonts w:cs="宋体"/>
          <w:sz w:val="21"/>
          <w:szCs w:val="21"/>
        </w:rPr>
        <w:t>.3</w:t>
      </w:r>
      <w:r>
        <w:rPr>
          <w:rFonts w:hint="eastAsia" w:cs="宋体"/>
          <w:sz w:val="21"/>
          <w:szCs w:val="21"/>
        </w:rPr>
        <w:t>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4CC92BC6">
      <w:pPr>
        <w:pStyle w:val="40"/>
        <w:spacing w:line="360" w:lineRule="auto"/>
        <w:ind w:firstLine="420"/>
        <w:rPr>
          <w:rFonts w:cs="宋体"/>
          <w:sz w:val="21"/>
          <w:szCs w:val="21"/>
        </w:rPr>
      </w:pPr>
      <w:r>
        <w:rPr>
          <w:rFonts w:hint="eastAsia" w:cs="宋体"/>
          <w:sz w:val="21"/>
          <w:szCs w:val="21"/>
        </w:rPr>
        <w:t>5</w:t>
      </w:r>
      <w:r>
        <w:rPr>
          <w:rFonts w:cs="宋体"/>
          <w:sz w:val="21"/>
          <w:szCs w:val="21"/>
        </w:rPr>
        <w:t>.4</w:t>
      </w:r>
      <w:r>
        <w:rPr>
          <w:rFonts w:hint="eastAsia" w:cs="宋体"/>
          <w:sz w:val="21"/>
          <w:szCs w:val="21"/>
        </w:rPr>
        <w:t>该项目自行上传投标文件，无需寄送和递交非加密投标文件光盘等。</w:t>
      </w:r>
    </w:p>
    <w:p w14:paraId="1FD82528">
      <w:pPr>
        <w:pStyle w:val="40"/>
        <w:spacing w:line="360" w:lineRule="auto"/>
        <w:ind w:firstLine="420"/>
        <w:rPr>
          <w:rFonts w:cs="宋体"/>
          <w:sz w:val="21"/>
          <w:szCs w:val="21"/>
        </w:rPr>
      </w:pPr>
      <w:r>
        <w:rPr>
          <w:rFonts w:hint="eastAsia" w:cs="宋体"/>
          <w:sz w:val="21"/>
          <w:szCs w:val="21"/>
        </w:rPr>
        <w:t>5.5因投标人无需现场参与开标，所有准备工作需要自行到位。开标过程中如遇到紧急事项，可在不见面开标大厅中进行提出异议或文字交流。</w:t>
      </w:r>
    </w:p>
    <w:p w14:paraId="39041E1C">
      <w:pPr>
        <w:pStyle w:val="40"/>
        <w:spacing w:line="360" w:lineRule="auto"/>
        <w:ind w:firstLine="420"/>
        <w:rPr>
          <w:rFonts w:cs="宋体"/>
          <w:sz w:val="21"/>
          <w:szCs w:val="21"/>
        </w:rPr>
      </w:pPr>
      <w:r>
        <w:rPr>
          <w:rFonts w:hint="eastAsia" w:cs="宋体"/>
          <w:sz w:val="21"/>
          <w:szCs w:val="21"/>
        </w:rPr>
        <w:t>5</w:t>
      </w:r>
      <w:r>
        <w:rPr>
          <w:rFonts w:cs="宋体"/>
          <w:sz w:val="21"/>
          <w:szCs w:val="21"/>
        </w:rPr>
        <w:t>.6</w:t>
      </w:r>
      <w:r>
        <w:rPr>
          <w:rFonts w:hint="eastAsia" w:cs="宋体"/>
          <w:sz w:val="21"/>
          <w:szCs w:val="21"/>
        </w:rPr>
        <w:t>不见面开标过程中，如投标人准备不到位，造成无法及时解密、网络问题等情况造成开标无法继续的，视为该投标人自动放弃投标（60分钟内），将被退回投标文件；</w:t>
      </w:r>
    </w:p>
    <w:p w14:paraId="22A19693">
      <w:pPr>
        <w:pStyle w:val="40"/>
        <w:spacing w:line="360" w:lineRule="auto"/>
        <w:ind w:firstLine="420"/>
        <w:rPr>
          <w:rFonts w:cs="宋体"/>
          <w:sz w:val="21"/>
          <w:szCs w:val="21"/>
        </w:rPr>
      </w:pPr>
      <w:r>
        <w:rPr>
          <w:rFonts w:hint="eastAsia" w:cs="宋体"/>
          <w:sz w:val="21"/>
          <w:szCs w:val="21"/>
        </w:rPr>
        <w:t>5</w:t>
      </w:r>
      <w:r>
        <w:rPr>
          <w:rFonts w:cs="宋体"/>
          <w:sz w:val="21"/>
          <w:szCs w:val="21"/>
        </w:rPr>
        <w:t>.7</w:t>
      </w:r>
      <w:r>
        <w:rPr>
          <w:rFonts w:hint="eastAsia" w:cs="宋体"/>
          <w:sz w:val="21"/>
          <w:szCs w:val="21"/>
        </w:rPr>
        <w:t>电子投标文件应在招标文件规定的投标截止时间前到达交易系统。逾期到达交易系统的电子投标文件视为放弃本次投标。</w:t>
      </w:r>
    </w:p>
    <w:p w14:paraId="47AB5E15">
      <w:pPr>
        <w:pStyle w:val="40"/>
        <w:spacing w:line="360" w:lineRule="auto"/>
        <w:ind w:firstLine="420"/>
        <w:rPr>
          <w:rFonts w:cs="宋体"/>
          <w:b/>
          <w:sz w:val="21"/>
          <w:szCs w:val="21"/>
        </w:rPr>
      </w:pPr>
      <w:r>
        <w:rPr>
          <w:rFonts w:hint="eastAsia" w:cs="宋体"/>
          <w:b/>
          <w:sz w:val="21"/>
          <w:szCs w:val="21"/>
        </w:rPr>
        <w:t>六、本次招标项目招标人不组织踏勘现场和投标预备会。</w:t>
      </w:r>
    </w:p>
    <w:p w14:paraId="775B5F01">
      <w:pPr>
        <w:pStyle w:val="40"/>
        <w:spacing w:line="360" w:lineRule="auto"/>
        <w:ind w:firstLine="420"/>
        <w:rPr>
          <w:rFonts w:cs="宋体"/>
          <w:sz w:val="21"/>
          <w:szCs w:val="21"/>
        </w:rPr>
      </w:pPr>
      <w:r>
        <w:rPr>
          <w:rFonts w:hint="eastAsia" w:cs="宋体"/>
          <w:b/>
          <w:bCs/>
          <w:sz w:val="21"/>
          <w:szCs w:val="21"/>
        </w:rPr>
        <w:t>七、发布公告的媒介</w:t>
      </w:r>
      <w:r>
        <w:rPr>
          <w:rFonts w:hint="eastAsia" w:cs="宋体"/>
          <w:sz w:val="21"/>
          <w:szCs w:val="21"/>
        </w:rPr>
        <w:t>：</w:t>
      </w:r>
    </w:p>
    <w:p w14:paraId="613F1AA7">
      <w:pPr>
        <w:pStyle w:val="40"/>
        <w:spacing w:line="360" w:lineRule="auto"/>
        <w:ind w:firstLine="420"/>
        <w:rPr>
          <w:rFonts w:cs="宋体"/>
          <w:sz w:val="21"/>
          <w:szCs w:val="21"/>
        </w:rPr>
      </w:pPr>
      <w:r>
        <w:rPr>
          <w:rFonts w:hint="eastAsia" w:cs="宋体"/>
          <w:sz w:val="21"/>
          <w:szCs w:val="21"/>
        </w:rPr>
        <w:t>本次招标公告同时在《中国招标投标公共服务平台》、《河南省电子招标投标公共服务平台》、《唐河县公共资源交易中心》发布。</w:t>
      </w:r>
    </w:p>
    <w:p w14:paraId="3319C822">
      <w:pPr>
        <w:shd w:val="clear" w:color="auto" w:fill="FFFFFF"/>
        <w:autoSpaceDE w:val="0"/>
        <w:spacing w:line="360" w:lineRule="auto"/>
        <w:ind w:firstLine="420" w:firstLineChars="200"/>
        <w:rPr>
          <w:rFonts w:ascii="宋体" w:hAnsi="宋体"/>
          <w:b/>
          <w:bCs/>
          <w:szCs w:val="21"/>
        </w:rPr>
      </w:pPr>
      <w:r>
        <w:rPr>
          <w:rFonts w:hint="eastAsia" w:ascii="宋体" w:hAnsi="宋体"/>
          <w:b/>
          <w:bCs/>
          <w:szCs w:val="21"/>
        </w:rPr>
        <w:t>八、联系方式:</w:t>
      </w:r>
    </w:p>
    <w:p w14:paraId="09316A15">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招标人：唐河县教育体育局</w:t>
      </w:r>
    </w:p>
    <w:p w14:paraId="68CD1D66">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联系人：</w:t>
      </w:r>
      <w:r>
        <w:rPr>
          <w:rFonts w:hint="eastAsia" w:ascii="宋体" w:hAnsi="宋体"/>
          <w:bCs/>
          <w:szCs w:val="21"/>
          <w:lang w:val="en-US" w:eastAsia="zh-CN"/>
        </w:rPr>
        <w:t>宋海康</w:t>
      </w:r>
    </w:p>
    <w:p w14:paraId="242216C1">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联系电话：</w:t>
      </w:r>
      <w:r>
        <w:rPr>
          <w:rFonts w:hint="eastAsia" w:ascii="宋体" w:hAnsi="宋体"/>
          <w:bCs/>
          <w:szCs w:val="21"/>
          <w:lang w:val="en-US" w:eastAsia="zh-CN"/>
        </w:rPr>
        <w:t>13782132831</w:t>
      </w:r>
    </w:p>
    <w:p w14:paraId="777257A6">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地址：河南省唐河县</w:t>
      </w:r>
      <w:r>
        <w:rPr>
          <w:rFonts w:hint="eastAsia" w:ascii="宋体" w:hAnsi="宋体"/>
          <w:bCs/>
          <w:szCs w:val="21"/>
          <w:lang w:val="en-US" w:eastAsia="zh-CN"/>
        </w:rPr>
        <w:t>泗洲</w:t>
      </w:r>
      <w:r>
        <w:rPr>
          <w:rFonts w:hint="eastAsia" w:ascii="宋体" w:hAnsi="宋体"/>
          <w:bCs/>
          <w:szCs w:val="21"/>
        </w:rPr>
        <w:t>街道新华路中段</w:t>
      </w:r>
    </w:p>
    <w:p w14:paraId="25BEFB29">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监督单位：唐河县住房和城乡建设局</w:t>
      </w:r>
    </w:p>
    <w:p w14:paraId="536A8717">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联系人：王先生</w:t>
      </w:r>
    </w:p>
    <w:p w14:paraId="4615309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联系电话：0377-68927775</w:t>
      </w:r>
    </w:p>
    <w:p w14:paraId="725F2642">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地址：唐河县新春路北段</w:t>
      </w:r>
    </w:p>
    <w:p w14:paraId="7C88EA25">
      <w:pPr>
        <w:spacing w:line="360" w:lineRule="auto"/>
        <w:ind w:firstLine="420" w:firstLineChars="200"/>
        <w:rPr>
          <w:rFonts w:hint="eastAsia" w:ascii="宋体" w:hAnsi="宋体" w:eastAsia="宋体" w:cs="宋体"/>
          <w:lang w:eastAsia="zh-CN"/>
        </w:rPr>
      </w:pPr>
      <w:r>
        <w:rPr>
          <w:rFonts w:hint="eastAsia" w:ascii="宋体" w:hAnsi="宋体" w:cs="宋体"/>
        </w:rPr>
        <w:t>招标代理机构：</w:t>
      </w:r>
      <w:r>
        <w:rPr>
          <w:rFonts w:hint="eastAsia" w:ascii="宋体" w:hAnsi="宋体" w:cs="宋体"/>
          <w:kern w:val="0"/>
          <w:szCs w:val="21"/>
          <w:lang w:eastAsia="zh-CN" w:bidi="ar"/>
        </w:rPr>
        <w:t>河南合旺工程管理咨询有限公司</w:t>
      </w:r>
    </w:p>
    <w:p w14:paraId="2B6F8106">
      <w:pPr>
        <w:spacing w:line="360" w:lineRule="auto"/>
        <w:ind w:firstLine="420" w:firstLineChars="200"/>
        <w:rPr>
          <w:rFonts w:ascii="宋体" w:hAnsi="宋体" w:cs="宋体"/>
        </w:rPr>
      </w:pPr>
      <w:r>
        <w:rPr>
          <w:rFonts w:hint="eastAsia" w:ascii="宋体" w:hAnsi="宋体" w:cs="宋体"/>
        </w:rPr>
        <w:t>联系人：</w:t>
      </w:r>
      <w:r>
        <w:rPr>
          <w:rFonts w:hint="eastAsia" w:ascii="宋体" w:hAnsi="宋体" w:cs="宋体"/>
          <w:lang w:val="en-US" w:eastAsia="zh-CN"/>
        </w:rPr>
        <w:t>王冬冬</w:t>
      </w:r>
    </w:p>
    <w:p w14:paraId="2D3EDEBE">
      <w:pPr>
        <w:spacing w:line="360" w:lineRule="auto"/>
        <w:ind w:firstLine="420" w:firstLineChars="200"/>
        <w:rPr>
          <w:rFonts w:ascii="宋体" w:hAnsi="宋体" w:cs="宋体"/>
        </w:rPr>
      </w:pPr>
      <w:r>
        <w:rPr>
          <w:rFonts w:hint="eastAsia" w:ascii="宋体" w:hAnsi="宋体" w:cs="宋体"/>
        </w:rPr>
        <w:t>电 话：</w:t>
      </w:r>
      <w:r>
        <w:rPr>
          <w:rFonts w:hint="eastAsia" w:ascii="宋体" w:hAnsi="宋体" w:cs="宋体"/>
          <w:lang w:val="en-US" w:eastAsia="zh-CN"/>
        </w:rPr>
        <w:t>17637789567</w:t>
      </w:r>
    </w:p>
    <w:p w14:paraId="2BC8B1B5">
      <w:pPr>
        <w:spacing w:line="360" w:lineRule="auto"/>
        <w:ind w:firstLine="420" w:firstLineChars="200"/>
        <w:rPr>
          <w:rFonts w:ascii="宋体" w:hAnsi="宋体" w:cs="宋体"/>
        </w:rPr>
      </w:pPr>
      <w:r>
        <w:rPr>
          <w:rFonts w:hint="eastAsia" w:ascii="宋体" w:hAnsi="宋体" w:cs="宋体"/>
        </w:rPr>
        <w:t>地 址：</w:t>
      </w:r>
      <w:r>
        <w:rPr>
          <w:rFonts w:hint="eastAsia" w:ascii="宋体" w:hAnsi="宋体" w:cs="宋体"/>
          <w:lang w:val="en-US" w:eastAsia="zh-CN"/>
        </w:rPr>
        <w:t>河南省南阳市卧龙区梅溪街道建设中路新经济产业园411-119</w:t>
      </w:r>
    </w:p>
    <w:p w14:paraId="02C72648">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唐河县公共资源交易中心</w:t>
      </w:r>
    </w:p>
    <w:p w14:paraId="052D9266">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联系人：</w:t>
      </w:r>
      <w:r>
        <w:rPr>
          <w:rFonts w:hint="eastAsia" w:ascii="宋体" w:hAnsi="宋体"/>
          <w:bCs/>
          <w:szCs w:val="21"/>
        </w:rPr>
        <w:t>柴先生</w:t>
      </w:r>
    </w:p>
    <w:p w14:paraId="7BDF5C7C">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联系电话：0377-68513299</w:t>
      </w:r>
    </w:p>
    <w:p w14:paraId="4E1BA373">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地址：</w:t>
      </w:r>
      <w:r>
        <w:rPr>
          <w:rFonts w:hint="eastAsia" w:ascii="宋体" w:hAnsi="宋体"/>
          <w:bCs/>
          <w:szCs w:val="21"/>
        </w:rPr>
        <w:t>唐河县和谐广场三号楼</w:t>
      </w:r>
    </w:p>
    <w:p w14:paraId="56FD3644">
      <w:pPr>
        <w:shd w:val="clear" w:color="auto" w:fill="FFFFFF"/>
        <w:autoSpaceDE w:val="0"/>
        <w:spacing w:line="360" w:lineRule="auto"/>
        <w:ind w:firstLine="420" w:firstLineChars="200"/>
        <w:jc w:val="right"/>
        <w:rPr>
          <w:rFonts w:ascii="宋体" w:hAnsi="宋体"/>
          <w:bCs/>
          <w:szCs w:val="21"/>
        </w:rPr>
      </w:pPr>
    </w:p>
    <w:p w14:paraId="3F57E13F">
      <w:pPr>
        <w:shd w:val="clear" w:color="auto" w:fill="FFFFFF"/>
        <w:autoSpaceDE w:val="0"/>
        <w:spacing w:line="360" w:lineRule="auto"/>
        <w:ind w:firstLine="420" w:firstLineChars="200"/>
        <w:jc w:val="right"/>
        <w:rPr>
          <w:rFonts w:ascii="宋体" w:hAnsi="宋体"/>
          <w:bCs/>
          <w:szCs w:val="21"/>
        </w:rPr>
      </w:pPr>
      <w:r>
        <w:rPr>
          <w:rFonts w:hint="eastAsia" w:ascii="宋体" w:hAnsi="宋体"/>
          <w:bCs/>
          <w:szCs w:val="21"/>
        </w:rPr>
        <w:t>唐河县教育体育局</w:t>
      </w:r>
    </w:p>
    <w:p w14:paraId="3E098608">
      <w:pPr>
        <w:shd w:val="clear" w:color="auto" w:fill="FFFFFF"/>
        <w:autoSpaceDE w:val="0"/>
        <w:spacing w:line="360" w:lineRule="auto"/>
        <w:ind w:firstLine="420" w:firstLineChars="200"/>
        <w:jc w:val="right"/>
        <w:rPr>
          <w:rFonts w:hint="eastAsia" w:ascii="宋体" w:hAnsi="宋体" w:eastAsia="宋体"/>
          <w:bCs/>
          <w:szCs w:val="21"/>
          <w:lang w:eastAsia="zh-CN"/>
        </w:rPr>
      </w:pPr>
      <w:r>
        <w:rPr>
          <w:rFonts w:hint="eastAsia" w:ascii="宋体" w:hAnsi="宋体"/>
          <w:bCs/>
          <w:szCs w:val="21"/>
          <w:lang w:eastAsia="zh-CN"/>
        </w:rPr>
        <w:t>河南合旺工程管理咨询有限公司</w:t>
      </w:r>
    </w:p>
    <w:p w14:paraId="5A038A06">
      <w:pPr>
        <w:shd w:val="clear" w:color="auto" w:fill="FFFFFF"/>
        <w:wordWrap w:val="0"/>
        <w:autoSpaceDE w:val="0"/>
        <w:spacing w:line="360" w:lineRule="auto"/>
        <w:ind w:firstLine="420" w:firstLineChars="200"/>
        <w:jc w:val="right"/>
        <w:rPr>
          <w:rFonts w:ascii="宋体" w:hAnsi="宋体"/>
          <w:bCs/>
          <w:szCs w:val="21"/>
          <w:highlight w:val="none"/>
        </w:rPr>
      </w:pPr>
      <w:r>
        <w:rPr>
          <w:rFonts w:hint="eastAsia" w:ascii="宋体" w:hAnsi="宋体"/>
          <w:bCs/>
          <w:szCs w:val="21"/>
          <w:highlight w:val="none"/>
        </w:rPr>
        <w:t>2024年</w:t>
      </w:r>
      <w:r>
        <w:rPr>
          <w:rFonts w:hint="eastAsia" w:ascii="宋体" w:hAnsi="宋体"/>
          <w:bCs/>
          <w:szCs w:val="21"/>
          <w:highlight w:val="none"/>
          <w:lang w:val="en-US" w:eastAsia="zh-CN"/>
        </w:rPr>
        <w:t xml:space="preserve"> 09 </w:t>
      </w:r>
      <w:r>
        <w:rPr>
          <w:rFonts w:hint="eastAsia" w:ascii="宋体" w:hAnsi="宋体"/>
          <w:bCs/>
          <w:szCs w:val="21"/>
          <w:highlight w:val="none"/>
        </w:rPr>
        <w:t>月</w:t>
      </w:r>
      <w:r>
        <w:rPr>
          <w:rFonts w:ascii="宋体" w:hAnsi="宋体"/>
          <w:bCs/>
          <w:szCs w:val="21"/>
          <w:highlight w:val="none"/>
        </w:rPr>
        <w:t xml:space="preserve"> </w:t>
      </w:r>
      <w:r>
        <w:rPr>
          <w:rFonts w:hint="eastAsia" w:ascii="宋体" w:hAnsi="宋体"/>
          <w:bCs/>
          <w:szCs w:val="21"/>
          <w:highlight w:val="none"/>
          <w:lang w:val="en-US" w:eastAsia="zh-CN"/>
        </w:rPr>
        <w:t>13</w:t>
      </w:r>
      <w:r>
        <w:rPr>
          <w:rFonts w:ascii="宋体" w:hAnsi="宋体"/>
          <w:bCs/>
          <w:szCs w:val="21"/>
          <w:highlight w:val="none"/>
        </w:rPr>
        <w:t xml:space="preserve"> </w:t>
      </w:r>
      <w:r>
        <w:rPr>
          <w:rFonts w:hint="eastAsia" w:ascii="宋体" w:hAnsi="宋体"/>
          <w:bCs/>
          <w:szCs w:val="21"/>
          <w:highlight w:val="none"/>
        </w:rPr>
        <w:t>日</w:t>
      </w:r>
    </w:p>
    <w:bookmarkEnd w:id="24"/>
    <w:bookmarkEnd w:id="25"/>
    <w:bookmarkEnd w:id="26"/>
    <w:bookmarkEnd w:id="27"/>
    <w:p w14:paraId="294B7CF2">
      <w:pPr>
        <w:pStyle w:val="64"/>
        <w:rPr>
          <w:color w:val="auto"/>
        </w:rPr>
      </w:pPr>
    </w:p>
    <w:p w14:paraId="7E3AB8F3">
      <w:pPr>
        <w:pStyle w:val="64"/>
        <w:rPr>
          <w:color w:val="auto"/>
        </w:rPr>
      </w:pPr>
    </w:p>
    <w:p w14:paraId="4533F163">
      <w:pPr>
        <w:pStyle w:val="64"/>
        <w:rPr>
          <w:color w:val="auto"/>
        </w:rPr>
        <w:sectPr>
          <w:footerReference r:id="rId8" w:type="default"/>
          <w:pgSz w:w="11906" w:h="16838"/>
          <w:pgMar w:top="1440" w:right="1247" w:bottom="1440" w:left="1701" w:header="1077" w:footer="1021" w:gutter="0"/>
          <w:cols w:space="720" w:num="1"/>
          <w:docGrid w:type="linesAndChars" w:linePitch="312" w:charSpace="0"/>
        </w:sectPr>
      </w:pPr>
    </w:p>
    <w:p w14:paraId="1449C80A">
      <w:pPr>
        <w:pStyle w:val="3"/>
        <w:spacing w:line="240" w:lineRule="auto"/>
        <w:jc w:val="center"/>
        <w:rPr>
          <w:rFonts w:ascii="宋体" w:hAnsi="宋体"/>
          <w:sz w:val="32"/>
          <w:szCs w:val="32"/>
        </w:rPr>
      </w:pPr>
      <w:bookmarkStart w:id="29" w:name="_Toc167311824"/>
      <w:r>
        <w:rPr>
          <w:rFonts w:hint="eastAsia" w:ascii="宋体" w:hAnsi="宋体"/>
          <w:sz w:val="32"/>
          <w:szCs w:val="32"/>
        </w:rPr>
        <w:t>第二章 投标人须知</w:t>
      </w:r>
      <w:bookmarkEnd w:id="14"/>
      <w:bookmarkEnd w:id="15"/>
      <w:bookmarkEnd w:id="16"/>
      <w:bookmarkEnd w:id="17"/>
      <w:bookmarkEnd w:id="18"/>
      <w:bookmarkEnd w:id="19"/>
      <w:bookmarkEnd w:id="20"/>
      <w:bookmarkEnd w:id="21"/>
      <w:bookmarkEnd w:id="22"/>
      <w:bookmarkEnd w:id="23"/>
      <w:bookmarkEnd w:id="29"/>
    </w:p>
    <w:p w14:paraId="1BAE72CD">
      <w:pPr>
        <w:ind w:firstLine="3255" w:firstLineChars="1550"/>
        <w:rPr>
          <w:rFonts w:ascii="宋体" w:hAnsi="宋体"/>
        </w:rPr>
      </w:pPr>
      <w:bookmarkStart w:id="30" w:name="_Toc246996917"/>
      <w:bookmarkStart w:id="31" w:name="_Toc179632545"/>
      <w:bookmarkStart w:id="32" w:name="_Toc144974496"/>
      <w:bookmarkStart w:id="33" w:name="_Toc399596151"/>
      <w:bookmarkStart w:id="34" w:name="_Toc16408"/>
      <w:bookmarkStart w:id="35" w:name="_Toc246996174"/>
      <w:bookmarkStart w:id="36" w:name="_Toc152042304"/>
      <w:bookmarkStart w:id="37" w:name="_Toc247085688"/>
      <w:bookmarkStart w:id="38" w:name="_Toc152045528"/>
      <w:r>
        <w:rPr>
          <w:rFonts w:hint="eastAsia" w:ascii="宋体" w:hAnsi="宋体"/>
        </w:rPr>
        <w:t>投标人须知前附表</w:t>
      </w:r>
      <w:bookmarkEnd w:id="30"/>
      <w:bookmarkEnd w:id="31"/>
      <w:bookmarkEnd w:id="32"/>
      <w:bookmarkEnd w:id="33"/>
      <w:bookmarkEnd w:id="34"/>
      <w:bookmarkEnd w:id="35"/>
      <w:bookmarkEnd w:id="36"/>
      <w:bookmarkEnd w:id="37"/>
      <w:bookmarkEnd w:id="38"/>
    </w:p>
    <w:tbl>
      <w:tblPr>
        <w:tblStyle w:val="46"/>
        <w:tblW w:w="9108" w:type="dxa"/>
        <w:tblInd w:w="0" w:type="dxa"/>
        <w:tblLayout w:type="autofit"/>
        <w:tblCellMar>
          <w:top w:w="0" w:type="dxa"/>
          <w:left w:w="108" w:type="dxa"/>
          <w:bottom w:w="0" w:type="dxa"/>
          <w:right w:w="108" w:type="dxa"/>
        </w:tblCellMar>
      </w:tblPr>
      <w:tblGrid>
        <w:gridCol w:w="959"/>
        <w:gridCol w:w="1134"/>
        <w:gridCol w:w="7015"/>
      </w:tblGrid>
      <w:tr w14:paraId="78A5B95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3204C53">
            <w:pPr>
              <w:jc w:val="center"/>
              <w:rPr>
                <w:rFonts w:ascii="宋体" w:hAnsi="宋体"/>
                <w:b/>
                <w:szCs w:val="21"/>
              </w:rPr>
            </w:pPr>
            <w:bookmarkStart w:id="39" w:name="_Toc246996918"/>
            <w:bookmarkStart w:id="40" w:name="_Toc17766"/>
            <w:bookmarkStart w:id="41" w:name="_Toc399596152"/>
            <w:bookmarkStart w:id="42" w:name="_Toc247085689"/>
            <w:bookmarkStart w:id="43" w:name="_Toc246996175"/>
            <w:bookmarkStart w:id="44" w:name="_Toc152042305"/>
            <w:bookmarkStart w:id="45" w:name="_Toc152045529"/>
            <w:bookmarkStart w:id="46" w:name="_Toc144974497"/>
            <w:bookmarkStart w:id="47" w:name="_Toc179632546"/>
            <w:r>
              <w:rPr>
                <w:rFonts w:ascii="宋体" w:hAnsi="宋体"/>
                <w:b/>
                <w:szCs w:val="21"/>
              </w:rPr>
              <w:t>条款号</w:t>
            </w:r>
          </w:p>
        </w:tc>
        <w:tc>
          <w:tcPr>
            <w:tcW w:w="1134" w:type="dxa"/>
            <w:tcBorders>
              <w:top w:val="single" w:color="auto" w:sz="4" w:space="0"/>
              <w:left w:val="single" w:color="auto" w:sz="4" w:space="0"/>
              <w:bottom w:val="single" w:color="auto" w:sz="4" w:space="0"/>
              <w:right w:val="single" w:color="auto" w:sz="4" w:space="0"/>
            </w:tcBorders>
            <w:vAlign w:val="center"/>
          </w:tcPr>
          <w:p w14:paraId="45881D65">
            <w:pPr>
              <w:jc w:val="center"/>
              <w:rPr>
                <w:rFonts w:ascii="宋体" w:hAnsi="宋体"/>
                <w:b/>
                <w:szCs w:val="21"/>
              </w:rPr>
            </w:pPr>
            <w:r>
              <w:rPr>
                <w:rFonts w:ascii="宋体" w:hAnsi="宋体"/>
                <w:b/>
                <w:szCs w:val="21"/>
              </w:rPr>
              <w:t>条  款  名  称</w:t>
            </w:r>
          </w:p>
        </w:tc>
        <w:tc>
          <w:tcPr>
            <w:tcW w:w="7015" w:type="dxa"/>
            <w:tcBorders>
              <w:top w:val="single" w:color="auto" w:sz="4" w:space="0"/>
              <w:left w:val="single" w:color="auto" w:sz="4" w:space="0"/>
              <w:bottom w:val="single" w:color="auto" w:sz="4" w:space="0"/>
              <w:right w:val="single" w:color="auto" w:sz="4" w:space="0"/>
            </w:tcBorders>
            <w:vAlign w:val="center"/>
          </w:tcPr>
          <w:p w14:paraId="2B97F2C5">
            <w:pPr>
              <w:jc w:val="center"/>
              <w:rPr>
                <w:rFonts w:ascii="宋体" w:hAnsi="宋体"/>
                <w:b/>
                <w:szCs w:val="21"/>
              </w:rPr>
            </w:pPr>
            <w:r>
              <w:rPr>
                <w:rFonts w:ascii="宋体" w:hAnsi="宋体"/>
                <w:b/>
                <w:szCs w:val="21"/>
              </w:rPr>
              <w:t>编  列  内  容</w:t>
            </w:r>
          </w:p>
        </w:tc>
      </w:tr>
      <w:tr w14:paraId="2244F69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B80CB25">
            <w:pPr>
              <w:jc w:val="center"/>
              <w:rPr>
                <w:rFonts w:ascii="宋体" w:hAnsi="宋体"/>
                <w:szCs w:val="21"/>
              </w:rPr>
            </w:pPr>
            <w:r>
              <w:rPr>
                <w:rFonts w:ascii="宋体" w:hAnsi="宋体"/>
                <w:szCs w:val="21"/>
              </w:rPr>
              <w:t>1.1.</w:t>
            </w: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3AA25D4F">
            <w:pPr>
              <w:jc w:val="center"/>
              <w:rPr>
                <w:rFonts w:ascii="宋体" w:hAnsi="宋体"/>
                <w:szCs w:val="21"/>
              </w:rPr>
            </w:pPr>
            <w:r>
              <w:rPr>
                <w:rFonts w:ascii="宋体" w:hAnsi="宋体"/>
                <w:szCs w:val="21"/>
              </w:rPr>
              <w:t>招标人</w:t>
            </w:r>
          </w:p>
        </w:tc>
        <w:tc>
          <w:tcPr>
            <w:tcW w:w="7015" w:type="dxa"/>
            <w:tcBorders>
              <w:top w:val="single" w:color="auto" w:sz="4" w:space="0"/>
              <w:left w:val="single" w:color="auto" w:sz="4" w:space="0"/>
              <w:bottom w:val="single" w:color="auto" w:sz="4" w:space="0"/>
              <w:right w:val="single" w:color="auto" w:sz="4" w:space="0"/>
            </w:tcBorders>
            <w:vAlign w:val="center"/>
          </w:tcPr>
          <w:p w14:paraId="544635EF">
            <w:pPr>
              <w:spacing w:line="360" w:lineRule="auto"/>
              <w:rPr>
                <w:rFonts w:hint="eastAsia" w:ascii="宋体" w:hAnsi="宋体"/>
              </w:rPr>
            </w:pPr>
            <w:r>
              <w:rPr>
                <w:rFonts w:hint="eastAsia" w:ascii="宋体" w:hAnsi="宋体"/>
              </w:rPr>
              <w:t>招标人：唐河县教育体育局</w:t>
            </w:r>
          </w:p>
          <w:p w14:paraId="3469B6A2">
            <w:pPr>
              <w:spacing w:line="360" w:lineRule="auto"/>
              <w:rPr>
                <w:rFonts w:hint="eastAsia" w:ascii="宋体" w:hAnsi="宋体"/>
              </w:rPr>
            </w:pPr>
            <w:r>
              <w:rPr>
                <w:rFonts w:hint="eastAsia" w:ascii="宋体" w:hAnsi="宋体"/>
              </w:rPr>
              <w:t>联系人：</w:t>
            </w:r>
            <w:r>
              <w:rPr>
                <w:rFonts w:hint="eastAsia" w:ascii="宋体" w:hAnsi="宋体"/>
                <w:lang w:val="en-US" w:eastAsia="zh-CN"/>
              </w:rPr>
              <w:t>宋海康</w:t>
            </w:r>
          </w:p>
          <w:p w14:paraId="68179F12">
            <w:pPr>
              <w:spacing w:line="360" w:lineRule="auto"/>
              <w:rPr>
                <w:rFonts w:hint="eastAsia" w:ascii="宋体" w:hAnsi="宋体"/>
              </w:rPr>
            </w:pPr>
            <w:r>
              <w:rPr>
                <w:rFonts w:hint="eastAsia" w:ascii="宋体" w:hAnsi="宋体"/>
              </w:rPr>
              <w:t>联系电话：</w:t>
            </w:r>
            <w:r>
              <w:rPr>
                <w:rFonts w:hint="eastAsia" w:ascii="宋体" w:hAnsi="宋体"/>
                <w:lang w:val="en-US" w:eastAsia="zh-CN"/>
              </w:rPr>
              <w:t>13782132831</w:t>
            </w:r>
          </w:p>
          <w:p w14:paraId="1136498D">
            <w:pPr>
              <w:spacing w:line="360" w:lineRule="auto"/>
              <w:rPr>
                <w:rFonts w:hint="eastAsia" w:ascii="宋体" w:hAnsi="宋体"/>
              </w:rPr>
            </w:pPr>
            <w:r>
              <w:rPr>
                <w:rFonts w:hint="eastAsia" w:ascii="宋体" w:hAnsi="宋体"/>
              </w:rPr>
              <w:t>地址：河南省唐河县</w:t>
            </w:r>
            <w:r>
              <w:rPr>
                <w:rFonts w:hint="eastAsia" w:ascii="宋体" w:hAnsi="宋体"/>
                <w:lang w:val="en-US" w:eastAsia="zh-CN"/>
              </w:rPr>
              <w:t>泗洲</w:t>
            </w:r>
            <w:r>
              <w:rPr>
                <w:rFonts w:hint="eastAsia" w:ascii="宋体" w:hAnsi="宋体"/>
              </w:rPr>
              <w:t>街道新华路中段</w:t>
            </w:r>
          </w:p>
          <w:p w14:paraId="3D56D3BF">
            <w:pPr>
              <w:spacing w:line="360" w:lineRule="auto"/>
              <w:rPr>
                <w:rFonts w:ascii="宋体" w:hAnsi="宋体"/>
              </w:rPr>
            </w:pPr>
            <w:r>
              <w:rPr>
                <w:rFonts w:hint="eastAsia" w:ascii="宋体" w:hAnsi="宋体"/>
              </w:rPr>
              <w:t>电子邮件：</w:t>
            </w:r>
            <w:bookmarkStart w:id="48" w:name="EptNR_招标人的电子邮件1"/>
            <w:bookmarkEnd w:id="48"/>
            <w:r>
              <w:rPr>
                <w:rFonts w:hint="eastAsia" w:ascii="宋体" w:hAnsi="宋体" w:cs="宋体"/>
                <w:sz w:val="24"/>
              </w:rPr>
              <w:t>/</w:t>
            </w:r>
          </w:p>
        </w:tc>
      </w:tr>
      <w:tr w14:paraId="076DDB1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1C03C1F">
            <w:pPr>
              <w:jc w:val="center"/>
              <w:rPr>
                <w:rFonts w:ascii="宋体" w:hAnsi="宋体"/>
                <w:szCs w:val="21"/>
              </w:rPr>
            </w:pPr>
            <w:r>
              <w:rPr>
                <w:rFonts w:ascii="宋体" w:hAnsi="宋体"/>
                <w:szCs w:val="21"/>
              </w:rPr>
              <w:t>1.1.</w:t>
            </w:r>
            <w:r>
              <w:rPr>
                <w:rFonts w:hint="eastAsia"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287DA18E">
            <w:pPr>
              <w:jc w:val="center"/>
              <w:rPr>
                <w:rFonts w:ascii="宋体" w:hAnsi="宋体"/>
                <w:szCs w:val="21"/>
              </w:rPr>
            </w:pPr>
            <w:r>
              <w:rPr>
                <w:rFonts w:ascii="宋体" w:hAnsi="宋体"/>
                <w:szCs w:val="21"/>
              </w:rPr>
              <w:t>招标代理机构</w:t>
            </w:r>
          </w:p>
        </w:tc>
        <w:tc>
          <w:tcPr>
            <w:tcW w:w="7015" w:type="dxa"/>
            <w:tcBorders>
              <w:top w:val="single" w:color="auto" w:sz="4" w:space="0"/>
              <w:left w:val="single" w:color="auto" w:sz="4" w:space="0"/>
              <w:bottom w:val="single" w:color="auto" w:sz="4" w:space="0"/>
              <w:right w:val="single" w:color="auto" w:sz="4" w:space="0"/>
            </w:tcBorders>
            <w:vAlign w:val="center"/>
          </w:tcPr>
          <w:p w14:paraId="32E2F195">
            <w:pPr>
              <w:spacing w:line="360" w:lineRule="auto"/>
              <w:rPr>
                <w:rFonts w:hint="eastAsia" w:ascii="宋体" w:hAnsi="宋体"/>
                <w:lang w:eastAsia="zh-CN"/>
              </w:rPr>
            </w:pPr>
            <w:r>
              <w:rPr>
                <w:rFonts w:hint="eastAsia" w:ascii="宋体" w:hAnsi="宋体"/>
              </w:rPr>
              <w:t>招标代理机构：</w:t>
            </w:r>
            <w:r>
              <w:rPr>
                <w:rFonts w:hint="eastAsia" w:ascii="宋体" w:hAnsi="宋体"/>
                <w:lang w:eastAsia="zh-CN"/>
              </w:rPr>
              <w:t>河南合旺工程管理咨询有限公司</w:t>
            </w:r>
          </w:p>
          <w:p w14:paraId="24384667">
            <w:pPr>
              <w:spacing w:line="360" w:lineRule="auto"/>
              <w:rPr>
                <w:rFonts w:ascii="宋体" w:hAnsi="宋体"/>
              </w:rPr>
            </w:pPr>
            <w:r>
              <w:rPr>
                <w:rFonts w:hint="eastAsia" w:ascii="宋体" w:hAnsi="宋体"/>
              </w:rPr>
              <w:t>联系人：</w:t>
            </w:r>
            <w:r>
              <w:rPr>
                <w:rFonts w:hint="eastAsia" w:ascii="宋体" w:hAnsi="宋体"/>
                <w:lang w:val="en-US" w:eastAsia="zh-CN"/>
              </w:rPr>
              <w:t>王冬冬</w:t>
            </w:r>
          </w:p>
          <w:p w14:paraId="3B7A3CCC">
            <w:pPr>
              <w:spacing w:line="360" w:lineRule="auto"/>
              <w:rPr>
                <w:rFonts w:ascii="宋体" w:hAnsi="宋体"/>
              </w:rPr>
            </w:pPr>
            <w:r>
              <w:rPr>
                <w:rFonts w:hint="eastAsia" w:ascii="宋体" w:hAnsi="宋体"/>
              </w:rPr>
              <w:t>电 话：</w:t>
            </w:r>
            <w:r>
              <w:rPr>
                <w:rFonts w:hint="eastAsia" w:ascii="宋体" w:hAnsi="宋体"/>
                <w:lang w:val="en-US" w:eastAsia="zh-CN"/>
              </w:rPr>
              <w:t>17637789567</w:t>
            </w:r>
          </w:p>
          <w:p w14:paraId="1A008AEE">
            <w:pPr>
              <w:spacing w:line="360" w:lineRule="auto"/>
              <w:rPr>
                <w:rFonts w:ascii="宋体" w:hAnsi="宋体"/>
              </w:rPr>
            </w:pPr>
            <w:r>
              <w:rPr>
                <w:rFonts w:hint="eastAsia" w:ascii="宋体" w:hAnsi="宋体"/>
              </w:rPr>
              <w:t>地 址：</w:t>
            </w:r>
            <w:r>
              <w:rPr>
                <w:rFonts w:hint="eastAsia" w:ascii="宋体" w:hAnsi="宋体"/>
                <w:lang w:val="en-US" w:eastAsia="zh-CN"/>
              </w:rPr>
              <w:t>河南省南阳市卧龙区梅溪街道建设中路新经济产业园411-119</w:t>
            </w:r>
          </w:p>
          <w:p w14:paraId="140A3401">
            <w:pPr>
              <w:spacing w:line="360" w:lineRule="auto"/>
              <w:rPr>
                <w:rFonts w:ascii="宋体" w:hAnsi="宋体"/>
              </w:rPr>
            </w:pPr>
            <w:r>
              <w:rPr>
                <w:rFonts w:hint="eastAsia" w:ascii="宋体" w:hAnsi="宋体"/>
              </w:rPr>
              <w:t>电子邮件：</w:t>
            </w:r>
            <w:bookmarkStart w:id="49" w:name="EptNR_招标代理机构的电子邮件1"/>
            <w:bookmarkEnd w:id="49"/>
            <w:r>
              <w:rPr>
                <w:rFonts w:hint="eastAsia" w:ascii="宋体" w:hAnsi="宋体" w:cs="宋体"/>
                <w:sz w:val="24"/>
              </w:rPr>
              <w:t>/</w:t>
            </w:r>
          </w:p>
        </w:tc>
      </w:tr>
      <w:tr w14:paraId="37685C1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B02318F">
            <w:pPr>
              <w:jc w:val="center"/>
              <w:rPr>
                <w:rFonts w:ascii="宋体" w:hAnsi="宋体"/>
                <w:szCs w:val="21"/>
              </w:rPr>
            </w:pPr>
            <w:r>
              <w:rPr>
                <w:rFonts w:ascii="宋体" w:hAnsi="宋体"/>
                <w:szCs w:val="21"/>
              </w:rPr>
              <w:t>1.1.</w:t>
            </w:r>
            <w:r>
              <w:rPr>
                <w:rFonts w:hint="eastAsia"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16F21AFF">
            <w:pPr>
              <w:jc w:val="center"/>
              <w:rPr>
                <w:rFonts w:ascii="宋体" w:hAnsi="宋体" w:cs="宋体"/>
                <w:kern w:val="0"/>
                <w:szCs w:val="21"/>
              </w:rPr>
            </w:pPr>
            <w:r>
              <w:rPr>
                <w:rFonts w:ascii="宋体" w:hAnsi="宋体" w:cs="宋体"/>
                <w:kern w:val="0"/>
                <w:szCs w:val="21"/>
              </w:rPr>
              <w:t>项目名称</w:t>
            </w:r>
          </w:p>
        </w:tc>
        <w:tc>
          <w:tcPr>
            <w:tcW w:w="7015" w:type="dxa"/>
            <w:tcBorders>
              <w:top w:val="single" w:color="auto" w:sz="4" w:space="0"/>
              <w:left w:val="single" w:color="auto" w:sz="4" w:space="0"/>
              <w:bottom w:val="single" w:color="auto" w:sz="4" w:space="0"/>
              <w:right w:val="single" w:color="auto" w:sz="4" w:space="0"/>
            </w:tcBorders>
            <w:vAlign w:val="center"/>
          </w:tcPr>
          <w:p w14:paraId="6B78C841">
            <w:pPr>
              <w:widowControl/>
              <w:shd w:val="clear" w:color="auto" w:fill="FFFFFF"/>
              <w:spacing w:line="270" w:lineRule="atLeast"/>
              <w:rPr>
                <w:rFonts w:hint="eastAsia" w:ascii="宋体" w:hAnsi="宋体" w:eastAsia="宋体" w:cs="宋体"/>
                <w:kern w:val="0"/>
                <w:szCs w:val="21"/>
                <w:lang w:eastAsia="zh-CN"/>
              </w:rPr>
            </w:pPr>
            <w:r>
              <w:rPr>
                <w:rFonts w:hint="eastAsia" w:ascii="宋体" w:hAnsi="宋体"/>
                <w:kern w:val="0"/>
                <w:lang w:eastAsia="zh-CN"/>
              </w:rPr>
              <w:t>唐河县兴唐九年一贯制学校餐厅建设项目</w:t>
            </w:r>
          </w:p>
        </w:tc>
      </w:tr>
      <w:tr w14:paraId="5652AEF4">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A84B0C9">
            <w:pPr>
              <w:jc w:val="center"/>
              <w:rPr>
                <w:rFonts w:ascii="宋体" w:hAnsi="宋体"/>
                <w:szCs w:val="21"/>
              </w:rPr>
            </w:pPr>
            <w:r>
              <w:rPr>
                <w:rFonts w:ascii="宋体" w:hAnsi="宋体"/>
                <w:szCs w:val="21"/>
              </w:rPr>
              <w:t>1.1.</w:t>
            </w: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15B8D15D">
            <w:pPr>
              <w:jc w:val="center"/>
              <w:rPr>
                <w:rFonts w:ascii="宋体" w:hAnsi="宋体"/>
                <w:szCs w:val="21"/>
              </w:rPr>
            </w:pPr>
            <w:r>
              <w:rPr>
                <w:rFonts w:ascii="宋体" w:hAnsi="宋体"/>
                <w:szCs w:val="21"/>
              </w:rPr>
              <w:t>建设地点</w:t>
            </w:r>
          </w:p>
        </w:tc>
        <w:tc>
          <w:tcPr>
            <w:tcW w:w="7015" w:type="dxa"/>
            <w:tcBorders>
              <w:top w:val="single" w:color="auto" w:sz="4" w:space="0"/>
              <w:left w:val="single" w:color="auto" w:sz="4" w:space="0"/>
              <w:bottom w:val="single" w:color="auto" w:sz="4" w:space="0"/>
              <w:right w:val="single" w:color="auto" w:sz="4" w:space="0"/>
            </w:tcBorders>
            <w:vAlign w:val="center"/>
          </w:tcPr>
          <w:p w14:paraId="24C7DB56">
            <w:pPr>
              <w:spacing w:line="360" w:lineRule="auto"/>
              <w:rPr>
                <w:rFonts w:ascii="宋体" w:hAnsi="宋体"/>
              </w:rPr>
            </w:pPr>
            <w:r>
              <w:rPr>
                <w:rFonts w:hint="eastAsia" w:ascii="宋体" w:hAnsi="宋体"/>
                <w:lang w:eastAsia="zh-CN"/>
              </w:rPr>
              <w:t>唐河县新华路东侧,油城路南侧,盛产路西侧谢岗路北侧，唐河县兴唐九年一贯制学校校内</w:t>
            </w:r>
            <w:r>
              <w:rPr>
                <w:rFonts w:hint="eastAsia" w:ascii="宋体" w:hAnsi="宋体"/>
              </w:rPr>
              <w:t>。</w:t>
            </w:r>
          </w:p>
        </w:tc>
      </w:tr>
      <w:tr w14:paraId="6BE4067C">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B5A10C3">
            <w:pPr>
              <w:jc w:val="center"/>
              <w:rPr>
                <w:rFonts w:ascii="宋体" w:hAnsi="宋体"/>
                <w:szCs w:val="21"/>
              </w:rPr>
            </w:pPr>
            <w:r>
              <w:rPr>
                <w:rFonts w:ascii="宋体" w:hAnsi="宋体"/>
                <w:szCs w:val="21"/>
              </w:rPr>
              <w:t>1.2.1</w:t>
            </w:r>
          </w:p>
        </w:tc>
        <w:tc>
          <w:tcPr>
            <w:tcW w:w="1134" w:type="dxa"/>
            <w:tcBorders>
              <w:top w:val="single" w:color="auto" w:sz="4" w:space="0"/>
              <w:left w:val="single" w:color="auto" w:sz="4" w:space="0"/>
              <w:bottom w:val="single" w:color="auto" w:sz="4" w:space="0"/>
              <w:right w:val="single" w:color="auto" w:sz="4" w:space="0"/>
            </w:tcBorders>
            <w:vAlign w:val="center"/>
          </w:tcPr>
          <w:p w14:paraId="31A33C7F">
            <w:pPr>
              <w:jc w:val="center"/>
              <w:rPr>
                <w:rFonts w:ascii="宋体" w:hAnsi="宋体"/>
                <w:szCs w:val="21"/>
              </w:rPr>
            </w:pPr>
            <w:r>
              <w:rPr>
                <w:rFonts w:ascii="宋体" w:hAnsi="宋体"/>
                <w:szCs w:val="21"/>
              </w:rPr>
              <w:t>资金来源</w:t>
            </w:r>
          </w:p>
        </w:tc>
        <w:tc>
          <w:tcPr>
            <w:tcW w:w="7015" w:type="dxa"/>
            <w:tcBorders>
              <w:top w:val="single" w:color="auto" w:sz="4" w:space="0"/>
              <w:left w:val="single" w:color="auto" w:sz="4" w:space="0"/>
              <w:bottom w:val="single" w:color="auto" w:sz="4" w:space="0"/>
              <w:right w:val="single" w:color="auto" w:sz="4" w:space="0"/>
            </w:tcBorders>
            <w:vAlign w:val="center"/>
          </w:tcPr>
          <w:p w14:paraId="3ADA51D0">
            <w:pPr>
              <w:spacing w:line="360" w:lineRule="auto"/>
              <w:ind w:left="1749" w:hanging="1749" w:hangingChars="833"/>
              <w:rPr>
                <w:rFonts w:hint="eastAsia" w:ascii="宋体" w:hAnsi="宋体" w:eastAsia="宋体"/>
                <w:lang w:eastAsia="zh-CN"/>
              </w:rPr>
            </w:pPr>
            <w:r>
              <w:rPr>
                <w:rFonts w:hint="eastAsia" w:ascii="宋体" w:hAnsi="宋体" w:cs="宋体"/>
                <w:szCs w:val="21"/>
                <w:lang w:eastAsia="zh-CN"/>
              </w:rPr>
              <w:t>中央预算内专项补助资金和地方财政配套资金</w:t>
            </w:r>
          </w:p>
        </w:tc>
      </w:tr>
      <w:tr w14:paraId="0425362B">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666205D">
            <w:pPr>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3D5DF0EC">
            <w:pPr>
              <w:jc w:val="center"/>
              <w:rPr>
                <w:rFonts w:ascii="宋体" w:hAnsi="宋体"/>
                <w:szCs w:val="21"/>
              </w:rPr>
            </w:pPr>
            <w:r>
              <w:rPr>
                <w:rFonts w:ascii="宋体" w:hAnsi="宋体"/>
                <w:szCs w:val="21"/>
              </w:rPr>
              <w:t>招标范围</w:t>
            </w:r>
          </w:p>
        </w:tc>
        <w:tc>
          <w:tcPr>
            <w:tcW w:w="7015" w:type="dxa"/>
            <w:tcBorders>
              <w:top w:val="single" w:color="auto" w:sz="4" w:space="0"/>
              <w:left w:val="single" w:color="auto" w:sz="4" w:space="0"/>
              <w:bottom w:val="single" w:color="auto" w:sz="4" w:space="0"/>
              <w:right w:val="single" w:color="auto" w:sz="4" w:space="0"/>
            </w:tcBorders>
            <w:vAlign w:val="center"/>
          </w:tcPr>
          <w:p w14:paraId="7391E025">
            <w:pPr>
              <w:shd w:val="clear" w:color="auto" w:fill="FFFFFF"/>
              <w:autoSpaceDE w:val="0"/>
              <w:spacing w:line="360" w:lineRule="auto"/>
              <w:rPr>
                <w:rFonts w:asciiTheme="minorEastAsia" w:hAnsiTheme="minorEastAsia" w:eastAsiaTheme="minorEastAsia"/>
                <w:bCs/>
                <w:szCs w:val="21"/>
              </w:rPr>
            </w:pPr>
            <w:r>
              <w:rPr>
                <w:rFonts w:hint="eastAsia" w:ascii="宋体" w:hAnsi="宋体"/>
                <w:bCs/>
                <w:szCs w:val="21"/>
                <w:lang w:bidi="zh-CN"/>
              </w:rPr>
              <w:t>本项目施工阶段及缺陷责任期内全过程监理服务</w:t>
            </w:r>
            <w:r>
              <w:rPr>
                <w:rFonts w:hint="eastAsia" w:ascii="宋体" w:hAnsi="宋体"/>
                <w:bCs/>
                <w:szCs w:val="21"/>
              </w:rPr>
              <w:t>。</w:t>
            </w:r>
            <w:r>
              <w:rPr>
                <w:rFonts w:hint="eastAsia" w:asciiTheme="minorEastAsia" w:hAnsiTheme="minorEastAsia" w:eastAsiaTheme="minorEastAsia"/>
                <w:bCs/>
                <w:szCs w:val="21"/>
              </w:rPr>
              <w:t xml:space="preserve"> </w:t>
            </w:r>
          </w:p>
        </w:tc>
      </w:tr>
      <w:tr w14:paraId="396668FC">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4FBDB2B">
            <w:pPr>
              <w:jc w:val="center"/>
              <w:rPr>
                <w:rFonts w:ascii="宋体" w:hAnsi="宋体"/>
                <w:szCs w:val="21"/>
              </w:rPr>
            </w:pPr>
            <w:r>
              <w:rPr>
                <w:rFonts w:ascii="宋体" w:hAnsi="宋体"/>
                <w:szCs w:val="21"/>
              </w:rPr>
              <w:t>1.3.2</w:t>
            </w:r>
          </w:p>
        </w:tc>
        <w:tc>
          <w:tcPr>
            <w:tcW w:w="1134" w:type="dxa"/>
            <w:tcBorders>
              <w:top w:val="single" w:color="auto" w:sz="4" w:space="0"/>
              <w:left w:val="single" w:color="auto" w:sz="4" w:space="0"/>
              <w:bottom w:val="single" w:color="auto" w:sz="4" w:space="0"/>
              <w:right w:val="single" w:color="auto" w:sz="4" w:space="0"/>
            </w:tcBorders>
            <w:vAlign w:val="center"/>
          </w:tcPr>
          <w:p w14:paraId="4831B37D">
            <w:pPr>
              <w:jc w:val="center"/>
              <w:rPr>
                <w:rFonts w:ascii="宋体" w:hAnsi="宋体"/>
                <w:szCs w:val="21"/>
              </w:rPr>
            </w:pPr>
            <w:r>
              <w:rPr>
                <w:rFonts w:ascii="宋体" w:hAnsi="宋体"/>
                <w:szCs w:val="21"/>
              </w:rPr>
              <w:t>计划工期</w:t>
            </w:r>
            <w:r>
              <w:rPr>
                <w:rFonts w:hint="eastAsia" w:ascii="宋体" w:hAnsi="宋体"/>
                <w:szCs w:val="21"/>
              </w:rPr>
              <w:t>、监理期限</w:t>
            </w:r>
          </w:p>
        </w:tc>
        <w:tc>
          <w:tcPr>
            <w:tcW w:w="7015" w:type="dxa"/>
            <w:tcBorders>
              <w:top w:val="single" w:color="auto" w:sz="4" w:space="0"/>
              <w:left w:val="single" w:color="auto" w:sz="4" w:space="0"/>
              <w:bottom w:val="single" w:color="auto" w:sz="4" w:space="0"/>
              <w:right w:val="single" w:color="auto" w:sz="4" w:space="0"/>
            </w:tcBorders>
            <w:vAlign w:val="center"/>
          </w:tcPr>
          <w:p w14:paraId="400DEF8B">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计划工期：</w:t>
            </w:r>
            <w:r>
              <w:rPr>
                <w:rFonts w:hint="eastAsia" w:asciiTheme="minorEastAsia" w:hAnsiTheme="minorEastAsia" w:eastAsiaTheme="minorEastAsia"/>
                <w:szCs w:val="21"/>
                <w:lang w:val="en-US" w:eastAsia="zh-CN"/>
              </w:rPr>
              <w:t>240</w:t>
            </w:r>
            <w:r>
              <w:rPr>
                <w:rFonts w:hint="eastAsia" w:asciiTheme="minorEastAsia" w:hAnsiTheme="minorEastAsia" w:eastAsiaTheme="minorEastAsia"/>
                <w:szCs w:val="21"/>
              </w:rPr>
              <w:t>日历天；</w:t>
            </w:r>
          </w:p>
          <w:p w14:paraId="629E3BDC">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缺陷责任期：自竣工验收合格投入使用之日起12个月；</w:t>
            </w:r>
          </w:p>
          <w:p w14:paraId="107A9EA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质量保修期：按国家相关规定执行</w:t>
            </w:r>
          </w:p>
          <w:p w14:paraId="1FC8E4FD">
            <w:pPr>
              <w:pStyle w:val="2"/>
            </w:pPr>
            <w:r>
              <w:rPr>
                <w:rFonts w:hint="eastAsia"/>
              </w:rPr>
              <w:t>（注：监理期限包含计划工期和缺陷责任期，投标人在交易系统的投标函中填报</w:t>
            </w:r>
            <w:r>
              <w:rPr>
                <w:rFonts w:hint="eastAsia"/>
                <w:szCs w:val="21"/>
              </w:rPr>
              <w:t>工期时，若系统中只能填写数值，可只填写</w:t>
            </w:r>
            <w:r>
              <w:rPr>
                <w:rFonts w:hint="eastAsia"/>
                <w:szCs w:val="21"/>
                <w:lang w:val="en-US" w:eastAsia="zh-CN"/>
              </w:rPr>
              <w:t>240</w:t>
            </w:r>
            <w:r>
              <w:rPr>
                <w:rFonts w:hint="eastAsia"/>
                <w:szCs w:val="21"/>
              </w:rPr>
              <w:t>天或投标实际工期天数，在其他补充说明中填写完整的监理期限即可</w:t>
            </w:r>
            <w:r>
              <w:rPr>
                <w:rFonts w:hint="eastAsia"/>
              </w:rPr>
              <w:t>）</w:t>
            </w:r>
          </w:p>
        </w:tc>
      </w:tr>
      <w:tr w14:paraId="1FBC145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B1B3F38">
            <w:pPr>
              <w:jc w:val="center"/>
              <w:rPr>
                <w:rFonts w:ascii="宋体" w:hAnsi="宋体"/>
                <w:szCs w:val="21"/>
              </w:rPr>
            </w:pPr>
            <w:r>
              <w:rPr>
                <w:rFonts w:ascii="宋体" w:hAnsi="宋体"/>
                <w:szCs w:val="21"/>
              </w:rPr>
              <w:t>1.3.3</w:t>
            </w:r>
          </w:p>
        </w:tc>
        <w:tc>
          <w:tcPr>
            <w:tcW w:w="1134" w:type="dxa"/>
            <w:tcBorders>
              <w:top w:val="single" w:color="auto" w:sz="4" w:space="0"/>
              <w:left w:val="single" w:color="auto" w:sz="4" w:space="0"/>
              <w:bottom w:val="single" w:color="auto" w:sz="4" w:space="0"/>
              <w:right w:val="single" w:color="auto" w:sz="4" w:space="0"/>
            </w:tcBorders>
            <w:vAlign w:val="center"/>
          </w:tcPr>
          <w:p w14:paraId="547C4695">
            <w:pPr>
              <w:jc w:val="center"/>
              <w:rPr>
                <w:rFonts w:ascii="宋体" w:hAnsi="宋体"/>
                <w:szCs w:val="21"/>
              </w:rPr>
            </w:pPr>
            <w:r>
              <w:rPr>
                <w:rFonts w:ascii="宋体" w:hAnsi="宋体"/>
                <w:szCs w:val="21"/>
              </w:rPr>
              <w:t>质量要求</w:t>
            </w:r>
          </w:p>
        </w:tc>
        <w:tc>
          <w:tcPr>
            <w:tcW w:w="7015" w:type="dxa"/>
            <w:tcBorders>
              <w:top w:val="single" w:color="auto" w:sz="4" w:space="0"/>
              <w:left w:val="single" w:color="auto" w:sz="4" w:space="0"/>
              <w:bottom w:val="single" w:color="auto" w:sz="4" w:space="0"/>
              <w:right w:val="single" w:color="auto" w:sz="4" w:space="0"/>
            </w:tcBorders>
            <w:vAlign w:val="center"/>
          </w:tcPr>
          <w:p w14:paraId="4D69C473">
            <w:pPr>
              <w:rPr>
                <w:rFonts w:ascii="宋体" w:hAnsi="宋体"/>
                <w:szCs w:val="21"/>
              </w:rPr>
            </w:pPr>
            <w:r>
              <w:rPr>
                <w:rFonts w:hint="eastAsia" w:ascii="宋体" w:hAnsi="宋体"/>
                <w:szCs w:val="21"/>
              </w:rPr>
              <w:t>合格</w:t>
            </w:r>
          </w:p>
        </w:tc>
      </w:tr>
      <w:tr w14:paraId="58C2713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8464CD7">
            <w:pPr>
              <w:jc w:val="center"/>
              <w:rPr>
                <w:rFonts w:ascii="宋体" w:hAnsi="宋体"/>
                <w:szCs w:val="21"/>
              </w:rPr>
            </w:pPr>
            <w:r>
              <w:rPr>
                <w:rFonts w:ascii="宋体" w:hAnsi="宋体"/>
                <w:szCs w:val="21"/>
              </w:rPr>
              <w:t>1.4.1</w:t>
            </w:r>
          </w:p>
        </w:tc>
        <w:tc>
          <w:tcPr>
            <w:tcW w:w="1134" w:type="dxa"/>
            <w:tcBorders>
              <w:top w:val="single" w:color="auto" w:sz="4" w:space="0"/>
              <w:left w:val="single" w:color="auto" w:sz="4" w:space="0"/>
              <w:bottom w:val="single" w:color="auto" w:sz="4" w:space="0"/>
              <w:right w:val="single" w:color="auto" w:sz="4" w:space="0"/>
            </w:tcBorders>
            <w:vAlign w:val="center"/>
          </w:tcPr>
          <w:p w14:paraId="74ED8857">
            <w:pPr>
              <w:jc w:val="center"/>
              <w:rPr>
                <w:rFonts w:ascii="宋体" w:hAnsi="宋体"/>
                <w:szCs w:val="21"/>
              </w:rPr>
            </w:pPr>
            <w:r>
              <w:rPr>
                <w:rFonts w:ascii="宋体" w:hAnsi="宋体"/>
                <w:szCs w:val="21"/>
              </w:rPr>
              <w:t>投标人资</w:t>
            </w:r>
            <w:r>
              <w:rPr>
                <w:rFonts w:hint="eastAsia" w:ascii="宋体" w:hAnsi="宋体"/>
                <w:szCs w:val="21"/>
              </w:rPr>
              <w:t>格</w:t>
            </w:r>
            <w:r>
              <w:rPr>
                <w:rFonts w:ascii="宋体" w:hAnsi="宋体"/>
                <w:szCs w:val="21"/>
              </w:rPr>
              <w:t>条件</w:t>
            </w:r>
          </w:p>
        </w:tc>
        <w:tc>
          <w:tcPr>
            <w:tcW w:w="7015" w:type="dxa"/>
            <w:tcBorders>
              <w:top w:val="single" w:color="auto" w:sz="4" w:space="0"/>
              <w:left w:val="single" w:color="auto" w:sz="4" w:space="0"/>
              <w:bottom w:val="single" w:color="auto" w:sz="4" w:space="0"/>
              <w:right w:val="single" w:color="auto" w:sz="4" w:space="0"/>
            </w:tcBorders>
            <w:vAlign w:val="center"/>
          </w:tcPr>
          <w:p w14:paraId="035DCA1F">
            <w:pPr>
              <w:shd w:val="clear" w:color="auto" w:fill="FFFFFF"/>
              <w:autoSpaceDE w:val="0"/>
              <w:spacing w:line="360" w:lineRule="auto"/>
              <w:rPr>
                <w:rFonts w:asciiTheme="minorEastAsia" w:hAnsiTheme="minorEastAsia" w:eastAsiaTheme="minorEastAsia"/>
                <w:bCs/>
                <w:szCs w:val="21"/>
              </w:rPr>
            </w:pPr>
            <w:r>
              <w:rPr>
                <w:rFonts w:ascii="宋体" w:hAnsi="宋体"/>
                <w:bCs/>
                <w:szCs w:val="21"/>
              </w:rPr>
              <w:t>同招标公告投标人资格要求</w:t>
            </w:r>
          </w:p>
        </w:tc>
      </w:tr>
      <w:tr w14:paraId="1689E504">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84C4DD1">
            <w:pPr>
              <w:jc w:val="center"/>
              <w:rPr>
                <w:rFonts w:ascii="宋体" w:hAnsi="宋体"/>
                <w:szCs w:val="21"/>
              </w:rPr>
            </w:pPr>
            <w:r>
              <w:rPr>
                <w:rFonts w:hint="eastAsia" w:ascii="宋体" w:hAnsi="宋体"/>
                <w:szCs w:val="21"/>
              </w:rPr>
              <w:t>1.4.2</w:t>
            </w:r>
          </w:p>
        </w:tc>
        <w:tc>
          <w:tcPr>
            <w:tcW w:w="1134" w:type="dxa"/>
            <w:tcBorders>
              <w:top w:val="single" w:color="auto" w:sz="4" w:space="0"/>
              <w:left w:val="single" w:color="auto" w:sz="4" w:space="0"/>
              <w:bottom w:val="single" w:color="auto" w:sz="4" w:space="0"/>
              <w:right w:val="single" w:color="auto" w:sz="4" w:space="0"/>
            </w:tcBorders>
            <w:vAlign w:val="center"/>
          </w:tcPr>
          <w:p w14:paraId="3F5B68DF">
            <w:pPr>
              <w:jc w:val="center"/>
              <w:rPr>
                <w:rFonts w:ascii="宋体" w:hAnsi="宋体"/>
                <w:szCs w:val="21"/>
              </w:rPr>
            </w:pPr>
            <w:r>
              <w:rPr>
                <w:rFonts w:hint="eastAsia" w:ascii="宋体" w:hAnsi="宋体"/>
                <w:szCs w:val="21"/>
              </w:rPr>
              <w:t>是否接受联合体投标</w:t>
            </w:r>
          </w:p>
        </w:tc>
        <w:tc>
          <w:tcPr>
            <w:tcW w:w="7015" w:type="dxa"/>
            <w:tcBorders>
              <w:top w:val="single" w:color="auto" w:sz="4" w:space="0"/>
              <w:left w:val="single" w:color="auto" w:sz="4" w:space="0"/>
              <w:bottom w:val="single" w:color="auto" w:sz="4" w:space="0"/>
              <w:right w:val="single" w:color="auto" w:sz="4" w:space="0"/>
            </w:tcBorders>
            <w:vAlign w:val="center"/>
          </w:tcPr>
          <w:p w14:paraId="5194CF26">
            <w:pPr>
              <w:widowControl/>
              <w:contextualSpacing/>
              <w:jc w:val="left"/>
            </w:pPr>
            <w:r>
              <w:rPr>
                <w:rFonts w:hint="eastAsia"/>
              </w:rPr>
              <w:fldChar w:fldCharType="begin"/>
            </w:r>
            <w:r>
              <w:rPr>
                <w:rFonts w:hint="eastAsia"/>
              </w:rPr>
              <w:instrText xml:space="preserve"> eq \o\ac(□,√)</w:instrText>
            </w:r>
            <w:r>
              <w:rPr>
                <w:rFonts w:hint="eastAsia"/>
              </w:rPr>
              <w:fldChar w:fldCharType="end"/>
            </w:r>
            <w:r>
              <w:rPr>
                <w:rFonts w:hint="eastAsia"/>
              </w:rPr>
              <w:t>不接受</w:t>
            </w:r>
          </w:p>
          <w:p w14:paraId="7D477CA4">
            <w:pPr>
              <w:spacing w:line="400" w:lineRule="exact"/>
            </w:pPr>
            <w:r>
              <w:rPr>
                <w:rFonts w:hint="eastAsia" w:ascii="宋体" w:hAnsi="宋体"/>
              </w:rPr>
              <w:t>□接受，应满足下列要求：联合体资质按照联合体协议约定的分工认定。</w:t>
            </w:r>
          </w:p>
        </w:tc>
      </w:tr>
      <w:tr w14:paraId="1929A9BB">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749B976">
            <w:pPr>
              <w:jc w:val="center"/>
              <w:rPr>
                <w:rFonts w:ascii="宋体" w:hAnsi="宋体"/>
                <w:szCs w:val="21"/>
              </w:rPr>
            </w:pPr>
            <w:r>
              <w:rPr>
                <w:rFonts w:ascii="宋体" w:hAnsi="宋体"/>
                <w:szCs w:val="21"/>
              </w:rPr>
              <w:t>1.</w:t>
            </w:r>
            <w:r>
              <w:rPr>
                <w:rFonts w:hint="eastAsia"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6F1FEB74">
            <w:pPr>
              <w:jc w:val="center"/>
              <w:rPr>
                <w:rFonts w:ascii="宋体" w:hAnsi="宋体"/>
                <w:szCs w:val="21"/>
              </w:rPr>
            </w:pPr>
            <w:r>
              <w:rPr>
                <w:rFonts w:hint="eastAsia" w:ascii="宋体" w:hAnsi="宋体"/>
                <w:szCs w:val="21"/>
              </w:rPr>
              <w:t>踏勘现场</w:t>
            </w:r>
          </w:p>
        </w:tc>
        <w:tc>
          <w:tcPr>
            <w:tcW w:w="7015" w:type="dxa"/>
            <w:tcBorders>
              <w:top w:val="single" w:color="auto" w:sz="4" w:space="0"/>
              <w:left w:val="single" w:color="auto" w:sz="4" w:space="0"/>
              <w:bottom w:val="single" w:color="auto" w:sz="4" w:space="0"/>
              <w:right w:val="single" w:color="auto" w:sz="4" w:space="0"/>
            </w:tcBorders>
            <w:vAlign w:val="center"/>
          </w:tcPr>
          <w:p w14:paraId="12DF60EC">
            <w:pPr>
              <w:topLinePunct/>
              <w:rPr>
                <w:rFonts w:hAnsi="宋体" w:cs="宋体"/>
                <w:szCs w:val="21"/>
              </w:rPr>
            </w:pPr>
            <w:r>
              <w:rPr>
                <w:rFonts w:hint="eastAsia" w:hAnsi="宋体" w:cs="宋体"/>
                <w:b/>
                <w:szCs w:val="21"/>
              </w:rPr>
              <w:fldChar w:fldCharType="begin"/>
            </w:r>
            <w:r>
              <w:rPr>
                <w:rFonts w:hint="eastAsia" w:hAnsi="宋体" w:cs="宋体"/>
                <w:b/>
                <w:szCs w:val="21"/>
              </w:rPr>
              <w:instrText xml:space="preserve"> eq \o\ac(</w:instrText>
            </w:r>
            <w:r>
              <w:rPr>
                <w:rFonts w:hint="eastAsia" w:hAnsi="宋体" w:cs="宋体"/>
                <w:b/>
                <w:position w:val="-4"/>
                <w:sz w:val="31"/>
                <w:szCs w:val="21"/>
              </w:rPr>
              <w:instrText xml:space="preserve">□</w:instrText>
            </w:r>
            <w:r>
              <w:rPr>
                <w:rFonts w:hint="eastAsia" w:hAnsi="宋体" w:cs="宋体"/>
                <w:b/>
                <w:szCs w:val="21"/>
              </w:rPr>
              <w:instrText xml:space="preserve">,√)</w:instrText>
            </w:r>
            <w:r>
              <w:rPr>
                <w:rFonts w:hint="eastAsia" w:hAnsi="宋体" w:cs="宋体"/>
                <w:szCs w:val="21"/>
              </w:rPr>
              <w:fldChar w:fldCharType="end"/>
            </w:r>
            <w:r>
              <w:rPr>
                <w:rFonts w:hint="eastAsia" w:hAnsi="宋体" w:cs="宋体"/>
                <w:szCs w:val="21"/>
              </w:rPr>
              <w:t>不组织</w:t>
            </w:r>
          </w:p>
          <w:p w14:paraId="6542EF94">
            <w:pPr>
              <w:rPr>
                <w:rFonts w:ascii="宋体" w:hAnsi="宋体" w:cs="宋体"/>
                <w:kern w:val="0"/>
                <w:szCs w:val="21"/>
              </w:rPr>
            </w:pPr>
            <w:r>
              <w:rPr>
                <w:rFonts w:hint="eastAsia" w:ascii="宋体" w:hAnsi="宋体" w:cs="宋体"/>
                <w:szCs w:val="21"/>
              </w:rPr>
              <w:t>□组织，踏勘时间：               踏勘集中地点：</w:t>
            </w:r>
          </w:p>
        </w:tc>
      </w:tr>
      <w:tr w14:paraId="062E747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BDB80EA">
            <w:pPr>
              <w:jc w:val="center"/>
              <w:rPr>
                <w:rFonts w:ascii="宋体" w:hAnsi="宋体"/>
                <w:szCs w:val="21"/>
              </w:rPr>
            </w:pPr>
            <w:r>
              <w:rPr>
                <w:rFonts w:ascii="宋体" w:hAnsi="宋体"/>
                <w:szCs w:val="21"/>
              </w:rPr>
              <w:t>1.</w:t>
            </w:r>
            <w:r>
              <w:rPr>
                <w:rFonts w:hint="eastAsia"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583A66F3">
            <w:pPr>
              <w:jc w:val="center"/>
              <w:rPr>
                <w:rFonts w:ascii="宋体" w:hAnsi="宋体"/>
                <w:szCs w:val="21"/>
              </w:rPr>
            </w:pPr>
            <w:r>
              <w:rPr>
                <w:rFonts w:hint="eastAsia" w:ascii="宋体" w:hAnsi="宋体"/>
                <w:szCs w:val="21"/>
              </w:rPr>
              <w:t>投标预备会</w:t>
            </w:r>
          </w:p>
        </w:tc>
        <w:tc>
          <w:tcPr>
            <w:tcW w:w="7015" w:type="dxa"/>
            <w:tcBorders>
              <w:top w:val="single" w:color="auto" w:sz="4" w:space="0"/>
              <w:left w:val="single" w:color="auto" w:sz="4" w:space="0"/>
              <w:bottom w:val="single" w:color="auto" w:sz="4" w:space="0"/>
              <w:right w:val="single" w:color="auto" w:sz="4" w:space="0"/>
            </w:tcBorders>
            <w:vAlign w:val="center"/>
          </w:tcPr>
          <w:p w14:paraId="594F0D58">
            <w:pPr>
              <w:topLinePunct/>
              <w:rPr>
                <w:rFonts w:hAnsi="宋体" w:cs="宋体"/>
                <w:szCs w:val="21"/>
              </w:rPr>
            </w:pPr>
            <w:r>
              <w:rPr>
                <w:rFonts w:hint="eastAsia" w:hAnsi="宋体" w:cs="宋体"/>
                <w:b/>
                <w:szCs w:val="21"/>
              </w:rPr>
              <w:fldChar w:fldCharType="begin"/>
            </w:r>
            <w:r>
              <w:rPr>
                <w:rFonts w:hint="eastAsia" w:hAnsi="宋体" w:cs="宋体"/>
                <w:b/>
                <w:szCs w:val="21"/>
              </w:rPr>
              <w:instrText xml:space="preserve"> eq \o\ac(</w:instrText>
            </w:r>
            <w:r>
              <w:rPr>
                <w:rFonts w:hint="eastAsia" w:hAnsi="宋体" w:cs="宋体"/>
                <w:b/>
                <w:position w:val="-4"/>
                <w:sz w:val="31"/>
                <w:szCs w:val="21"/>
              </w:rPr>
              <w:instrText xml:space="preserve">□</w:instrText>
            </w:r>
            <w:r>
              <w:rPr>
                <w:rFonts w:hint="eastAsia" w:hAnsi="宋体" w:cs="宋体"/>
                <w:b/>
                <w:szCs w:val="21"/>
              </w:rPr>
              <w:instrText xml:space="preserve">,√)</w:instrText>
            </w:r>
            <w:r>
              <w:rPr>
                <w:rFonts w:hint="eastAsia" w:hAnsi="宋体" w:cs="宋体"/>
                <w:szCs w:val="21"/>
              </w:rPr>
              <w:fldChar w:fldCharType="end"/>
            </w:r>
            <w:r>
              <w:rPr>
                <w:rFonts w:hint="eastAsia" w:hAnsi="宋体" w:cs="宋体"/>
                <w:szCs w:val="21"/>
              </w:rPr>
              <w:t>不召开</w:t>
            </w:r>
          </w:p>
          <w:p w14:paraId="1EBFB507">
            <w:pPr>
              <w:rPr>
                <w:rFonts w:ascii="宋体" w:hAnsi="宋体" w:cs="宋体"/>
                <w:kern w:val="0"/>
                <w:szCs w:val="21"/>
              </w:rPr>
            </w:pPr>
            <w:r>
              <w:rPr>
                <w:rFonts w:hint="eastAsia" w:ascii="宋体" w:hAnsi="宋体" w:cs="宋体"/>
                <w:szCs w:val="21"/>
              </w:rPr>
              <w:t>□召开      召开时间：              召开地点：</w:t>
            </w:r>
          </w:p>
        </w:tc>
      </w:tr>
      <w:tr w14:paraId="6EA203E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692D94E">
            <w:pPr>
              <w:jc w:val="center"/>
              <w:rPr>
                <w:rFonts w:ascii="宋体" w:hAnsi="宋体"/>
                <w:szCs w:val="21"/>
              </w:rPr>
            </w:pPr>
            <w:r>
              <w:rPr>
                <w:rFonts w:hint="eastAsia" w:ascii="宋体" w:hAnsi="宋体"/>
                <w:szCs w:val="21"/>
              </w:rPr>
              <w:t>1.7</w:t>
            </w:r>
          </w:p>
        </w:tc>
        <w:tc>
          <w:tcPr>
            <w:tcW w:w="1134" w:type="dxa"/>
            <w:tcBorders>
              <w:top w:val="single" w:color="auto" w:sz="4" w:space="0"/>
              <w:left w:val="single" w:color="auto" w:sz="4" w:space="0"/>
              <w:bottom w:val="single" w:color="auto" w:sz="4" w:space="0"/>
              <w:right w:val="single" w:color="auto" w:sz="4" w:space="0"/>
            </w:tcBorders>
            <w:vAlign w:val="center"/>
          </w:tcPr>
          <w:p w14:paraId="0F5AAB08">
            <w:pPr>
              <w:jc w:val="center"/>
              <w:rPr>
                <w:rFonts w:ascii="宋体" w:hAnsi="宋体"/>
                <w:szCs w:val="21"/>
              </w:rPr>
            </w:pPr>
            <w:r>
              <w:rPr>
                <w:rFonts w:hint="eastAsia" w:ascii="宋体" w:hAnsi="宋体"/>
                <w:szCs w:val="21"/>
              </w:rPr>
              <w:t>偏离</w:t>
            </w:r>
          </w:p>
        </w:tc>
        <w:tc>
          <w:tcPr>
            <w:tcW w:w="7015" w:type="dxa"/>
            <w:tcBorders>
              <w:top w:val="single" w:color="auto" w:sz="4" w:space="0"/>
              <w:left w:val="single" w:color="auto" w:sz="4" w:space="0"/>
              <w:bottom w:val="single" w:color="auto" w:sz="4" w:space="0"/>
              <w:right w:val="single" w:color="auto" w:sz="4" w:space="0"/>
            </w:tcBorders>
            <w:vAlign w:val="center"/>
          </w:tcPr>
          <w:p w14:paraId="3BF35A2F">
            <w:pPr>
              <w:topLinePunct/>
              <w:rPr>
                <w:rFonts w:hAnsi="宋体"/>
                <w:szCs w:val="21"/>
              </w:rPr>
            </w:pPr>
            <w:r>
              <w:rPr>
                <w:rFonts w:hint="eastAsia" w:hAnsi="宋体" w:cs="宋体"/>
                <w:b/>
                <w:szCs w:val="21"/>
              </w:rPr>
              <w:fldChar w:fldCharType="begin"/>
            </w:r>
            <w:r>
              <w:rPr>
                <w:rFonts w:hint="eastAsia" w:hAnsi="宋体" w:cs="宋体"/>
                <w:b/>
                <w:szCs w:val="21"/>
              </w:rPr>
              <w:instrText xml:space="preserve"> eq \o\ac(</w:instrText>
            </w:r>
            <w:r>
              <w:rPr>
                <w:rFonts w:hint="eastAsia" w:hAnsi="宋体" w:cs="宋体"/>
                <w:b/>
                <w:position w:val="-4"/>
                <w:sz w:val="31"/>
                <w:szCs w:val="21"/>
              </w:rPr>
              <w:instrText xml:space="preserve">□</w:instrText>
            </w:r>
            <w:r>
              <w:rPr>
                <w:rFonts w:hint="eastAsia" w:hAnsi="宋体" w:cs="宋体"/>
                <w:b/>
                <w:szCs w:val="21"/>
              </w:rPr>
              <w:instrText xml:space="preserve">,√)</w:instrText>
            </w:r>
            <w:r>
              <w:rPr>
                <w:rFonts w:hint="eastAsia" w:hAnsi="宋体" w:cs="宋体"/>
                <w:szCs w:val="21"/>
              </w:rPr>
              <w:fldChar w:fldCharType="end"/>
            </w:r>
            <w:r>
              <w:rPr>
                <w:rFonts w:hint="eastAsia" w:hAnsi="宋体" w:cs="宋体"/>
                <w:szCs w:val="21"/>
              </w:rPr>
              <w:t>不允许□允许</w:t>
            </w:r>
          </w:p>
        </w:tc>
      </w:tr>
      <w:tr w14:paraId="2E938F91">
        <w:tblPrEx>
          <w:tblCellMar>
            <w:top w:w="0" w:type="dxa"/>
            <w:left w:w="108" w:type="dxa"/>
            <w:bottom w:w="0" w:type="dxa"/>
            <w:right w:w="108" w:type="dxa"/>
          </w:tblCellMar>
        </w:tblPrEx>
        <w:trPr>
          <w:trHeight w:val="739" w:hRule="atLeast"/>
        </w:trPr>
        <w:tc>
          <w:tcPr>
            <w:tcW w:w="959" w:type="dxa"/>
            <w:tcBorders>
              <w:top w:val="single" w:color="auto" w:sz="4" w:space="0"/>
              <w:left w:val="single" w:color="auto" w:sz="4" w:space="0"/>
              <w:bottom w:val="single" w:color="auto" w:sz="4" w:space="0"/>
              <w:right w:val="single" w:color="auto" w:sz="4" w:space="0"/>
            </w:tcBorders>
            <w:vAlign w:val="center"/>
          </w:tcPr>
          <w:p w14:paraId="15ADF45E">
            <w:pPr>
              <w:jc w:val="center"/>
              <w:rPr>
                <w:rFonts w:ascii="宋体" w:hAnsi="宋体"/>
                <w:szCs w:val="21"/>
              </w:rPr>
            </w:pPr>
            <w:r>
              <w:rPr>
                <w:rFonts w:ascii="宋体" w:hAnsi="宋体"/>
                <w:szCs w:val="21"/>
              </w:rPr>
              <w:t>2.1</w:t>
            </w:r>
          </w:p>
        </w:tc>
        <w:tc>
          <w:tcPr>
            <w:tcW w:w="1134" w:type="dxa"/>
            <w:tcBorders>
              <w:top w:val="single" w:color="auto" w:sz="4" w:space="0"/>
              <w:left w:val="single" w:color="auto" w:sz="4" w:space="0"/>
              <w:bottom w:val="single" w:color="auto" w:sz="4" w:space="0"/>
              <w:right w:val="single" w:color="auto" w:sz="4" w:space="0"/>
            </w:tcBorders>
            <w:vAlign w:val="center"/>
          </w:tcPr>
          <w:p w14:paraId="5FF688DD">
            <w:pPr>
              <w:jc w:val="center"/>
              <w:rPr>
                <w:rFonts w:ascii="宋体" w:hAnsi="宋体"/>
                <w:szCs w:val="21"/>
              </w:rPr>
            </w:pPr>
            <w:r>
              <w:rPr>
                <w:rFonts w:ascii="宋体" w:hAnsi="宋体"/>
                <w:szCs w:val="21"/>
              </w:rPr>
              <w:t>构成招标文件的其他材料</w:t>
            </w:r>
          </w:p>
        </w:tc>
        <w:tc>
          <w:tcPr>
            <w:tcW w:w="7015" w:type="dxa"/>
            <w:tcBorders>
              <w:top w:val="single" w:color="auto" w:sz="4" w:space="0"/>
              <w:left w:val="single" w:color="auto" w:sz="4" w:space="0"/>
              <w:bottom w:val="single" w:color="auto" w:sz="4" w:space="0"/>
              <w:right w:val="single" w:color="auto" w:sz="4" w:space="0"/>
            </w:tcBorders>
            <w:vAlign w:val="center"/>
          </w:tcPr>
          <w:p w14:paraId="68B0CE22">
            <w:pPr>
              <w:rPr>
                <w:rFonts w:ascii="宋体" w:hAnsi="宋体"/>
                <w:szCs w:val="21"/>
              </w:rPr>
            </w:pPr>
            <w:r>
              <w:rPr>
                <w:rFonts w:hint="eastAsia"/>
                <w:szCs w:val="21"/>
              </w:rPr>
              <w:t>投标文件澄清、说明或补正及其他投标人认为有必要提供的材料。</w:t>
            </w:r>
          </w:p>
        </w:tc>
      </w:tr>
      <w:tr w14:paraId="557AC858">
        <w:tblPrEx>
          <w:tblCellMar>
            <w:top w:w="0" w:type="dxa"/>
            <w:left w:w="108" w:type="dxa"/>
            <w:bottom w:w="0" w:type="dxa"/>
            <w:right w:w="108" w:type="dxa"/>
          </w:tblCellMar>
        </w:tblPrEx>
        <w:trPr>
          <w:trHeight w:val="1270" w:hRule="atLeast"/>
        </w:trPr>
        <w:tc>
          <w:tcPr>
            <w:tcW w:w="959" w:type="dxa"/>
            <w:tcBorders>
              <w:top w:val="single" w:color="auto" w:sz="4" w:space="0"/>
              <w:left w:val="single" w:color="auto" w:sz="4" w:space="0"/>
              <w:bottom w:val="single" w:color="auto" w:sz="4" w:space="0"/>
              <w:right w:val="single" w:color="auto" w:sz="4" w:space="0"/>
            </w:tcBorders>
            <w:vAlign w:val="center"/>
          </w:tcPr>
          <w:p w14:paraId="0F75B8E0">
            <w:pPr>
              <w:jc w:val="center"/>
              <w:rPr>
                <w:rFonts w:ascii="宋体" w:hAnsi="宋体"/>
                <w:szCs w:val="21"/>
              </w:rPr>
            </w:pPr>
            <w:r>
              <w:rPr>
                <w:rFonts w:ascii="宋体" w:hAnsi="宋体"/>
                <w:szCs w:val="21"/>
              </w:rPr>
              <w:t>2.2.1</w:t>
            </w:r>
          </w:p>
        </w:tc>
        <w:tc>
          <w:tcPr>
            <w:tcW w:w="1134" w:type="dxa"/>
            <w:tcBorders>
              <w:top w:val="single" w:color="auto" w:sz="4" w:space="0"/>
              <w:left w:val="single" w:color="auto" w:sz="4" w:space="0"/>
              <w:bottom w:val="single" w:color="auto" w:sz="4" w:space="0"/>
              <w:right w:val="single" w:color="auto" w:sz="4" w:space="0"/>
            </w:tcBorders>
            <w:vAlign w:val="center"/>
          </w:tcPr>
          <w:p w14:paraId="2C5CF844">
            <w:pPr>
              <w:spacing w:line="360" w:lineRule="exact"/>
              <w:jc w:val="center"/>
              <w:rPr>
                <w:rFonts w:ascii="宋体" w:hAnsi="宋体"/>
                <w:b/>
                <w:bCs/>
                <w:szCs w:val="21"/>
              </w:rPr>
            </w:pPr>
            <w:r>
              <w:rPr>
                <w:rFonts w:hint="eastAsia" w:ascii="宋体" w:hAnsi="宋体" w:cs="宋体"/>
                <w:szCs w:val="21"/>
              </w:rPr>
              <w:t>投标人提出问题的截止时间</w:t>
            </w:r>
          </w:p>
        </w:tc>
        <w:tc>
          <w:tcPr>
            <w:tcW w:w="7015" w:type="dxa"/>
            <w:tcBorders>
              <w:top w:val="single" w:color="auto" w:sz="4" w:space="0"/>
              <w:left w:val="single" w:color="auto" w:sz="4" w:space="0"/>
              <w:bottom w:val="single" w:color="auto" w:sz="4" w:space="0"/>
              <w:right w:val="single" w:color="auto" w:sz="4" w:space="0"/>
            </w:tcBorders>
            <w:vAlign w:val="center"/>
          </w:tcPr>
          <w:p w14:paraId="1CE1CBCF">
            <w:pPr>
              <w:spacing w:line="360" w:lineRule="exact"/>
              <w:rPr>
                <w:rFonts w:ascii="宋体" w:hAnsi="宋体"/>
                <w:b/>
                <w:bCs/>
                <w:szCs w:val="21"/>
              </w:rPr>
            </w:pPr>
            <w:r>
              <w:rPr>
                <w:rFonts w:hint="eastAsia" w:ascii="宋体" w:hAnsi="宋体" w:cs="宋体"/>
                <w:szCs w:val="21"/>
              </w:rPr>
              <w:t>递交投标文件的截止时间15日前</w:t>
            </w:r>
          </w:p>
        </w:tc>
      </w:tr>
      <w:tr w14:paraId="5798A74F">
        <w:tblPrEx>
          <w:tblCellMar>
            <w:top w:w="0" w:type="dxa"/>
            <w:left w:w="108" w:type="dxa"/>
            <w:bottom w:w="0" w:type="dxa"/>
            <w:right w:w="108" w:type="dxa"/>
          </w:tblCellMar>
        </w:tblPrEx>
        <w:trPr>
          <w:trHeight w:val="399" w:hRule="atLeast"/>
        </w:trPr>
        <w:tc>
          <w:tcPr>
            <w:tcW w:w="959" w:type="dxa"/>
            <w:tcBorders>
              <w:top w:val="single" w:color="auto" w:sz="4" w:space="0"/>
              <w:left w:val="single" w:color="auto" w:sz="4" w:space="0"/>
              <w:bottom w:val="single" w:color="auto" w:sz="4" w:space="0"/>
              <w:right w:val="single" w:color="auto" w:sz="4" w:space="0"/>
            </w:tcBorders>
            <w:vAlign w:val="center"/>
          </w:tcPr>
          <w:p w14:paraId="33F4C603">
            <w:pPr>
              <w:jc w:val="center"/>
              <w:rPr>
                <w:rFonts w:ascii="宋体" w:hAnsi="宋体"/>
                <w:szCs w:val="21"/>
              </w:rPr>
            </w:pPr>
            <w:r>
              <w:rPr>
                <w:rFonts w:ascii="宋体" w:hAnsi="宋体"/>
                <w:szCs w:val="21"/>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7D806742">
            <w:pPr>
              <w:jc w:val="center"/>
              <w:rPr>
                <w:rFonts w:ascii="宋体" w:hAnsi="宋体"/>
                <w:szCs w:val="21"/>
              </w:rPr>
            </w:pPr>
            <w:r>
              <w:rPr>
                <w:rFonts w:ascii="宋体" w:hAnsi="宋体"/>
                <w:szCs w:val="21"/>
              </w:rPr>
              <w:t>投标截止时间</w:t>
            </w:r>
          </w:p>
        </w:tc>
        <w:tc>
          <w:tcPr>
            <w:tcW w:w="7015" w:type="dxa"/>
            <w:tcBorders>
              <w:top w:val="single" w:color="auto" w:sz="4" w:space="0"/>
              <w:left w:val="single" w:color="auto" w:sz="4" w:space="0"/>
              <w:bottom w:val="single" w:color="auto" w:sz="4" w:space="0"/>
              <w:right w:val="single" w:color="auto" w:sz="4" w:space="0"/>
            </w:tcBorders>
            <w:vAlign w:val="center"/>
          </w:tcPr>
          <w:p w14:paraId="7953DEF5">
            <w:pPr>
              <w:rPr>
                <w:rFonts w:ascii="宋体" w:hAnsi="宋体"/>
                <w:szCs w:val="21"/>
              </w:rPr>
            </w:pPr>
            <w:r>
              <w:rPr>
                <w:rFonts w:hint="eastAsia" w:asciiTheme="minorEastAsia" w:hAnsiTheme="minorEastAsia" w:eastAsiaTheme="minorEastAsia"/>
                <w:b/>
                <w:bCs/>
                <w:szCs w:val="21"/>
                <w:highlight w:val="none"/>
              </w:rPr>
              <w:t>2024年</w:t>
            </w:r>
            <w:r>
              <w:rPr>
                <w:rFonts w:hint="eastAsia" w:asciiTheme="minorEastAsia" w:hAnsiTheme="minorEastAsia" w:eastAsiaTheme="minorEastAsia"/>
                <w:b/>
                <w:highlight w:val="none"/>
              </w:rPr>
              <w:t xml:space="preserve"> </w:t>
            </w:r>
            <w:r>
              <w:rPr>
                <w:rFonts w:hint="eastAsia" w:asciiTheme="minorEastAsia" w:hAnsiTheme="minorEastAsia" w:eastAsiaTheme="minorEastAsia"/>
                <w:b/>
                <w:highlight w:val="none"/>
                <w:lang w:val="en-US" w:eastAsia="zh-CN"/>
              </w:rPr>
              <w:t xml:space="preserve">10 </w:t>
            </w:r>
            <w:r>
              <w:rPr>
                <w:rFonts w:hint="eastAsia" w:asciiTheme="minorEastAsia" w:hAnsiTheme="minorEastAsia" w:eastAsiaTheme="minorEastAsia"/>
                <w:b/>
                <w:bCs/>
                <w:szCs w:val="21"/>
                <w:highlight w:val="none"/>
              </w:rPr>
              <w:t>月</w:t>
            </w:r>
            <w:r>
              <w:rPr>
                <w:rFonts w:hint="eastAsia" w:asciiTheme="minorEastAsia" w:hAnsiTheme="minorEastAsia" w:eastAsiaTheme="minorEastAsia"/>
                <w:b/>
                <w:highlight w:val="none"/>
              </w:rPr>
              <w:t xml:space="preserve"> </w:t>
            </w:r>
            <w:r>
              <w:rPr>
                <w:rFonts w:hint="eastAsia" w:asciiTheme="minorEastAsia" w:hAnsiTheme="minorEastAsia" w:eastAsiaTheme="minorEastAsia"/>
                <w:b/>
                <w:highlight w:val="none"/>
                <w:lang w:val="en-US" w:eastAsia="zh-CN"/>
              </w:rPr>
              <w:t xml:space="preserve">11 </w:t>
            </w:r>
            <w:r>
              <w:rPr>
                <w:rFonts w:hint="eastAsia" w:asciiTheme="minorEastAsia" w:hAnsiTheme="minorEastAsia" w:eastAsiaTheme="minorEastAsia"/>
                <w:b/>
                <w:bCs/>
                <w:szCs w:val="21"/>
                <w:highlight w:val="none"/>
              </w:rPr>
              <w:t>日</w:t>
            </w:r>
            <w:r>
              <w:rPr>
                <w:rFonts w:hint="eastAsia" w:asciiTheme="minorEastAsia" w:hAnsiTheme="minorEastAsia" w:eastAsiaTheme="minorEastAsia"/>
                <w:b/>
                <w:highlight w:val="none"/>
              </w:rPr>
              <w:t xml:space="preserve"> 9 </w:t>
            </w:r>
            <w:r>
              <w:rPr>
                <w:rFonts w:hint="eastAsia" w:asciiTheme="minorEastAsia" w:hAnsiTheme="minorEastAsia" w:eastAsiaTheme="minorEastAsia"/>
                <w:b/>
                <w:bCs/>
                <w:szCs w:val="21"/>
                <w:highlight w:val="none"/>
              </w:rPr>
              <w:t>时</w:t>
            </w:r>
            <w:r>
              <w:rPr>
                <w:rFonts w:hint="eastAsia" w:asciiTheme="minorEastAsia" w:hAnsiTheme="minorEastAsia" w:eastAsiaTheme="minorEastAsia"/>
                <w:b/>
                <w:highlight w:val="none"/>
              </w:rPr>
              <w:t xml:space="preserve"> 30</w:t>
            </w:r>
            <w:r>
              <w:rPr>
                <w:rFonts w:hint="eastAsia" w:asciiTheme="minorEastAsia" w:hAnsiTheme="minorEastAsia" w:eastAsiaTheme="minorEastAsia"/>
                <w:b/>
                <w:bCs/>
                <w:szCs w:val="21"/>
                <w:highlight w:val="none"/>
              </w:rPr>
              <w:t>分</w:t>
            </w:r>
            <w:r>
              <w:rPr>
                <w:rFonts w:asciiTheme="minorEastAsia" w:hAnsiTheme="minorEastAsia" w:eastAsiaTheme="minorEastAsia"/>
                <w:sz w:val="24"/>
                <w:highlight w:val="none"/>
              </w:rPr>
              <w:t>（北京</w:t>
            </w:r>
            <w:r>
              <w:rPr>
                <w:sz w:val="24"/>
                <w:highlight w:val="none"/>
              </w:rPr>
              <w:t>时间）</w:t>
            </w:r>
          </w:p>
        </w:tc>
      </w:tr>
      <w:tr w14:paraId="714DF66E">
        <w:tblPrEx>
          <w:tblCellMar>
            <w:top w:w="0" w:type="dxa"/>
            <w:left w:w="108" w:type="dxa"/>
            <w:bottom w:w="0" w:type="dxa"/>
            <w:right w:w="108" w:type="dxa"/>
          </w:tblCellMar>
        </w:tblPrEx>
        <w:trPr>
          <w:trHeight w:val="487" w:hRule="atLeast"/>
        </w:trPr>
        <w:tc>
          <w:tcPr>
            <w:tcW w:w="959" w:type="dxa"/>
            <w:tcBorders>
              <w:top w:val="single" w:color="auto" w:sz="4" w:space="0"/>
              <w:left w:val="single" w:color="auto" w:sz="4" w:space="0"/>
              <w:bottom w:val="single" w:color="auto" w:sz="4" w:space="0"/>
              <w:right w:val="single" w:color="auto" w:sz="4" w:space="0"/>
            </w:tcBorders>
            <w:vAlign w:val="center"/>
          </w:tcPr>
          <w:p w14:paraId="03552932">
            <w:pPr>
              <w:jc w:val="center"/>
              <w:rPr>
                <w:rFonts w:ascii="宋体" w:hAnsi="宋体"/>
                <w:szCs w:val="21"/>
              </w:rPr>
            </w:pPr>
            <w:r>
              <w:rPr>
                <w:rFonts w:ascii="宋体" w:hAnsi="宋体"/>
                <w:szCs w:val="21"/>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2DEB68B0">
            <w:pPr>
              <w:spacing w:line="360" w:lineRule="exact"/>
              <w:jc w:val="center"/>
              <w:rPr>
                <w:rFonts w:ascii="宋体" w:hAnsi="宋体"/>
                <w:szCs w:val="21"/>
              </w:rPr>
            </w:pPr>
            <w:r>
              <w:rPr>
                <w:rFonts w:hint="eastAsia" w:ascii="宋体" w:hAnsi="宋体" w:cs="宋体"/>
                <w:szCs w:val="21"/>
              </w:rPr>
              <w:t>招标人书面澄清的时间</w:t>
            </w:r>
          </w:p>
        </w:tc>
        <w:tc>
          <w:tcPr>
            <w:tcW w:w="7015" w:type="dxa"/>
            <w:tcBorders>
              <w:top w:val="single" w:color="auto" w:sz="4" w:space="0"/>
              <w:left w:val="single" w:color="auto" w:sz="4" w:space="0"/>
              <w:bottom w:val="single" w:color="auto" w:sz="4" w:space="0"/>
              <w:right w:val="single" w:color="auto" w:sz="4" w:space="0"/>
            </w:tcBorders>
            <w:vAlign w:val="center"/>
          </w:tcPr>
          <w:p w14:paraId="29EAC4C2">
            <w:pPr>
              <w:spacing w:line="360" w:lineRule="exact"/>
              <w:rPr>
                <w:rFonts w:ascii="宋体" w:hAnsi="宋体"/>
                <w:szCs w:val="21"/>
              </w:rPr>
            </w:pPr>
            <w:r>
              <w:rPr>
                <w:rFonts w:hint="eastAsia" w:ascii="宋体" w:hAnsi="宋体" w:cs="宋体"/>
                <w:szCs w:val="21"/>
              </w:rPr>
              <w:t>递交投标文件的截止时间15日前</w:t>
            </w:r>
          </w:p>
        </w:tc>
      </w:tr>
      <w:tr w14:paraId="2CFEA05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A59E153">
            <w:pPr>
              <w:jc w:val="center"/>
              <w:rPr>
                <w:rFonts w:ascii="宋体" w:hAnsi="宋体"/>
                <w:szCs w:val="21"/>
              </w:rPr>
            </w:pPr>
            <w:r>
              <w:rPr>
                <w:rFonts w:ascii="宋体" w:hAnsi="宋体"/>
                <w:szCs w:val="21"/>
              </w:rPr>
              <w:t>3.1</w:t>
            </w:r>
          </w:p>
        </w:tc>
        <w:tc>
          <w:tcPr>
            <w:tcW w:w="1134" w:type="dxa"/>
            <w:tcBorders>
              <w:top w:val="single" w:color="auto" w:sz="4" w:space="0"/>
              <w:left w:val="single" w:color="auto" w:sz="4" w:space="0"/>
              <w:bottom w:val="single" w:color="auto" w:sz="4" w:space="0"/>
              <w:right w:val="single" w:color="auto" w:sz="4" w:space="0"/>
            </w:tcBorders>
            <w:vAlign w:val="center"/>
          </w:tcPr>
          <w:p w14:paraId="7A96905A">
            <w:pPr>
              <w:jc w:val="center"/>
              <w:rPr>
                <w:rFonts w:ascii="宋体" w:hAnsi="宋体"/>
                <w:szCs w:val="21"/>
              </w:rPr>
            </w:pPr>
            <w:r>
              <w:rPr>
                <w:rFonts w:ascii="宋体" w:hAnsi="宋体"/>
                <w:szCs w:val="21"/>
              </w:rPr>
              <w:t>构成投标文件的其他材料</w:t>
            </w:r>
          </w:p>
        </w:tc>
        <w:tc>
          <w:tcPr>
            <w:tcW w:w="7015" w:type="dxa"/>
            <w:tcBorders>
              <w:top w:val="single" w:color="auto" w:sz="4" w:space="0"/>
              <w:left w:val="single" w:color="auto" w:sz="4" w:space="0"/>
              <w:bottom w:val="single" w:color="auto" w:sz="4" w:space="0"/>
              <w:right w:val="single" w:color="auto" w:sz="4" w:space="0"/>
            </w:tcBorders>
            <w:vAlign w:val="center"/>
          </w:tcPr>
          <w:p w14:paraId="097CA94A">
            <w:pPr>
              <w:rPr>
                <w:rFonts w:ascii="宋体" w:hAnsi="宋体"/>
                <w:szCs w:val="21"/>
              </w:rPr>
            </w:pPr>
            <w:r>
              <w:rPr>
                <w:rFonts w:hint="eastAsia"/>
                <w:szCs w:val="21"/>
              </w:rPr>
              <w:t>投标人认为有必要提供的材料</w:t>
            </w:r>
          </w:p>
        </w:tc>
      </w:tr>
      <w:tr w14:paraId="45906D48">
        <w:tblPrEx>
          <w:tblCellMar>
            <w:top w:w="0" w:type="dxa"/>
            <w:left w:w="108" w:type="dxa"/>
            <w:bottom w:w="0" w:type="dxa"/>
            <w:right w:w="108" w:type="dxa"/>
          </w:tblCellMar>
        </w:tblPrEx>
        <w:trPr>
          <w:trHeight w:val="904" w:hRule="atLeast"/>
        </w:trPr>
        <w:tc>
          <w:tcPr>
            <w:tcW w:w="959" w:type="dxa"/>
            <w:tcBorders>
              <w:top w:val="single" w:color="auto" w:sz="4" w:space="0"/>
              <w:left w:val="single" w:color="auto" w:sz="4" w:space="0"/>
              <w:bottom w:val="single" w:color="auto" w:sz="4" w:space="0"/>
              <w:right w:val="single" w:color="auto" w:sz="4" w:space="0"/>
            </w:tcBorders>
            <w:vAlign w:val="center"/>
          </w:tcPr>
          <w:p w14:paraId="3F6C5D21">
            <w:pPr>
              <w:jc w:val="center"/>
              <w:rPr>
                <w:rFonts w:ascii="宋体" w:hAnsi="宋体"/>
                <w:szCs w:val="21"/>
              </w:rPr>
            </w:pPr>
            <w:r>
              <w:rPr>
                <w:rFonts w:hint="eastAsia" w:ascii="宋体" w:hAnsi="宋体"/>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14:paraId="3DEDBAA4">
            <w:pPr>
              <w:jc w:val="center"/>
              <w:rPr>
                <w:rFonts w:ascii="宋体" w:hAnsi="宋体"/>
                <w:szCs w:val="21"/>
              </w:rPr>
            </w:pPr>
            <w:r>
              <w:rPr>
                <w:rFonts w:hint="eastAsia" w:ascii="宋体" w:hAnsi="宋体"/>
                <w:szCs w:val="21"/>
              </w:rPr>
              <w:t>招标控制价</w:t>
            </w:r>
          </w:p>
        </w:tc>
        <w:tc>
          <w:tcPr>
            <w:tcW w:w="7015" w:type="dxa"/>
            <w:tcBorders>
              <w:top w:val="single" w:color="auto" w:sz="4" w:space="0"/>
              <w:left w:val="single" w:color="auto" w:sz="4" w:space="0"/>
              <w:bottom w:val="single" w:color="auto" w:sz="4" w:space="0"/>
              <w:right w:val="single" w:color="auto" w:sz="4" w:space="0"/>
            </w:tcBorders>
            <w:vAlign w:val="center"/>
          </w:tcPr>
          <w:p w14:paraId="48D9632B">
            <w:pPr>
              <w:pStyle w:val="2"/>
              <w:rPr>
                <w:rFonts w:ascii="宋体" w:hAnsi="宋体"/>
                <w:b/>
                <w:bCs/>
                <w:szCs w:val="21"/>
              </w:rPr>
            </w:pPr>
            <w:r>
              <w:rPr>
                <w:rFonts w:hint="eastAsia" w:ascii="宋体" w:hAnsi="宋体"/>
                <w:szCs w:val="21"/>
              </w:rPr>
              <w:t>控制价：</w:t>
            </w:r>
            <w:r>
              <w:rPr>
                <w:rFonts w:hint="eastAsia" w:ascii="宋体" w:hAnsi="宋体"/>
                <w:b/>
                <w:bCs/>
                <w:szCs w:val="21"/>
                <w:lang w:val="en-US" w:eastAsia="zh-CN"/>
              </w:rPr>
              <w:t>壹拾肆万陆仟肆佰肆拾伍元捌角柒分</w:t>
            </w:r>
            <w:r>
              <w:rPr>
                <w:rFonts w:hint="eastAsia" w:ascii="宋体" w:hAnsi="宋体"/>
                <w:b/>
                <w:bCs/>
                <w:szCs w:val="21"/>
              </w:rPr>
              <w:t>（￥：</w:t>
            </w:r>
            <w:r>
              <w:rPr>
                <w:rFonts w:hint="eastAsia" w:ascii="宋体" w:hAnsi="宋体"/>
                <w:b/>
                <w:bCs/>
                <w:szCs w:val="21"/>
                <w:lang w:val="en-US" w:eastAsia="zh-CN"/>
              </w:rPr>
              <w:t>146445.87</w:t>
            </w:r>
            <w:r>
              <w:rPr>
                <w:rFonts w:hint="eastAsia" w:ascii="宋体" w:hAnsi="宋体"/>
                <w:b/>
                <w:bCs/>
                <w:szCs w:val="21"/>
              </w:rPr>
              <w:t>元）</w:t>
            </w:r>
          </w:p>
          <w:p w14:paraId="4BCEF145">
            <w:pPr>
              <w:rPr>
                <w:rFonts w:ascii="宋体" w:hAnsi="宋体"/>
                <w:szCs w:val="21"/>
              </w:rPr>
            </w:pPr>
            <w:r>
              <w:rPr>
                <w:rFonts w:hint="eastAsia" w:ascii="宋体" w:hAnsi="宋体"/>
                <w:szCs w:val="21"/>
              </w:rPr>
              <w:t>高于招标控制价的投标将被拒绝。</w:t>
            </w:r>
          </w:p>
        </w:tc>
      </w:tr>
      <w:tr w14:paraId="6EC86769">
        <w:tblPrEx>
          <w:tblCellMar>
            <w:top w:w="0" w:type="dxa"/>
            <w:left w:w="108" w:type="dxa"/>
            <w:bottom w:w="0" w:type="dxa"/>
            <w:right w:w="108" w:type="dxa"/>
          </w:tblCellMar>
        </w:tblPrEx>
        <w:trPr>
          <w:trHeight w:val="442" w:hRule="atLeast"/>
        </w:trPr>
        <w:tc>
          <w:tcPr>
            <w:tcW w:w="959" w:type="dxa"/>
            <w:tcBorders>
              <w:top w:val="single" w:color="auto" w:sz="4" w:space="0"/>
              <w:left w:val="single" w:color="auto" w:sz="4" w:space="0"/>
              <w:bottom w:val="single" w:color="auto" w:sz="4" w:space="0"/>
              <w:right w:val="single" w:color="auto" w:sz="4" w:space="0"/>
            </w:tcBorders>
            <w:vAlign w:val="center"/>
          </w:tcPr>
          <w:p w14:paraId="49B97010">
            <w:pPr>
              <w:jc w:val="center"/>
              <w:rPr>
                <w:rFonts w:ascii="宋体" w:hAnsi="宋体"/>
                <w:szCs w:val="21"/>
              </w:rPr>
            </w:pPr>
            <w:r>
              <w:rPr>
                <w:rFonts w:ascii="宋体" w:hAnsi="宋体"/>
                <w:szCs w:val="21"/>
              </w:rPr>
              <w:t>3.3</w:t>
            </w:r>
          </w:p>
        </w:tc>
        <w:tc>
          <w:tcPr>
            <w:tcW w:w="1134" w:type="dxa"/>
            <w:tcBorders>
              <w:top w:val="single" w:color="auto" w:sz="4" w:space="0"/>
              <w:left w:val="single" w:color="auto" w:sz="4" w:space="0"/>
              <w:bottom w:val="single" w:color="auto" w:sz="4" w:space="0"/>
              <w:right w:val="single" w:color="auto" w:sz="4" w:space="0"/>
            </w:tcBorders>
            <w:vAlign w:val="center"/>
          </w:tcPr>
          <w:p w14:paraId="248C12AE">
            <w:pPr>
              <w:jc w:val="center"/>
              <w:rPr>
                <w:rFonts w:ascii="宋体" w:hAnsi="宋体"/>
                <w:szCs w:val="21"/>
              </w:rPr>
            </w:pPr>
            <w:r>
              <w:rPr>
                <w:rFonts w:ascii="宋体" w:hAnsi="宋体"/>
                <w:szCs w:val="21"/>
              </w:rPr>
              <w:t>投标有效期</w:t>
            </w:r>
          </w:p>
        </w:tc>
        <w:tc>
          <w:tcPr>
            <w:tcW w:w="7015" w:type="dxa"/>
            <w:tcBorders>
              <w:top w:val="single" w:color="auto" w:sz="4" w:space="0"/>
              <w:left w:val="single" w:color="auto" w:sz="4" w:space="0"/>
              <w:bottom w:val="single" w:color="auto" w:sz="4" w:space="0"/>
              <w:right w:val="single" w:color="auto" w:sz="4" w:space="0"/>
            </w:tcBorders>
            <w:vAlign w:val="center"/>
          </w:tcPr>
          <w:p w14:paraId="5116707E">
            <w:pPr>
              <w:rPr>
                <w:rFonts w:ascii="宋体" w:hAnsi="宋体"/>
                <w:szCs w:val="21"/>
              </w:rPr>
            </w:pPr>
            <w:r>
              <w:rPr>
                <w:rFonts w:hint="eastAsia" w:ascii="宋体" w:hAnsi="宋体"/>
                <w:szCs w:val="21"/>
              </w:rPr>
              <w:t>自投标人提交投标文件截止之日算起60日历天</w:t>
            </w:r>
          </w:p>
        </w:tc>
      </w:tr>
      <w:tr w14:paraId="7160CB8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3161911">
            <w:pPr>
              <w:jc w:val="center"/>
              <w:rPr>
                <w:rFonts w:ascii="宋体" w:hAnsi="宋体"/>
                <w:szCs w:val="21"/>
              </w:rPr>
            </w:pPr>
            <w:r>
              <w:rPr>
                <w:rFonts w:ascii="宋体" w:hAnsi="宋体"/>
                <w:szCs w:val="21"/>
              </w:rPr>
              <w:t>3.4</w:t>
            </w:r>
          </w:p>
        </w:tc>
        <w:tc>
          <w:tcPr>
            <w:tcW w:w="1134" w:type="dxa"/>
            <w:tcBorders>
              <w:top w:val="single" w:color="auto" w:sz="4" w:space="0"/>
              <w:left w:val="single" w:color="auto" w:sz="4" w:space="0"/>
              <w:bottom w:val="single" w:color="auto" w:sz="4" w:space="0"/>
              <w:right w:val="single" w:color="auto" w:sz="4" w:space="0"/>
            </w:tcBorders>
            <w:vAlign w:val="center"/>
          </w:tcPr>
          <w:p w14:paraId="079715C8">
            <w:pPr>
              <w:jc w:val="center"/>
              <w:rPr>
                <w:rFonts w:ascii="宋体" w:hAnsi="宋体"/>
                <w:szCs w:val="21"/>
              </w:rPr>
            </w:pPr>
            <w:r>
              <w:rPr>
                <w:rFonts w:ascii="宋体" w:hAnsi="宋体"/>
                <w:szCs w:val="21"/>
              </w:rPr>
              <w:t>投标保证金</w:t>
            </w:r>
          </w:p>
        </w:tc>
        <w:tc>
          <w:tcPr>
            <w:tcW w:w="7015" w:type="dxa"/>
            <w:tcBorders>
              <w:top w:val="single" w:color="auto" w:sz="4" w:space="0"/>
              <w:left w:val="single" w:color="auto" w:sz="4" w:space="0"/>
              <w:bottom w:val="single" w:color="auto" w:sz="4" w:space="0"/>
              <w:right w:val="single" w:color="auto" w:sz="4" w:space="0"/>
            </w:tcBorders>
            <w:vAlign w:val="center"/>
          </w:tcPr>
          <w:p w14:paraId="21B01A55">
            <w:pPr>
              <w:jc w:val="left"/>
              <w:rPr>
                <w:rFonts w:ascii="宋体" w:hAnsi="宋体" w:cs="宋体"/>
                <w:bCs/>
                <w:szCs w:val="21"/>
              </w:rPr>
            </w:pPr>
            <w:r>
              <w:rPr>
                <w:rFonts w:hint="eastAsia" w:ascii="宋体" w:hAnsi="宋体" w:cs="宋体"/>
                <w:b/>
                <w:bCs/>
                <w:szCs w:val="21"/>
              </w:rPr>
              <w:t>建设工程服务类项目免缴投标保证金。</w:t>
            </w:r>
            <w:r>
              <w:rPr>
                <w:rFonts w:hint="eastAsia" w:ascii="宋体" w:hAnsi="宋体" w:cs="宋体"/>
                <w:bCs/>
                <w:szCs w:val="21"/>
              </w:rPr>
              <w:t xml:space="preserve"> </w:t>
            </w:r>
          </w:p>
          <w:p w14:paraId="529CD4F0">
            <w:pPr>
              <w:pStyle w:val="2"/>
            </w:pPr>
            <w:r>
              <w:rPr>
                <w:rFonts w:hint="eastAsia" w:ascii="宋体" w:hAnsi="宋体" w:cs="宋体"/>
                <w:bCs/>
                <w:szCs w:val="21"/>
              </w:rPr>
              <w:t>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tc>
      </w:tr>
      <w:tr w14:paraId="3607973C">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451ADC5">
            <w:pPr>
              <w:jc w:val="center"/>
              <w:rPr>
                <w:rFonts w:ascii="宋体" w:hAnsi="宋体"/>
                <w:szCs w:val="21"/>
              </w:rPr>
            </w:pPr>
            <w:r>
              <w:rPr>
                <w:rFonts w:ascii="宋体" w:hAnsi="宋体"/>
                <w:szCs w:val="21"/>
              </w:rPr>
              <w:t>3.</w:t>
            </w:r>
            <w:r>
              <w:rPr>
                <w:rFonts w:hint="eastAsia"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3C90B75C">
            <w:pPr>
              <w:jc w:val="center"/>
              <w:rPr>
                <w:rFonts w:ascii="宋体" w:hAnsi="宋体"/>
                <w:szCs w:val="21"/>
              </w:rPr>
            </w:pPr>
            <w:r>
              <w:rPr>
                <w:rFonts w:hint="eastAsia" w:ascii="宋体" w:hAnsi="宋体"/>
                <w:szCs w:val="21"/>
              </w:rPr>
              <w:t>近年财务状况的年份要求</w:t>
            </w:r>
          </w:p>
        </w:tc>
        <w:tc>
          <w:tcPr>
            <w:tcW w:w="7015" w:type="dxa"/>
            <w:tcBorders>
              <w:top w:val="single" w:color="auto" w:sz="4" w:space="0"/>
              <w:left w:val="single" w:color="auto" w:sz="4" w:space="0"/>
              <w:bottom w:val="single" w:color="auto" w:sz="4" w:space="0"/>
              <w:right w:val="single" w:color="auto" w:sz="4" w:space="0"/>
            </w:tcBorders>
            <w:vAlign w:val="center"/>
          </w:tcPr>
          <w:p w14:paraId="040D8079">
            <w:pPr>
              <w:rPr>
                <w:rFonts w:ascii="宋体" w:hAnsi="宋体"/>
                <w:bCs/>
                <w:szCs w:val="21"/>
              </w:rPr>
            </w:pPr>
            <w:r>
              <w:rPr>
                <w:rFonts w:hint="eastAsia" w:ascii="宋体" w:hAnsi="宋体"/>
                <w:bCs/>
                <w:szCs w:val="21"/>
              </w:rPr>
              <w:t>近三年 (2021-2023 年度，成立未满三年的企业按已有年份计算;新成立企业不足一个自然年度的,可提供近期财务报表)</w:t>
            </w:r>
          </w:p>
        </w:tc>
      </w:tr>
      <w:tr w14:paraId="0EB8B4C5">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89FDD79">
            <w:pPr>
              <w:jc w:val="center"/>
              <w:rPr>
                <w:rFonts w:ascii="宋体" w:hAnsi="宋体"/>
                <w:szCs w:val="21"/>
              </w:rPr>
            </w:pPr>
            <w:r>
              <w:rPr>
                <w:rFonts w:ascii="宋体" w:hAnsi="宋体"/>
                <w:szCs w:val="21"/>
              </w:rPr>
              <w:t>3.</w:t>
            </w:r>
            <w:r>
              <w:rPr>
                <w:rFonts w:hint="eastAsia" w:ascii="宋体" w:hAnsi="宋体"/>
                <w:szCs w:val="21"/>
              </w:rPr>
              <w:t>6</w:t>
            </w:r>
            <w:r>
              <w:rPr>
                <w:rFonts w:ascii="宋体" w:hAnsi="宋体"/>
                <w:szCs w:val="21"/>
              </w:rPr>
              <w:t>.</w:t>
            </w: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4F89FC8F">
            <w:pPr>
              <w:jc w:val="center"/>
              <w:rPr>
                <w:rFonts w:ascii="宋体" w:hAnsi="宋体"/>
                <w:szCs w:val="21"/>
              </w:rPr>
            </w:pPr>
            <w:r>
              <w:rPr>
                <w:rFonts w:ascii="宋体" w:hAnsi="宋体"/>
                <w:szCs w:val="21"/>
              </w:rPr>
              <w:t>签字或盖章要求</w:t>
            </w:r>
          </w:p>
        </w:tc>
        <w:tc>
          <w:tcPr>
            <w:tcW w:w="7015" w:type="dxa"/>
            <w:tcBorders>
              <w:top w:val="single" w:color="auto" w:sz="4" w:space="0"/>
              <w:left w:val="single" w:color="auto" w:sz="4" w:space="0"/>
              <w:bottom w:val="single" w:color="auto" w:sz="4" w:space="0"/>
              <w:right w:val="single" w:color="auto" w:sz="4" w:space="0"/>
            </w:tcBorders>
            <w:vAlign w:val="center"/>
          </w:tcPr>
          <w:p w14:paraId="4D046227">
            <w:pPr>
              <w:rPr>
                <w:rFonts w:ascii="宋体" w:hAnsi="宋体"/>
                <w:szCs w:val="21"/>
              </w:rPr>
            </w:pPr>
            <w:r>
              <w:rPr>
                <w:rFonts w:hint="eastAsia" w:ascii="宋体" w:hAnsi="宋体"/>
                <w:lang w:bidi="zh-CN"/>
              </w:rPr>
              <w:t>所有要求投标人加盖公章或电子签章的地方都应用投标人单位的CA 密匙盖电子签章；所有要求法定代表人或其委托代理人签字或电子签章的地方都应用法定代表人或其委托代理人的 CA 密匙盖电子签章，如投标人的法定代表人或委托代理人未办理 CA 密匙的，投标人须将要求法定代表人或其委托代理人签字或盖章的地方用法定代表人或委托代理人签字或盖章后的扫描图片替换到相应格式中。</w:t>
            </w:r>
          </w:p>
        </w:tc>
      </w:tr>
      <w:tr w14:paraId="6BC6CC5B">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97A2236">
            <w:pPr>
              <w:jc w:val="center"/>
              <w:rPr>
                <w:rFonts w:ascii="宋体" w:hAnsi="宋体"/>
                <w:szCs w:val="21"/>
              </w:rPr>
            </w:pPr>
            <w:r>
              <w:rPr>
                <w:rFonts w:ascii="宋体" w:hAnsi="宋体"/>
                <w:szCs w:val="21"/>
              </w:rPr>
              <w:t>3.</w:t>
            </w:r>
            <w:r>
              <w:rPr>
                <w:rFonts w:hint="eastAsia" w:ascii="宋体" w:hAnsi="宋体"/>
                <w:szCs w:val="21"/>
              </w:rPr>
              <w:t>6</w:t>
            </w:r>
            <w:r>
              <w:rPr>
                <w:rFonts w:ascii="宋体" w:hAnsi="宋体"/>
                <w:szCs w:val="21"/>
              </w:rPr>
              <w:t>.</w:t>
            </w:r>
            <w:r>
              <w:rPr>
                <w:rFonts w:hint="eastAsia"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51C49E68">
            <w:pPr>
              <w:spacing w:line="340" w:lineRule="exact"/>
              <w:jc w:val="center"/>
              <w:rPr>
                <w:szCs w:val="21"/>
              </w:rPr>
            </w:pPr>
            <w:r>
              <w:rPr>
                <w:rFonts w:hint="eastAsia"/>
                <w:szCs w:val="21"/>
              </w:rPr>
              <w:t>投标文件份数及其他要求</w:t>
            </w:r>
          </w:p>
        </w:tc>
        <w:tc>
          <w:tcPr>
            <w:tcW w:w="7015" w:type="dxa"/>
            <w:tcBorders>
              <w:top w:val="single" w:color="auto" w:sz="4" w:space="0"/>
              <w:left w:val="single" w:color="auto" w:sz="4" w:space="0"/>
              <w:bottom w:val="single" w:color="auto" w:sz="4" w:space="0"/>
              <w:right w:val="single" w:color="auto" w:sz="4" w:space="0"/>
            </w:tcBorders>
            <w:vAlign w:val="center"/>
          </w:tcPr>
          <w:p w14:paraId="0F0E41CD">
            <w:pPr>
              <w:spacing w:line="280" w:lineRule="exact"/>
            </w:pPr>
            <w:r>
              <w:rPr>
                <w:rFonts w:hint="eastAsia" w:asciiTheme="minorEastAsia" w:hAnsiTheme="minorEastAsia" w:eastAsiaTheme="minorEastAsia"/>
                <w:szCs w:val="21"/>
              </w:rPr>
              <w:t>投标阶段仅网上提交电子投标文件。</w:t>
            </w:r>
          </w:p>
        </w:tc>
      </w:tr>
      <w:tr w14:paraId="1CD0FA8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0FF3FE7">
            <w:pPr>
              <w:jc w:val="center"/>
              <w:rPr>
                <w:rFonts w:ascii="宋体" w:hAnsi="宋体"/>
                <w:szCs w:val="21"/>
              </w:rPr>
            </w:pPr>
            <w:r>
              <w:rPr>
                <w:rFonts w:hint="eastAsia" w:ascii="宋体" w:hAnsi="宋体"/>
                <w:szCs w:val="21"/>
              </w:rPr>
              <w:t>4.1.1</w:t>
            </w:r>
          </w:p>
        </w:tc>
        <w:tc>
          <w:tcPr>
            <w:tcW w:w="1134" w:type="dxa"/>
            <w:tcBorders>
              <w:top w:val="single" w:color="auto" w:sz="4" w:space="0"/>
              <w:left w:val="single" w:color="auto" w:sz="4" w:space="0"/>
              <w:bottom w:val="single" w:color="auto" w:sz="4" w:space="0"/>
              <w:right w:val="single" w:color="auto" w:sz="4" w:space="0"/>
            </w:tcBorders>
            <w:vAlign w:val="center"/>
          </w:tcPr>
          <w:p w14:paraId="297D8EA9">
            <w:pPr>
              <w:jc w:val="center"/>
              <w:rPr>
                <w:rFonts w:ascii="宋体" w:hAnsi="宋体"/>
                <w:szCs w:val="21"/>
              </w:rPr>
            </w:pPr>
            <w:r>
              <w:rPr>
                <w:rFonts w:hint="eastAsia" w:ascii="宋体" w:hAnsi="宋体" w:cs="宋体"/>
                <w:szCs w:val="21"/>
              </w:rPr>
              <w:t>技术标是否采用暗标</w:t>
            </w:r>
          </w:p>
        </w:tc>
        <w:tc>
          <w:tcPr>
            <w:tcW w:w="7015" w:type="dxa"/>
            <w:tcBorders>
              <w:top w:val="single" w:color="auto" w:sz="4" w:space="0"/>
              <w:left w:val="single" w:color="auto" w:sz="4" w:space="0"/>
              <w:bottom w:val="single" w:color="auto" w:sz="4" w:space="0"/>
              <w:right w:val="single" w:color="auto" w:sz="4" w:space="0"/>
            </w:tcBorders>
          </w:tcPr>
          <w:p w14:paraId="7F38C5D8">
            <w:pPr>
              <w:rPr>
                <w:rFonts w:ascii="宋体" w:hAnsi="宋体"/>
                <w:szCs w:val="21"/>
              </w:rPr>
            </w:pPr>
            <w:r>
              <w:rPr>
                <w:rFonts w:hint="eastAsia" w:ascii="宋体" w:hAnsi="宋体"/>
                <w:szCs w:val="21"/>
              </w:rPr>
              <w:t>是</w:t>
            </w:r>
          </w:p>
        </w:tc>
      </w:tr>
      <w:tr w14:paraId="31CC3287">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1BAFDCB">
            <w:pPr>
              <w:jc w:val="center"/>
              <w:rPr>
                <w:rFonts w:ascii="宋体" w:hAnsi="宋体"/>
                <w:szCs w:val="21"/>
              </w:rPr>
            </w:pPr>
            <w:r>
              <w:rPr>
                <w:rFonts w:ascii="宋体" w:hAnsi="宋体"/>
                <w:szCs w:val="21"/>
              </w:rPr>
              <w:t>4.1.2</w:t>
            </w:r>
          </w:p>
        </w:tc>
        <w:tc>
          <w:tcPr>
            <w:tcW w:w="1134" w:type="dxa"/>
            <w:tcBorders>
              <w:top w:val="single" w:color="auto" w:sz="4" w:space="0"/>
              <w:left w:val="single" w:color="auto" w:sz="4" w:space="0"/>
              <w:bottom w:val="single" w:color="auto" w:sz="4" w:space="0"/>
              <w:right w:val="single" w:color="auto" w:sz="4" w:space="0"/>
            </w:tcBorders>
            <w:vAlign w:val="center"/>
          </w:tcPr>
          <w:p w14:paraId="625AECF7">
            <w:pPr>
              <w:jc w:val="center"/>
              <w:rPr>
                <w:rFonts w:ascii="宋体" w:hAnsi="宋体"/>
                <w:b/>
                <w:szCs w:val="21"/>
              </w:rPr>
            </w:pPr>
            <w:r>
              <w:rPr>
                <w:rFonts w:hint="eastAsia" w:ascii="宋体" w:hAnsi="宋体" w:cs="宋体"/>
                <w:b/>
                <w:szCs w:val="21"/>
                <w:lang w:bidi="zh-CN"/>
              </w:rPr>
              <w:t>是否采用电子招标投标</w:t>
            </w:r>
          </w:p>
        </w:tc>
        <w:tc>
          <w:tcPr>
            <w:tcW w:w="7015" w:type="dxa"/>
            <w:tcBorders>
              <w:top w:val="single" w:color="auto" w:sz="4" w:space="0"/>
              <w:left w:val="single" w:color="auto" w:sz="4" w:space="0"/>
              <w:bottom w:val="single" w:color="auto" w:sz="4" w:space="0"/>
              <w:right w:val="single" w:color="auto" w:sz="4" w:space="0"/>
            </w:tcBorders>
            <w:vAlign w:val="center"/>
          </w:tcPr>
          <w:p w14:paraId="4F7CE266">
            <w:pPr>
              <w:spacing w:line="280" w:lineRule="exact"/>
              <w:rPr>
                <w:rFonts w:asciiTheme="minorEastAsia" w:hAnsiTheme="minorEastAsia" w:eastAsiaTheme="minorEastAsia"/>
                <w:b/>
                <w:szCs w:val="21"/>
              </w:rPr>
            </w:pPr>
          </w:p>
          <w:p w14:paraId="0ADA641E">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是</w:t>
            </w:r>
          </w:p>
          <w:p w14:paraId="5779E4AC">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1、递交网址：　</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HYPERLINK "http://ggzyjy.tanghe.gov.cn/"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http://ggzyjy.tanghe.gov.cn</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6413CC5B">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2、投标人的电子投标文件应在招标文件规定的投标截止时间前到达交易系统。逾期到达交易系统的电子投标文件视为放弃本次投标。</w:t>
            </w:r>
          </w:p>
          <w:p w14:paraId="52DE515C">
            <w:pPr>
              <w:jc w:val="left"/>
              <w:rPr>
                <w:rFonts w:ascii="宋体" w:hAnsi="宋体"/>
                <w:szCs w:val="21"/>
                <w:u w:val="single"/>
              </w:rPr>
            </w:pPr>
            <w:r>
              <w:rPr>
                <w:rFonts w:hint="eastAsia" w:asciiTheme="minorEastAsia" w:hAnsiTheme="minorEastAsia" w:eastAsiaTheme="minorEastAsia"/>
                <w:szCs w:val="21"/>
              </w:rPr>
              <w:t>3、投标人所递交的电子投标文件在投标截止时间之后不予退回</w:t>
            </w:r>
          </w:p>
        </w:tc>
      </w:tr>
      <w:tr w14:paraId="5A9293DF">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124F8079">
            <w:pPr>
              <w:jc w:val="center"/>
              <w:rPr>
                <w:rFonts w:ascii="宋体" w:hAnsi="宋体"/>
                <w:szCs w:val="21"/>
              </w:rPr>
            </w:pPr>
            <w:r>
              <w:rPr>
                <w:rFonts w:ascii="宋体" w:hAnsi="宋体"/>
                <w:szCs w:val="21"/>
              </w:rPr>
              <w:t>5.1</w:t>
            </w:r>
          </w:p>
        </w:tc>
        <w:tc>
          <w:tcPr>
            <w:tcW w:w="1134" w:type="dxa"/>
            <w:tcBorders>
              <w:top w:val="single" w:color="auto" w:sz="4" w:space="0"/>
              <w:left w:val="single" w:color="auto" w:sz="4" w:space="0"/>
              <w:right w:val="single" w:color="auto" w:sz="4" w:space="0"/>
            </w:tcBorders>
            <w:vAlign w:val="center"/>
          </w:tcPr>
          <w:p w14:paraId="5CD23035">
            <w:pPr>
              <w:jc w:val="center"/>
              <w:rPr>
                <w:rFonts w:ascii="宋体" w:hAnsi="宋体"/>
                <w:szCs w:val="21"/>
              </w:rPr>
            </w:pPr>
            <w:r>
              <w:rPr>
                <w:rFonts w:hint="eastAsia" w:ascii="宋体" w:hAnsi="宋体" w:cs="宋体"/>
                <w:szCs w:val="21"/>
              </w:rPr>
              <w:t>开标时间和地点</w:t>
            </w:r>
          </w:p>
        </w:tc>
        <w:tc>
          <w:tcPr>
            <w:tcW w:w="7015" w:type="dxa"/>
            <w:tcBorders>
              <w:top w:val="single" w:color="auto" w:sz="4" w:space="0"/>
              <w:left w:val="single" w:color="auto" w:sz="4" w:space="0"/>
              <w:right w:val="single" w:color="auto" w:sz="4" w:space="0"/>
            </w:tcBorders>
          </w:tcPr>
          <w:p w14:paraId="6D90A2AA">
            <w:pPr>
              <w:jc w:val="left"/>
              <w:rPr>
                <w:rFonts w:ascii="宋体" w:hAnsi="宋体" w:cs="宋体"/>
                <w:szCs w:val="21"/>
              </w:rPr>
            </w:pPr>
            <w:r>
              <w:rPr>
                <w:rFonts w:hint="eastAsia" w:ascii="宋体" w:hAnsi="宋体" w:cs="宋体"/>
                <w:szCs w:val="21"/>
              </w:rPr>
              <w:t>开标时间：同投标截止时间</w:t>
            </w:r>
          </w:p>
          <w:p w14:paraId="25029C2D">
            <w:pPr>
              <w:jc w:val="left"/>
              <w:rPr>
                <w:rFonts w:ascii="宋体" w:hAnsi="宋体"/>
                <w:szCs w:val="21"/>
              </w:rPr>
            </w:pPr>
            <w:r>
              <w:rPr>
                <w:rFonts w:hint="eastAsia" w:ascii="宋体" w:hAnsi="宋体" w:cs="宋体"/>
                <w:szCs w:val="21"/>
              </w:rPr>
              <w:t>开标地点：</w:t>
            </w:r>
            <w:r>
              <w:rPr>
                <w:rFonts w:hint="eastAsia" w:ascii="宋体" w:hAnsi="宋体" w:cs="宋体"/>
                <w:szCs w:val="22"/>
              </w:rPr>
              <w:t>唐河县公共资源交易中心（本项目采用网上不见面方式开标，投标企业无需到达开标现场）</w:t>
            </w:r>
          </w:p>
        </w:tc>
      </w:tr>
      <w:tr w14:paraId="22FC124F">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0870D4F2">
            <w:pPr>
              <w:jc w:val="center"/>
              <w:rPr>
                <w:rFonts w:ascii="宋体" w:hAnsi="宋体"/>
                <w:szCs w:val="21"/>
              </w:rPr>
            </w:pPr>
            <w:r>
              <w:rPr>
                <w:rFonts w:hint="eastAsia" w:ascii="宋体" w:hAnsi="宋体"/>
                <w:szCs w:val="21"/>
              </w:rPr>
              <w:t>5.2</w:t>
            </w:r>
          </w:p>
        </w:tc>
        <w:tc>
          <w:tcPr>
            <w:tcW w:w="1134" w:type="dxa"/>
            <w:tcBorders>
              <w:top w:val="single" w:color="auto" w:sz="4" w:space="0"/>
              <w:left w:val="single" w:color="auto" w:sz="4" w:space="0"/>
              <w:right w:val="single" w:color="auto" w:sz="4" w:space="0"/>
            </w:tcBorders>
            <w:vAlign w:val="center"/>
          </w:tcPr>
          <w:p w14:paraId="4B287EBA">
            <w:pPr>
              <w:jc w:val="center"/>
              <w:rPr>
                <w:rFonts w:ascii="宋体" w:hAnsi="宋体"/>
                <w:szCs w:val="21"/>
              </w:rPr>
            </w:pPr>
            <w:r>
              <w:rPr>
                <w:rFonts w:hint="eastAsia" w:ascii="宋体" w:hAnsi="宋体"/>
                <w:szCs w:val="21"/>
              </w:rPr>
              <w:t>开标程序</w:t>
            </w:r>
          </w:p>
        </w:tc>
        <w:tc>
          <w:tcPr>
            <w:tcW w:w="7015" w:type="dxa"/>
            <w:tcBorders>
              <w:top w:val="single" w:color="auto" w:sz="4" w:space="0"/>
              <w:left w:val="single" w:color="auto" w:sz="4" w:space="0"/>
              <w:right w:val="single" w:color="auto" w:sz="4" w:space="0"/>
            </w:tcBorders>
            <w:vAlign w:val="center"/>
          </w:tcPr>
          <w:p w14:paraId="6519B937">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（1）投标人授权委托人代表持本单位CA数字证书提前登录不见面开标系统并在线签到。</w:t>
            </w:r>
          </w:p>
          <w:p w14:paraId="17C104EF">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（2）开标时间到，在线公布投标人、招标人代表、监标人等有关名单。主持人（代理公司）根据保证金交纳情况来确定有效投标人，并退回不符合要求的投标文件。</w:t>
            </w:r>
          </w:p>
          <w:p w14:paraId="4EE65D82">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w:t>
            </w:r>
            <w:r>
              <w:rPr>
                <w:rFonts w:ascii="宋体" w:hAnsi="宋体"/>
                <w:szCs w:val="21"/>
                <w:highlight w:val="white"/>
              </w:rPr>
              <w:t>3</w:t>
            </w:r>
            <w:r>
              <w:rPr>
                <w:rFonts w:hint="eastAsia" w:ascii="宋体" w:hAnsi="宋体"/>
                <w:szCs w:val="21"/>
                <w:highlight w:val="white"/>
              </w:rPr>
              <w:t>）开标顺序：</w:t>
            </w:r>
          </w:p>
          <w:p w14:paraId="1710886F">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315A4C0A">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②招标人解密。目前无需招标人进行二次解密。</w:t>
            </w:r>
          </w:p>
          <w:p w14:paraId="39CA6D84">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③随机抽取参数（K值）并在线录入不见面系统。</w:t>
            </w:r>
          </w:p>
          <w:p w14:paraId="235E30F8">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14:paraId="31332B1B">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⑤招标代理机构宣布开标结束，点击“开标结束”操作按钮（系统自动进行“招标文件导入”、“控制价文件导入”）。</w:t>
            </w:r>
          </w:p>
          <w:p w14:paraId="32D4BDBE">
            <w:pPr>
              <w:jc w:val="left"/>
              <w:rPr>
                <w:rFonts w:ascii="宋体" w:hAnsi="宋体"/>
                <w:szCs w:val="21"/>
              </w:rPr>
            </w:pPr>
            <w:r>
              <w:rPr>
                <w:rFonts w:hint="eastAsia" w:ascii="宋体" w:hAnsi="宋体"/>
                <w:szCs w:val="21"/>
                <w:highlight w:val="white"/>
              </w:rPr>
              <w:t>⑥招标人（代理机构）、投标人等相关人员在开标记录表上进行CA签字确认。</w:t>
            </w:r>
          </w:p>
        </w:tc>
      </w:tr>
      <w:tr w14:paraId="3971963D">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331804E9">
            <w:pPr>
              <w:jc w:val="center"/>
              <w:rPr>
                <w:rFonts w:ascii="宋体" w:hAnsi="宋体"/>
                <w:szCs w:val="21"/>
              </w:rPr>
            </w:pPr>
            <w:r>
              <w:rPr>
                <w:rFonts w:ascii="宋体" w:hAnsi="宋体"/>
                <w:szCs w:val="21"/>
              </w:rPr>
              <w:t>6.1</w:t>
            </w:r>
          </w:p>
        </w:tc>
        <w:tc>
          <w:tcPr>
            <w:tcW w:w="1134" w:type="dxa"/>
            <w:tcBorders>
              <w:top w:val="single" w:color="auto" w:sz="4" w:space="0"/>
              <w:left w:val="single" w:color="auto" w:sz="4" w:space="0"/>
              <w:right w:val="single" w:color="auto" w:sz="4" w:space="0"/>
            </w:tcBorders>
            <w:vAlign w:val="center"/>
          </w:tcPr>
          <w:p w14:paraId="3B1311D0">
            <w:pPr>
              <w:jc w:val="center"/>
              <w:rPr>
                <w:rFonts w:ascii="宋体" w:hAnsi="宋体"/>
                <w:szCs w:val="21"/>
              </w:rPr>
            </w:pPr>
            <w:r>
              <w:rPr>
                <w:rFonts w:hint="eastAsia" w:ascii="宋体" w:hAnsi="宋体"/>
                <w:szCs w:val="21"/>
              </w:rPr>
              <w:t>评标委员会的组建</w:t>
            </w:r>
          </w:p>
        </w:tc>
        <w:tc>
          <w:tcPr>
            <w:tcW w:w="7015" w:type="dxa"/>
            <w:tcBorders>
              <w:top w:val="single" w:color="auto" w:sz="4" w:space="0"/>
              <w:left w:val="single" w:color="auto" w:sz="4" w:space="0"/>
              <w:right w:val="single" w:color="auto" w:sz="4" w:space="0"/>
            </w:tcBorders>
            <w:vAlign w:val="center"/>
          </w:tcPr>
          <w:p w14:paraId="2E73BAF1">
            <w:pPr>
              <w:rPr>
                <w:rFonts w:ascii="宋体" w:hAnsi="宋体" w:cs="宋体"/>
                <w:szCs w:val="21"/>
              </w:rPr>
            </w:pPr>
            <w:r>
              <w:rPr>
                <w:rFonts w:ascii="宋体" w:hAnsi="宋体" w:cs="宋体"/>
                <w:szCs w:val="21"/>
              </w:rPr>
              <w:t>评标委员会构成：</w:t>
            </w:r>
            <w:r>
              <w:rPr>
                <w:rFonts w:hint="eastAsia" w:ascii="宋体" w:hAnsi="宋体" w:cs="宋体"/>
                <w:szCs w:val="21"/>
              </w:rPr>
              <w:t>5</w:t>
            </w:r>
            <w:r>
              <w:rPr>
                <w:rFonts w:ascii="宋体" w:hAnsi="宋体" w:cs="宋体"/>
                <w:szCs w:val="21"/>
              </w:rPr>
              <w:t>人，其中招标人代表</w:t>
            </w:r>
            <w:r>
              <w:rPr>
                <w:rFonts w:hint="eastAsia" w:ascii="宋体" w:hAnsi="宋体" w:cs="宋体"/>
                <w:szCs w:val="21"/>
              </w:rPr>
              <w:t>1</w:t>
            </w:r>
            <w:r>
              <w:rPr>
                <w:rFonts w:ascii="宋体" w:hAnsi="宋体" w:cs="宋体"/>
                <w:szCs w:val="21"/>
              </w:rPr>
              <w:t>人</w:t>
            </w:r>
            <w:r>
              <w:rPr>
                <w:rFonts w:hint="eastAsia" w:ascii="宋体" w:hAnsi="宋体" w:cs="宋体"/>
                <w:szCs w:val="21"/>
              </w:rPr>
              <w:t>（招标人代表为本单位人员的须具备中级及以上职称，招标人代表聘请非本单位人员的须为河南省综合评标专家库人员且评审专业须对应本项目类别）</w:t>
            </w:r>
            <w:r>
              <w:rPr>
                <w:rFonts w:ascii="宋体" w:hAnsi="宋体" w:cs="宋体"/>
                <w:szCs w:val="21"/>
              </w:rPr>
              <w:t>，专家</w:t>
            </w:r>
            <w:r>
              <w:rPr>
                <w:rFonts w:hint="eastAsia" w:ascii="宋体" w:hAnsi="宋体" w:cs="宋体"/>
                <w:szCs w:val="21"/>
              </w:rPr>
              <w:t>4</w:t>
            </w:r>
            <w:r>
              <w:rPr>
                <w:rFonts w:ascii="宋体" w:hAnsi="宋体" w:cs="宋体"/>
                <w:szCs w:val="21"/>
              </w:rPr>
              <w:t>人</w:t>
            </w:r>
            <w:r>
              <w:rPr>
                <w:rFonts w:hint="eastAsia" w:ascii="宋体" w:hAnsi="宋体" w:cs="宋体"/>
                <w:szCs w:val="21"/>
              </w:rPr>
              <w:t>（其中经济类1人，技术类2人，监理类1人）。</w:t>
            </w:r>
          </w:p>
          <w:p w14:paraId="13E9FF95">
            <w:pPr>
              <w:rPr>
                <w:rFonts w:ascii="宋体" w:hAnsi="宋体"/>
                <w:szCs w:val="21"/>
              </w:rPr>
            </w:pPr>
            <w:r>
              <w:rPr>
                <w:rFonts w:ascii="宋体" w:hAnsi="宋体" w:cs="宋体"/>
                <w:szCs w:val="21"/>
              </w:rPr>
              <w:t>评标专家确定方式：从</w:t>
            </w:r>
            <w:r>
              <w:rPr>
                <w:rFonts w:hint="eastAsia" w:ascii="宋体" w:hAnsi="宋体" w:cs="宋体"/>
                <w:szCs w:val="21"/>
              </w:rPr>
              <w:t>河南省综合</w:t>
            </w:r>
            <w:r>
              <w:rPr>
                <w:rFonts w:ascii="宋体" w:hAnsi="宋体" w:cs="宋体"/>
                <w:szCs w:val="21"/>
              </w:rPr>
              <w:t>评标专家库中随机抽取</w:t>
            </w:r>
            <w:r>
              <w:rPr>
                <w:rFonts w:hint="eastAsia" w:ascii="宋体" w:hAnsi="宋体" w:cs="宋体"/>
                <w:szCs w:val="21"/>
              </w:rPr>
              <w:t>。</w:t>
            </w:r>
          </w:p>
        </w:tc>
      </w:tr>
      <w:tr w14:paraId="60D11664">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0CBEE9C9">
            <w:pPr>
              <w:jc w:val="center"/>
              <w:rPr>
                <w:rFonts w:ascii="宋体" w:hAnsi="宋体"/>
                <w:szCs w:val="21"/>
              </w:rPr>
            </w:pPr>
            <w:r>
              <w:rPr>
                <w:rFonts w:ascii="宋体" w:hAnsi="宋体"/>
                <w:szCs w:val="21"/>
              </w:rPr>
              <w:t>7.1</w:t>
            </w:r>
          </w:p>
        </w:tc>
        <w:tc>
          <w:tcPr>
            <w:tcW w:w="1134" w:type="dxa"/>
            <w:tcBorders>
              <w:top w:val="single" w:color="auto" w:sz="4" w:space="0"/>
              <w:left w:val="single" w:color="auto" w:sz="4" w:space="0"/>
              <w:right w:val="single" w:color="auto" w:sz="4" w:space="0"/>
            </w:tcBorders>
            <w:vAlign w:val="center"/>
          </w:tcPr>
          <w:p w14:paraId="11359B40">
            <w:pPr>
              <w:jc w:val="center"/>
              <w:rPr>
                <w:rFonts w:ascii="宋体" w:hAnsi="宋体"/>
                <w:szCs w:val="21"/>
              </w:rPr>
            </w:pPr>
            <w:r>
              <w:rPr>
                <w:rFonts w:hint="eastAsia" w:ascii="宋体" w:hAnsi="宋体"/>
                <w:szCs w:val="21"/>
              </w:rPr>
              <w:t>是否授权评标委员会确定中标人</w:t>
            </w:r>
          </w:p>
        </w:tc>
        <w:tc>
          <w:tcPr>
            <w:tcW w:w="7015" w:type="dxa"/>
            <w:tcBorders>
              <w:top w:val="single" w:color="auto" w:sz="4" w:space="0"/>
              <w:left w:val="single" w:color="auto" w:sz="4" w:space="0"/>
              <w:right w:val="single" w:color="auto" w:sz="4" w:space="0"/>
            </w:tcBorders>
            <w:vAlign w:val="center"/>
          </w:tcPr>
          <w:p w14:paraId="1C6C244E">
            <w:pPr>
              <w:rPr>
                <w:rFonts w:ascii="宋体" w:hAnsi="宋体" w:cs="宋体"/>
                <w:szCs w:val="21"/>
              </w:rPr>
            </w:pPr>
            <w:r>
              <w:rPr>
                <w:rFonts w:hint="eastAsia" w:ascii="宋体" w:hAnsi="宋体" w:cs="宋体"/>
                <w:szCs w:val="21"/>
              </w:rPr>
              <w:t>□是</w:t>
            </w:r>
          </w:p>
          <w:p w14:paraId="38E63935">
            <w:pPr>
              <w:rPr>
                <w:rFonts w:ascii="宋体" w:hAnsi="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否，推荐的中标候选人数：1-3名</w:t>
            </w:r>
          </w:p>
        </w:tc>
      </w:tr>
      <w:tr w14:paraId="057CE8D4">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3A6D0D5D">
            <w:pPr>
              <w:jc w:val="center"/>
              <w:rPr>
                <w:rFonts w:ascii="宋体" w:hAnsi="宋体"/>
                <w:szCs w:val="21"/>
              </w:rPr>
            </w:pPr>
            <w:r>
              <w:rPr>
                <w:rFonts w:hint="eastAsia" w:ascii="宋体" w:hAnsi="宋体"/>
                <w:szCs w:val="21"/>
              </w:rPr>
              <w:t>7.2</w:t>
            </w:r>
          </w:p>
        </w:tc>
        <w:tc>
          <w:tcPr>
            <w:tcW w:w="1134" w:type="dxa"/>
            <w:tcBorders>
              <w:top w:val="single" w:color="auto" w:sz="4" w:space="0"/>
              <w:left w:val="single" w:color="auto" w:sz="4" w:space="0"/>
              <w:right w:val="single" w:color="auto" w:sz="4" w:space="0"/>
            </w:tcBorders>
            <w:vAlign w:val="center"/>
          </w:tcPr>
          <w:p w14:paraId="6BDC23DF">
            <w:pPr>
              <w:jc w:val="center"/>
              <w:rPr>
                <w:rFonts w:ascii="宋体" w:hAnsi="宋体"/>
                <w:szCs w:val="21"/>
              </w:rPr>
            </w:pPr>
            <w:r>
              <w:rPr>
                <w:rFonts w:hint="eastAsia" w:ascii="宋体" w:hAnsi="宋体"/>
                <w:szCs w:val="21"/>
              </w:rPr>
              <w:t>中标候选人公示媒介</w:t>
            </w:r>
          </w:p>
        </w:tc>
        <w:tc>
          <w:tcPr>
            <w:tcW w:w="7015" w:type="dxa"/>
            <w:tcBorders>
              <w:top w:val="single" w:color="auto" w:sz="4" w:space="0"/>
              <w:left w:val="single" w:color="auto" w:sz="4" w:space="0"/>
              <w:right w:val="single" w:color="auto" w:sz="4" w:space="0"/>
            </w:tcBorders>
            <w:vAlign w:val="center"/>
          </w:tcPr>
          <w:p w14:paraId="1038DDBE">
            <w:pPr>
              <w:rPr>
                <w:rFonts w:ascii="宋体" w:hAnsi="宋体"/>
                <w:szCs w:val="21"/>
              </w:rPr>
            </w:pPr>
            <w:r>
              <w:rPr>
                <w:rFonts w:hint="eastAsia" w:ascii="宋体" w:hAnsi="宋体"/>
                <w:szCs w:val="21"/>
              </w:rPr>
              <w:t>在中标通知书发出前，</w:t>
            </w:r>
            <w:r>
              <w:rPr>
                <w:rFonts w:hint="eastAsia" w:ascii="宋体" w:hAnsi="宋体" w:cs="宋体"/>
                <w:szCs w:val="21"/>
              </w:rPr>
              <w:t>招标人将中标候选人的情况在本招标项目招标公告发布的同一媒介予以公示，公示期为3日。</w:t>
            </w:r>
          </w:p>
        </w:tc>
      </w:tr>
      <w:tr w14:paraId="342C299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4DB1A51">
            <w:pPr>
              <w:jc w:val="center"/>
              <w:rPr>
                <w:rFonts w:ascii="宋体" w:hAnsi="宋体"/>
                <w:b/>
                <w:szCs w:val="21"/>
              </w:rPr>
            </w:pPr>
            <w:r>
              <w:rPr>
                <w:rFonts w:ascii="宋体" w:hAnsi="宋体"/>
                <w:b/>
                <w:szCs w:val="21"/>
              </w:rPr>
              <w:t>10</w:t>
            </w:r>
          </w:p>
        </w:tc>
        <w:tc>
          <w:tcPr>
            <w:tcW w:w="8149" w:type="dxa"/>
            <w:gridSpan w:val="2"/>
            <w:tcBorders>
              <w:top w:val="single" w:color="auto" w:sz="4" w:space="0"/>
              <w:left w:val="single" w:color="auto" w:sz="4" w:space="0"/>
              <w:bottom w:val="single" w:color="auto" w:sz="4" w:space="0"/>
              <w:right w:val="single" w:color="auto" w:sz="4" w:space="0"/>
            </w:tcBorders>
            <w:vAlign w:val="center"/>
          </w:tcPr>
          <w:p w14:paraId="7453B8CD">
            <w:pPr>
              <w:jc w:val="center"/>
              <w:rPr>
                <w:rFonts w:ascii="宋体" w:hAnsi="宋体"/>
                <w:b/>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r>
      <w:tr w14:paraId="7E9DCF9B">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321B584">
            <w:pPr>
              <w:jc w:val="center"/>
              <w:rPr>
                <w:rFonts w:ascii="宋体" w:hAnsi="宋体"/>
                <w:szCs w:val="21"/>
              </w:rPr>
            </w:pPr>
            <w:r>
              <w:rPr>
                <w:rFonts w:ascii="宋体" w:hAnsi="宋体"/>
                <w:szCs w:val="21"/>
              </w:rPr>
              <w:t>10</w:t>
            </w: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5E81AB46">
            <w:pPr>
              <w:jc w:val="center"/>
              <w:rPr>
                <w:rFonts w:ascii="宋体" w:hAnsi="宋体" w:cs="宋体"/>
                <w:szCs w:val="21"/>
              </w:rPr>
            </w:pPr>
            <w:r>
              <w:rPr>
                <w:rFonts w:hint="eastAsia" w:ascii="宋体" w:hAnsi="宋体" w:cs="宋体"/>
                <w:szCs w:val="21"/>
              </w:rPr>
              <w:t>类似项目</w:t>
            </w:r>
          </w:p>
        </w:tc>
        <w:tc>
          <w:tcPr>
            <w:tcW w:w="7015" w:type="dxa"/>
            <w:tcBorders>
              <w:top w:val="single" w:color="auto" w:sz="4" w:space="0"/>
              <w:left w:val="single" w:color="auto" w:sz="4" w:space="0"/>
              <w:bottom w:val="single" w:color="auto" w:sz="4" w:space="0"/>
              <w:right w:val="single" w:color="auto" w:sz="4" w:space="0"/>
            </w:tcBorders>
          </w:tcPr>
          <w:p w14:paraId="68AF89C9">
            <w:r>
              <w:rPr>
                <w:rFonts w:hint="eastAsia"/>
                <w:bCs/>
                <w:szCs w:val="21"/>
              </w:rPr>
              <w:t>类似项目是指：建筑工程监理项目</w:t>
            </w:r>
          </w:p>
        </w:tc>
      </w:tr>
      <w:tr w14:paraId="3093BF7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AB085B">
            <w:pPr>
              <w:jc w:val="center"/>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34B8CE9C">
            <w:pPr>
              <w:jc w:val="center"/>
              <w:rPr>
                <w:rFonts w:ascii="宋体" w:hAnsi="宋体" w:cs="宋体"/>
                <w:szCs w:val="21"/>
              </w:rPr>
            </w:pPr>
            <w:r>
              <w:rPr>
                <w:rFonts w:hint="eastAsia" w:ascii="宋体" w:hAnsi="宋体" w:cs="宋体"/>
                <w:szCs w:val="21"/>
              </w:rPr>
              <w:t>招标代理服务费</w:t>
            </w:r>
          </w:p>
        </w:tc>
        <w:tc>
          <w:tcPr>
            <w:tcW w:w="7015" w:type="dxa"/>
            <w:tcBorders>
              <w:top w:val="single" w:color="auto" w:sz="4" w:space="0"/>
              <w:left w:val="single" w:color="auto" w:sz="4" w:space="0"/>
              <w:bottom w:val="single" w:color="auto" w:sz="4" w:space="0"/>
              <w:right w:val="single" w:color="auto" w:sz="4" w:space="0"/>
            </w:tcBorders>
          </w:tcPr>
          <w:p w14:paraId="25603CE1">
            <w:r>
              <w:rPr>
                <w:rFonts w:hint="eastAsia"/>
                <w:bCs/>
                <w:szCs w:val="21"/>
              </w:rPr>
              <w:t>由中标人按河南省招标投标协会《河南省招标代理服务收费指导意见》豫招协（</w:t>
            </w:r>
            <w:r>
              <w:rPr>
                <w:bCs/>
                <w:szCs w:val="21"/>
              </w:rPr>
              <w:t>2023）</w:t>
            </w:r>
            <w:r>
              <w:rPr>
                <w:rFonts w:hint="eastAsia"/>
                <w:bCs/>
                <w:szCs w:val="21"/>
              </w:rPr>
              <w:t>0</w:t>
            </w:r>
            <w:r>
              <w:rPr>
                <w:bCs/>
                <w:szCs w:val="21"/>
              </w:rPr>
              <w:t>02号</w:t>
            </w:r>
            <w:r>
              <w:rPr>
                <w:rFonts w:hint="eastAsia"/>
                <w:bCs/>
                <w:szCs w:val="21"/>
              </w:rPr>
              <w:t>“河南省招标代理服务收费计算标准”</w:t>
            </w:r>
            <w:r>
              <w:rPr>
                <w:bCs/>
                <w:szCs w:val="21"/>
              </w:rPr>
              <w:t>支付招标代理服务费。</w:t>
            </w:r>
          </w:p>
        </w:tc>
      </w:tr>
      <w:tr w14:paraId="17F2A9E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DAE0E85">
            <w:pPr>
              <w:jc w:val="center"/>
              <w:rPr>
                <w:rFonts w:ascii="宋体" w:hAnsi="宋体"/>
                <w:szCs w:val="21"/>
              </w:rPr>
            </w:pPr>
            <w:r>
              <w:rPr>
                <w:rFonts w:ascii="宋体" w:hAnsi="宋体"/>
                <w:szCs w:val="21"/>
              </w:rPr>
              <w:t>10</w:t>
            </w:r>
            <w:r>
              <w:rPr>
                <w:rFonts w:hint="eastAsia" w:ascii="宋体" w:hAnsi="宋体"/>
                <w:szCs w:val="21"/>
              </w:rPr>
              <w:t>.</w:t>
            </w: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69EF5F18">
            <w:pPr>
              <w:jc w:val="center"/>
              <w:rPr>
                <w:rFonts w:ascii="宋体" w:hAnsi="宋体" w:cs="宋体"/>
                <w:szCs w:val="21"/>
              </w:rPr>
            </w:pPr>
            <w:r>
              <w:rPr>
                <w:rFonts w:hint="eastAsia" w:ascii="宋体" w:hAnsi="宋体" w:cs="宋体"/>
                <w:szCs w:val="21"/>
              </w:rPr>
              <w:t>合同及中标通知书</w:t>
            </w:r>
          </w:p>
        </w:tc>
        <w:tc>
          <w:tcPr>
            <w:tcW w:w="7015" w:type="dxa"/>
            <w:tcBorders>
              <w:top w:val="single" w:color="auto" w:sz="4" w:space="0"/>
              <w:left w:val="single" w:color="auto" w:sz="4" w:space="0"/>
              <w:bottom w:val="single" w:color="auto" w:sz="4" w:space="0"/>
              <w:right w:val="single" w:color="auto" w:sz="4" w:space="0"/>
            </w:tcBorders>
          </w:tcPr>
          <w:p w14:paraId="6C19947E">
            <w:pPr>
              <w:rPr>
                <w:bCs/>
                <w:szCs w:val="21"/>
              </w:rPr>
            </w:pPr>
            <w:r>
              <w:rPr>
                <w:rFonts w:hint="eastAsia"/>
                <w:bCs/>
                <w:szCs w:val="21"/>
              </w:rPr>
              <w:t>根据宛公办【2021】10号文的通知，工程建设项目中标通知书由招标人（代理机构）在公共资源交易平台在线签章发放，招标人、中标人通过公共资源交易平台系统在线签订合同。</w:t>
            </w:r>
          </w:p>
        </w:tc>
      </w:tr>
      <w:tr w14:paraId="1DFD12EA">
        <w:tblPrEx>
          <w:tblCellMar>
            <w:top w:w="0" w:type="dxa"/>
            <w:left w:w="108" w:type="dxa"/>
            <w:bottom w:w="0" w:type="dxa"/>
            <w:right w:w="108" w:type="dxa"/>
          </w:tblCellMar>
        </w:tblPrEx>
        <w:trPr>
          <w:trHeight w:val="489" w:hRule="atLeast"/>
        </w:trPr>
        <w:tc>
          <w:tcPr>
            <w:tcW w:w="9108" w:type="dxa"/>
            <w:gridSpan w:val="3"/>
            <w:tcBorders>
              <w:top w:val="single" w:color="auto" w:sz="4" w:space="0"/>
              <w:left w:val="single" w:color="auto" w:sz="4" w:space="0"/>
              <w:bottom w:val="single" w:color="auto" w:sz="4" w:space="0"/>
              <w:right w:val="single" w:color="auto" w:sz="4" w:space="0"/>
            </w:tcBorders>
            <w:vAlign w:val="center"/>
          </w:tcPr>
          <w:p w14:paraId="67A6E256">
            <w:pPr>
              <w:rPr>
                <w:rFonts w:ascii="宋体" w:hAnsi="宋体"/>
                <w:b/>
                <w:szCs w:val="21"/>
              </w:rPr>
            </w:pPr>
            <w:r>
              <w:rPr>
                <w:rFonts w:hint="eastAsia" w:ascii="宋体" w:hAnsi="宋体"/>
                <w:b/>
                <w:szCs w:val="21"/>
              </w:rPr>
              <w:t>注：</w:t>
            </w:r>
          </w:p>
          <w:p w14:paraId="2BF372FB">
            <w:pPr>
              <w:jc w:val="left"/>
            </w:pPr>
            <w:r>
              <w:rPr>
                <w:rFonts w:hint="eastAsia" w:ascii="宋体" w:hAnsi="宋体"/>
                <w:b/>
                <w:bCs/>
                <w:szCs w:val="21"/>
                <w:lang w:bidi="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b/>
                <w:szCs w:val="21"/>
                <w:lang w:bidi="zh-CN"/>
              </w:rPr>
              <w:t>其它未尽事宜,按国家有关法律、法规执行。招标文件的最终解释权归招标人；其它未尽事宜，按国家有关法律、法规执行。</w:t>
            </w:r>
          </w:p>
        </w:tc>
      </w:tr>
    </w:tbl>
    <w:p w14:paraId="7CF07D8A">
      <w:pPr>
        <w:ind w:firstLine="411" w:firstLineChars="196"/>
        <w:rPr>
          <w:rFonts w:ascii="宋体" w:hAnsi="宋体"/>
          <w:b/>
        </w:rPr>
      </w:pPr>
    </w:p>
    <w:p w14:paraId="6D727453">
      <w:pPr>
        <w:ind w:firstLine="411" w:firstLineChars="196"/>
        <w:rPr>
          <w:rFonts w:ascii="宋体" w:hAnsi="宋体"/>
          <w:b/>
        </w:rPr>
      </w:pPr>
      <w:r>
        <w:rPr>
          <w:rFonts w:hint="eastAsia" w:ascii="宋体" w:hAnsi="宋体"/>
          <w:b/>
        </w:rPr>
        <w:t>1. 总则</w:t>
      </w:r>
      <w:bookmarkEnd w:id="39"/>
      <w:bookmarkEnd w:id="40"/>
      <w:bookmarkEnd w:id="41"/>
      <w:bookmarkEnd w:id="42"/>
      <w:bookmarkEnd w:id="43"/>
      <w:bookmarkEnd w:id="44"/>
      <w:bookmarkEnd w:id="45"/>
      <w:bookmarkEnd w:id="46"/>
      <w:bookmarkEnd w:id="47"/>
      <w:bookmarkStart w:id="50" w:name="_Toc247085690"/>
      <w:bookmarkStart w:id="51" w:name="_Toc246996176"/>
      <w:bookmarkStart w:id="52" w:name="_Toc152042306"/>
      <w:bookmarkStart w:id="53" w:name="_Toc399596153"/>
      <w:bookmarkStart w:id="54" w:name="_Toc144974498"/>
      <w:bookmarkStart w:id="55" w:name="_Toc246996919"/>
      <w:bookmarkStart w:id="56" w:name="_Toc179632547"/>
      <w:bookmarkStart w:id="57" w:name="_Toc6650"/>
      <w:bookmarkStart w:id="58" w:name="_Toc152045530"/>
    </w:p>
    <w:p w14:paraId="6561EC6F">
      <w:pPr>
        <w:ind w:firstLine="411" w:firstLineChars="196"/>
        <w:rPr>
          <w:rFonts w:ascii="宋体" w:hAnsi="宋体"/>
          <w:b/>
        </w:rPr>
      </w:pPr>
      <w:r>
        <w:rPr>
          <w:rFonts w:hint="eastAsia" w:ascii="宋体" w:hAnsi="宋体"/>
          <w:b/>
        </w:rPr>
        <w:t>1.1 项目概况</w:t>
      </w:r>
      <w:bookmarkEnd w:id="50"/>
      <w:bookmarkEnd w:id="51"/>
      <w:bookmarkEnd w:id="52"/>
      <w:bookmarkEnd w:id="53"/>
      <w:bookmarkEnd w:id="54"/>
      <w:bookmarkEnd w:id="55"/>
      <w:bookmarkEnd w:id="56"/>
      <w:bookmarkEnd w:id="57"/>
      <w:bookmarkEnd w:id="58"/>
    </w:p>
    <w:p w14:paraId="1AEA9C8C">
      <w:pPr>
        <w:ind w:firstLine="420" w:firstLineChars="200"/>
        <w:rPr>
          <w:rFonts w:ascii="宋体" w:hAnsi="宋体"/>
        </w:rPr>
      </w:pPr>
      <w:r>
        <w:rPr>
          <w:rFonts w:hint="eastAsia" w:ascii="宋体" w:hAnsi="宋体"/>
        </w:rPr>
        <w:t>1.1.1根据《中华人民共和国招标投标法》等有关法律、法规和规章的规定，本招标项目已具备招标条件，现对本项目施工进行招标。</w:t>
      </w:r>
    </w:p>
    <w:p w14:paraId="12C8CB73">
      <w:pPr>
        <w:ind w:firstLine="420" w:firstLineChars="200"/>
        <w:rPr>
          <w:rFonts w:ascii="宋体" w:hAnsi="宋体"/>
        </w:rPr>
      </w:pPr>
      <w:r>
        <w:rPr>
          <w:rFonts w:hint="eastAsia" w:ascii="宋体" w:hAnsi="宋体"/>
        </w:rPr>
        <w:t>1.1.2 本招标项目招标人：见投标人须知前附表。</w:t>
      </w:r>
    </w:p>
    <w:p w14:paraId="58558B70">
      <w:pPr>
        <w:ind w:firstLine="420" w:firstLineChars="200"/>
        <w:rPr>
          <w:rFonts w:ascii="宋体" w:hAnsi="宋体"/>
        </w:rPr>
      </w:pPr>
      <w:r>
        <w:rPr>
          <w:rFonts w:hint="eastAsia" w:ascii="宋体" w:hAnsi="宋体"/>
        </w:rPr>
        <w:t>1.1.3 本招标项目招标代理机构：见投标人须知前附表。</w:t>
      </w:r>
    </w:p>
    <w:p w14:paraId="6CE8E08A">
      <w:pPr>
        <w:ind w:firstLine="420" w:firstLineChars="200"/>
        <w:rPr>
          <w:rFonts w:ascii="宋体" w:hAnsi="宋体"/>
        </w:rPr>
      </w:pPr>
      <w:r>
        <w:rPr>
          <w:rFonts w:hint="eastAsia" w:ascii="宋体" w:hAnsi="宋体"/>
        </w:rPr>
        <w:t>1.1.4 本招标项目名称：见投标人须知前附表。</w:t>
      </w:r>
    </w:p>
    <w:p w14:paraId="462D3278">
      <w:pPr>
        <w:ind w:firstLine="420" w:firstLineChars="200"/>
        <w:rPr>
          <w:rFonts w:ascii="宋体" w:hAnsi="宋体"/>
        </w:rPr>
      </w:pPr>
      <w:r>
        <w:rPr>
          <w:rFonts w:hint="eastAsia" w:ascii="宋体" w:hAnsi="宋体"/>
        </w:rPr>
        <w:t>1.1.5 本招标项目建设地点：见投标人须知前附表。</w:t>
      </w:r>
      <w:bookmarkStart w:id="59" w:name="_Toc10287"/>
      <w:bookmarkStart w:id="60" w:name="_Toc144974499"/>
      <w:bookmarkStart w:id="61" w:name="_Toc399596154"/>
      <w:bookmarkStart w:id="62" w:name="_Toc247085691"/>
      <w:bookmarkStart w:id="63" w:name="_Toc152045531"/>
      <w:bookmarkStart w:id="64" w:name="_Toc152042307"/>
      <w:bookmarkStart w:id="65" w:name="_Toc179632548"/>
      <w:bookmarkStart w:id="66" w:name="_Toc246996920"/>
      <w:bookmarkStart w:id="67" w:name="_Toc246996177"/>
    </w:p>
    <w:p w14:paraId="6BAE4E42">
      <w:pPr>
        <w:ind w:firstLine="420" w:firstLineChars="200"/>
        <w:rPr>
          <w:rFonts w:ascii="宋体" w:hAnsi="宋体"/>
          <w:b/>
        </w:rPr>
      </w:pPr>
      <w:r>
        <w:rPr>
          <w:rFonts w:hint="eastAsia" w:ascii="宋体" w:hAnsi="宋体"/>
          <w:b/>
        </w:rPr>
        <w:t>1.2 资金来源和落实情况</w:t>
      </w:r>
      <w:bookmarkEnd w:id="59"/>
      <w:bookmarkEnd w:id="60"/>
      <w:bookmarkEnd w:id="61"/>
      <w:bookmarkEnd w:id="62"/>
      <w:bookmarkEnd w:id="63"/>
      <w:bookmarkEnd w:id="64"/>
      <w:bookmarkEnd w:id="65"/>
      <w:bookmarkEnd w:id="66"/>
      <w:bookmarkEnd w:id="67"/>
    </w:p>
    <w:p w14:paraId="22905E3B">
      <w:pPr>
        <w:ind w:firstLine="420" w:firstLineChars="200"/>
        <w:rPr>
          <w:rFonts w:ascii="宋体" w:hAnsi="宋体"/>
        </w:rPr>
      </w:pPr>
      <w:r>
        <w:rPr>
          <w:rFonts w:hint="eastAsia" w:ascii="宋体" w:hAnsi="宋体"/>
        </w:rPr>
        <w:t>1.2.1 本招标项目的资金来源及出资比例：见投标人须知前附表。</w:t>
      </w:r>
    </w:p>
    <w:p w14:paraId="6A6DB19A">
      <w:pPr>
        <w:ind w:firstLine="420" w:firstLineChars="200"/>
        <w:rPr>
          <w:rFonts w:ascii="宋体" w:hAnsi="宋体"/>
        </w:rPr>
      </w:pPr>
      <w:r>
        <w:rPr>
          <w:rFonts w:hint="eastAsia" w:ascii="宋体" w:hAnsi="宋体"/>
        </w:rPr>
        <w:t>1.2.2 本招标项目的资金落实情况：见投标人须知前附表。</w:t>
      </w:r>
      <w:bookmarkStart w:id="68" w:name="_Toc246996921"/>
      <w:bookmarkStart w:id="69" w:name="_Toc152042308"/>
      <w:bookmarkStart w:id="70" w:name="_Toc399596155"/>
      <w:bookmarkStart w:id="71" w:name="_Toc144974500"/>
      <w:bookmarkStart w:id="72" w:name="_Toc28013"/>
      <w:bookmarkStart w:id="73" w:name="_Toc179632549"/>
      <w:bookmarkStart w:id="74" w:name="_Toc246996178"/>
      <w:bookmarkStart w:id="75" w:name="_Toc152045532"/>
      <w:bookmarkStart w:id="76" w:name="_Toc247085692"/>
    </w:p>
    <w:bookmarkEnd w:id="68"/>
    <w:bookmarkEnd w:id="69"/>
    <w:bookmarkEnd w:id="70"/>
    <w:bookmarkEnd w:id="71"/>
    <w:bookmarkEnd w:id="72"/>
    <w:bookmarkEnd w:id="73"/>
    <w:bookmarkEnd w:id="74"/>
    <w:bookmarkEnd w:id="75"/>
    <w:bookmarkEnd w:id="76"/>
    <w:p w14:paraId="615EFB15">
      <w:pPr>
        <w:spacing w:line="360" w:lineRule="auto"/>
        <w:ind w:firstLine="420" w:firstLineChars="200"/>
        <w:rPr>
          <w:rFonts w:ascii="宋体" w:hAnsi="宋体"/>
          <w:b/>
          <w:bCs/>
        </w:rPr>
      </w:pPr>
      <w:bookmarkStart w:id="77" w:name="_Toc374108691"/>
      <w:bookmarkStart w:id="78" w:name="_Toc373830710"/>
      <w:bookmarkStart w:id="79" w:name="_Toc360630353"/>
      <w:bookmarkStart w:id="80" w:name="_Toc247085693"/>
      <w:bookmarkStart w:id="81" w:name="_Toc152045534"/>
      <w:bookmarkStart w:id="82" w:name="_Toc152042310"/>
      <w:bookmarkStart w:id="83" w:name="_Toc144974502"/>
      <w:bookmarkStart w:id="84" w:name="_Toc399596156"/>
      <w:bookmarkStart w:id="85" w:name="_Toc179632551"/>
      <w:bookmarkStart w:id="86" w:name="_Toc21263"/>
      <w:bookmarkStart w:id="87" w:name="_Toc246996179"/>
      <w:bookmarkStart w:id="88" w:name="_Toc246996922"/>
      <w:r>
        <w:rPr>
          <w:rFonts w:hint="eastAsia" w:ascii="宋体" w:hAnsi="宋体"/>
          <w:b/>
          <w:bCs/>
        </w:rPr>
        <w:t>1.3 招标范围、监理期限和质量要求</w:t>
      </w:r>
      <w:bookmarkEnd w:id="77"/>
      <w:bookmarkEnd w:id="78"/>
      <w:bookmarkEnd w:id="79"/>
    </w:p>
    <w:p w14:paraId="3EBCF0DF">
      <w:pPr>
        <w:spacing w:line="360" w:lineRule="auto"/>
        <w:ind w:firstLine="420" w:firstLineChars="200"/>
        <w:rPr>
          <w:rFonts w:ascii="宋体" w:hAnsi="宋体"/>
        </w:rPr>
      </w:pPr>
      <w:r>
        <w:rPr>
          <w:rFonts w:hint="eastAsia" w:ascii="宋体" w:hAnsi="宋体"/>
        </w:rPr>
        <w:t>1.3.1 本次招标范围：见投标人须知前附表。</w:t>
      </w:r>
    </w:p>
    <w:p w14:paraId="044E1716">
      <w:pPr>
        <w:spacing w:line="360" w:lineRule="auto"/>
        <w:ind w:firstLine="420" w:firstLineChars="200"/>
        <w:rPr>
          <w:rFonts w:ascii="宋体" w:hAnsi="宋体"/>
        </w:rPr>
      </w:pPr>
      <w:r>
        <w:rPr>
          <w:rFonts w:hint="eastAsia" w:ascii="宋体" w:hAnsi="宋体"/>
        </w:rPr>
        <w:t>1.3.2本招标项目的监理期限：见投标人须知前附表。</w:t>
      </w:r>
    </w:p>
    <w:p w14:paraId="4B455A6F">
      <w:pPr>
        <w:spacing w:line="360" w:lineRule="auto"/>
        <w:ind w:firstLine="420" w:firstLineChars="200"/>
        <w:rPr>
          <w:rFonts w:ascii="宋体" w:hAnsi="宋体"/>
        </w:rPr>
      </w:pPr>
      <w:r>
        <w:rPr>
          <w:rFonts w:hint="eastAsia" w:ascii="宋体" w:hAnsi="宋体"/>
        </w:rPr>
        <w:t>1.3.3本招标项目的质量要求：见投标人须知前附表。</w:t>
      </w:r>
    </w:p>
    <w:p w14:paraId="55339674">
      <w:pPr>
        <w:ind w:firstLine="420" w:firstLineChars="200"/>
        <w:rPr>
          <w:rFonts w:ascii="宋体" w:hAnsi="宋体"/>
          <w:b/>
        </w:rPr>
      </w:pPr>
      <w:r>
        <w:rPr>
          <w:rFonts w:hint="eastAsia" w:ascii="宋体" w:hAnsi="宋体"/>
          <w:b/>
        </w:rPr>
        <w:t>1.4 投标人资格要求</w:t>
      </w:r>
      <w:bookmarkEnd w:id="80"/>
      <w:bookmarkEnd w:id="81"/>
      <w:bookmarkEnd w:id="82"/>
      <w:bookmarkEnd w:id="83"/>
      <w:bookmarkEnd w:id="84"/>
      <w:bookmarkEnd w:id="85"/>
      <w:bookmarkEnd w:id="86"/>
      <w:bookmarkEnd w:id="87"/>
      <w:bookmarkEnd w:id="88"/>
    </w:p>
    <w:p w14:paraId="36362FFD">
      <w:pPr>
        <w:ind w:firstLine="420" w:firstLineChars="200"/>
        <w:rPr>
          <w:rFonts w:ascii="宋体" w:hAnsi="宋体"/>
        </w:rPr>
      </w:pPr>
      <w:r>
        <w:rPr>
          <w:rFonts w:hint="eastAsia" w:ascii="宋体" w:hAnsi="宋体"/>
        </w:rPr>
        <w:t>1.4.1 投标人应具备承担本项目监理的资质条件、能力和信誉。</w:t>
      </w:r>
    </w:p>
    <w:p w14:paraId="3CC2184E">
      <w:pPr>
        <w:ind w:firstLine="359" w:firstLineChars="171"/>
        <w:rPr>
          <w:rFonts w:ascii="宋体" w:hAnsi="宋体"/>
        </w:rPr>
      </w:pPr>
      <w:r>
        <w:rPr>
          <w:rFonts w:hint="eastAsia" w:ascii="宋体" w:hAnsi="宋体"/>
        </w:rPr>
        <w:t>（1）资质条件：见投标人须知前附表；</w:t>
      </w:r>
    </w:p>
    <w:p w14:paraId="6CDA1E34">
      <w:pPr>
        <w:ind w:firstLine="359" w:firstLineChars="171"/>
        <w:rPr>
          <w:rFonts w:ascii="宋体" w:hAnsi="宋体"/>
        </w:rPr>
      </w:pPr>
      <w:r>
        <w:rPr>
          <w:rFonts w:hint="eastAsia" w:ascii="宋体" w:hAnsi="宋体"/>
        </w:rPr>
        <w:t>（2）项目经理资格：见投标人须知前附表；</w:t>
      </w:r>
    </w:p>
    <w:p w14:paraId="0A014A6C">
      <w:pPr>
        <w:ind w:firstLine="359" w:firstLineChars="171"/>
        <w:rPr>
          <w:rFonts w:ascii="宋体" w:hAnsi="宋体"/>
        </w:rPr>
      </w:pPr>
      <w:r>
        <w:rPr>
          <w:rFonts w:hint="eastAsia" w:ascii="宋体" w:hAnsi="宋体"/>
        </w:rPr>
        <w:t>（</w:t>
      </w:r>
      <w:r>
        <w:rPr>
          <w:rFonts w:ascii="宋体" w:hAnsi="宋体"/>
        </w:rPr>
        <w:t>3</w:t>
      </w:r>
      <w:r>
        <w:rPr>
          <w:rFonts w:hint="eastAsia" w:ascii="宋体" w:hAnsi="宋体"/>
        </w:rPr>
        <w:t>）其他要求：见投标人须知前附表。</w:t>
      </w:r>
    </w:p>
    <w:p w14:paraId="2B9AE6F4">
      <w:pPr>
        <w:ind w:firstLine="420" w:firstLineChars="200"/>
        <w:rPr>
          <w:rFonts w:ascii="宋体" w:hAnsi="宋体"/>
        </w:rPr>
      </w:pPr>
      <w:r>
        <w:rPr>
          <w:rFonts w:hint="eastAsia" w:ascii="宋体" w:hAnsi="宋体"/>
        </w:rPr>
        <w:t>1.4.2本项目不接受联合体投标。</w:t>
      </w:r>
      <w:bookmarkStart w:id="89" w:name="_Toc13130"/>
      <w:bookmarkStart w:id="90" w:name="_Toc246996923"/>
      <w:bookmarkStart w:id="91" w:name="_Toc247085694"/>
      <w:bookmarkStart w:id="92" w:name="_Toc144974503"/>
      <w:bookmarkStart w:id="93" w:name="_Toc152042311"/>
      <w:bookmarkStart w:id="94" w:name="_Toc179632552"/>
      <w:bookmarkStart w:id="95" w:name="_Toc399596157"/>
      <w:bookmarkStart w:id="96" w:name="_Toc246996180"/>
      <w:bookmarkStart w:id="97" w:name="_Toc152045535"/>
    </w:p>
    <w:p w14:paraId="743D0461">
      <w:pPr>
        <w:ind w:firstLine="420" w:firstLineChars="200"/>
        <w:rPr>
          <w:rFonts w:ascii="宋体" w:hAnsi="宋体"/>
        </w:rPr>
      </w:pPr>
      <w:r>
        <w:rPr>
          <w:rFonts w:ascii="宋体" w:hAnsi="宋体"/>
        </w:rPr>
        <w:t>1.4.3 投标人不得存在下列情形之一：</w:t>
      </w:r>
    </w:p>
    <w:p w14:paraId="190DA480">
      <w:pPr>
        <w:ind w:firstLine="420" w:firstLineChars="200"/>
        <w:rPr>
          <w:rFonts w:ascii="宋体" w:hAnsi="宋体"/>
        </w:rPr>
      </w:pPr>
      <w:r>
        <w:rPr>
          <w:rFonts w:ascii="宋体" w:hAnsi="宋体"/>
        </w:rPr>
        <w:t>（1）为招标人不具有独立法人资格的附属机构（单位）；</w:t>
      </w:r>
    </w:p>
    <w:p w14:paraId="4BF3FBB5">
      <w:pPr>
        <w:ind w:firstLine="420" w:firstLineChars="200"/>
        <w:rPr>
          <w:rFonts w:ascii="宋体" w:hAnsi="宋体"/>
        </w:rPr>
      </w:pPr>
      <w:r>
        <w:rPr>
          <w:rFonts w:ascii="宋体" w:hAnsi="宋体"/>
        </w:rPr>
        <w:t>（2）与招标人存在利害关系且可能影响招标公正性；</w:t>
      </w:r>
    </w:p>
    <w:p w14:paraId="0252C321">
      <w:pPr>
        <w:ind w:firstLine="420" w:firstLineChars="200"/>
        <w:rPr>
          <w:rFonts w:ascii="宋体" w:hAnsi="宋体"/>
        </w:rPr>
      </w:pPr>
      <w:r>
        <w:rPr>
          <w:rFonts w:ascii="宋体" w:hAnsi="宋体"/>
        </w:rPr>
        <w:t>（3）与本招标项目的其他投标人为同一个单位负责人；</w:t>
      </w:r>
    </w:p>
    <w:p w14:paraId="4AB27EE2">
      <w:pPr>
        <w:ind w:firstLine="420" w:firstLineChars="200"/>
        <w:rPr>
          <w:rFonts w:ascii="宋体" w:hAnsi="宋体"/>
        </w:rPr>
      </w:pPr>
      <w:r>
        <w:rPr>
          <w:rFonts w:ascii="宋体" w:hAnsi="宋体"/>
        </w:rPr>
        <w:t>（4）与本招标项目的其他投标人存在控股、管理关系；</w:t>
      </w:r>
    </w:p>
    <w:p w14:paraId="5D7920D4">
      <w:pPr>
        <w:ind w:firstLine="420" w:firstLineChars="200"/>
        <w:rPr>
          <w:rFonts w:ascii="宋体" w:hAnsi="宋体"/>
        </w:rPr>
      </w:pPr>
      <w:r>
        <w:rPr>
          <w:rFonts w:ascii="宋体" w:hAnsi="宋体"/>
        </w:rPr>
        <w:t>（5）为本招标项目的代建人；</w:t>
      </w:r>
    </w:p>
    <w:p w14:paraId="4C34F6C0">
      <w:pPr>
        <w:ind w:firstLine="420" w:firstLineChars="200"/>
        <w:rPr>
          <w:rFonts w:ascii="宋体" w:hAnsi="宋体"/>
        </w:rPr>
      </w:pPr>
      <w:r>
        <w:rPr>
          <w:rFonts w:ascii="宋体" w:hAnsi="宋体"/>
        </w:rPr>
        <w:t>（6）为本招标项目的招标代理机构；</w:t>
      </w:r>
    </w:p>
    <w:p w14:paraId="4AD54250">
      <w:pPr>
        <w:ind w:firstLine="420" w:firstLineChars="200"/>
        <w:rPr>
          <w:rFonts w:ascii="宋体" w:hAnsi="宋体"/>
        </w:rPr>
      </w:pPr>
      <w:r>
        <w:rPr>
          <w:rFonts w:ascii="宋体" w:hAnsi="宋体"/>
        </w:rPr>
        <w:t>（7）与本招标项目的代建人或招标代理机构同为一个法定代表人；</w:t>
      </w:r>
    </w:p>
    <w:p w14:paraId="77C55C56">
      <w:pPr>
        <w:ind w:firstLine="420" w:firstLineChars="200"/>
        <w:rPr>
          <w:rFonts w:ascii="宋体" w:hAnsi="宋体"/>
        </w:rPr>
      </w:pPr>
      <w:r>
        <w:rPr>
          <w:rFonts w:ascii="宋体" w:hAnsi="宋体"/>
        </w:rPr>
        <w:t>（8）与本招标项目的代建人或招标代理机构存在控股或参股关系；</w:t>
      </w:r>
    </w:p>
    <w:p w14:paraId="21F277C4">
      <w:pPr>
        <w:ind w:firstLine="420" w:firstLineChars="200"/>
        <w:rPr>
          <w:rFonts w:ascii="宋体" w:hAnsi="宋体"/>
        </w:rPr>
      </w:pPr>
      <w:r>
        <w:rPr>
          <w:rFonts w:ascii="宋体" w:hAnsi="宋体"/>
        </w:rPr>
        <w:t>（9）与本招标项目的施工承包人以及建筑材料、建筑构配件和设备供应商有隶属关系或者其他利害关系；</w:t>
      </w:r>
    </w:p>
    <w:p w14:paraId="77EDB21B">
      <w:pPr>
        <w:ind w:firstLine="420" w:firstLineChars="200"/>
        <w:rPr>
          <w:rFonts w:ascii="宋体" w:hAnsi="宋体"/>
        </w:rPr>
      </w:pPr>
      <w:r>
        <w:rPr>
          <w:rFonts w:ascii="宋体" w:hAnsi="宋体"/>
        </w:rPr>
        <w:t>（10）被依法暂停或者取消投标资格；</w:t>
      </w:r>
    </w:p>
    <w:p w14:paraId="62DFC5D1">
      <w:pPr>
        <w:ind w:firstLine="420" w:firstLineChars="200"/>
        <w:rPr>
          <w:rFonts w:ascii="宋体" w:hAnsi="宋体"/>
        </w:rPr>
      </w:pPr>
      <w:r>
        <w:rPr>
          <w:rFonts w:ascii="宋体" w:hAnsi="宋体"/>
        </w:rPr>
        <w:t>（11）被责令停产停业、暂扣或者吊销许可证、暂扣或者吊销执照；</w:t>
      </w:r>
    </w:p>
    <w:p w14:paraId="49EABDDE">
      <w:pPr>
        <w:ind w:firstLine="420" w:firstLineChars="200"/>
        <w:rPr>
          <w:rFonts w:ascii="宋体" w:hAnsi="宋体"/>
        </w:rPr>
      </w:pPr>
      <w:r>
        <w:rPr>
          <w:rFonts w:ascii="宋体" w:hAnsi="宋体"/>
        </w:rPr>
        <w:t>（12）进入清算程序，或被宣告破产，或其他丧失履约能力的情形；</w:t>
      </w:r>
    </w:p>
    <w:p w14:paraId="228C92F2">
      <w:pPr>
        <w:ind w:firstLine="420" w:firstLineChars="200"/>
        <w:rPr>
          <w:rFonts w:ascii="宋体" w:hAnsi="宋体"/>
        </w:rPr>
      </w:pPr>
      <w:r>
        <w:rPr>
          <w:rFonts w:ascii="宋体" w:hAnsi="宋体"/>
        </w:rPr>
        <w:t>（13）在最近三年内发生重大监理质量问题（以相关行业主管部门的行政处罚决定或司法 机关出具的有关法律文书为准）；</w:t>
      </w:r>
    </w:p>
    <w:p w14:paraId="12B5F4C6">
      <w:pPr>
        <w:ind w:firstLine="420" w:firstLineChars="200"/>
        <w:rPr>
          <w:rFonts w:ascii="宋体" w:hAnsi="宋体"/>
        </w:rPr>
      </w:pPr>
      <w:r>
        <w:rPr>
          <w:rFonts w:ascii="宋体" w:hAnsi="宋体"/>
        </w:rPr>
        <w:t>（14）被工商行政管理机关在全国企业信用信息公示系统中列入严重违法失信企业名单；</w:t>
      </w:r>
    </w:p>
    <w:p w14:paraId="0FBFBC97">
      <w:pPr>
        <w:ind w:firstLine="420" w:firstLineChars="200"/>
        <w:rPr>
          <w:rFonts w:ascii="宋体" w:hAnsi="宋体"/>
        </w:rPr>
      </w:pPr>
      <w:r>
        <w:rPr>
          <w:rFonts w:ascii="宋体" w:hAnsi="宋体"/>
        </w:rPr>
        <w:t>（15）被最高人民法院在“信用中国”网站（</w:t>
      </w:r>
      <w:r>
        <w:fldChar w:fldCharType="begin"/>
      </w:r>
      <w:r>
        <w:instrText xml:space="preserve"> HYPERLINK "http://www.creditchina.gov.cn/" \h </w:instrText>
      </w:r>
      <w:r>
        <w:fldChar w:fldCharType="separate"/>
      </w:r>
      <w:r>
        <w:rPr>
          <w:rFonts w:ascii="宋体" w:hAnsi="宋体"/>
        </w:rPr>
        <w:t>www.creditchina.gov.cn</w:t>
      </w:r>
      <w:r>
        <w:rPr>
          <w:rFonts w:ascii="宋体" w:hAnsi="宋体"/>
        </w:rPr>
        <w:fldChar w:fldCharType="end"/>
      </w:r>
      <w:r>
        <w:rPr>
          <w:rFonts w:ascii="宋体" w:hAnsi="宋体"/>
        </w:rPr>
        <w:t>）或各级信用信息共享平 台中列入失信被执行人名单；</w:t>
      </w:r>
    </w:p>
    <w:p w14:paraId="55EFDA65">
      <w:pPr>
        <w:ind w:firstLine="420" w:firstLineChars="200"/>
        <w:rPr>
          <w:rFonts w:ascii="宋体" w:hAnsi="宋体"/>
        </w:rPr>
      </w:pPr>
      <w:r>
        <w:rPr>
          <w:rFonts w:ascii="宋体" w:hAnsi="宋体"/>
        </w:rPr>
        <w:t>（</w:t>
      </w:r>
      <w:r>
        <w:rPr>
          <w:rFonts w:hint="eastAsia" w:ascii="宋体" w:hAnsi="宋体"/>
        </w:rPr>
        <w:t>16</w:t>
      </w:r>
      <w:r>
        <w:rPr>
          <w:rFonts w:ascii="宋体" w:hAnsi="宋体"/>
        </w:rPr>
        <w:t>）法律法规或投标人须知前附表规定的其他情形。</w:t>
      </w:r>
    </w:p>
    <w:bookmarkEnd w:id="89"/>
    <w:bookmarkEnd w:id="90"/>
    <w:bookmarkEnd w:id="91"/>
    <w:bookmarkEnd w:id="92"/>
    <w:bookmarkEnd w:id="93"/>
    <w:bookmarkEnd w:id="94"/>
    <w:bookmarkEnd w:id="95"/>
    <w:bookmarkEnd w:id="96"/>
    <w:bookmarkEnd w:id="97"/>
    <w:p w14:paraId="25FFD4DE">
      <w:pPr>
        <w:ind w:firstLine="420" w:firstLineChars="200"/>
        <w:rPr>
          <w:rFonts w:ascii="宋体" w:hAnsi="宋体"/>
          <w:b/>
        </w:rPr>
      </w:pPr>
      <w:bookmarkStart w:id="98" w:name="_Toc152042312"/>
      <w:bookmarkStart w:id="99" w:name="_Toc152045536"/>
      <w:bookmarkStart w:id="100" w:name="_Toc246996181"/>
      <w:bookmarkStart w:id="101" w:name="_Toc2983"/>
      <w:bookmarkStart w:id="102" w:name="_Toc144974504"/>
      <w:bookmarkStart w:id="103" w:name="_Toc247085695"/>
      <w:bookmarkStart w:id="104" w:name="_Toc399596158"/>
      <w:bookmarkStart w:id="105" w:name="_Toc246996924"/>
      <w:bookmarkStart w:id="106" w:name="_Toc179632553"/>
      <w:r>
        <w:rPr>
          <w:rFonts w:hint="eastAsia" w:ascii="宋体" w:hAnsi="宋体"/>
          <w:b/>
        </w:rPr>
        <w:t>1.5</w:t>
      </w:r>
      <w:bookmarkStart w:id="107" w:name="_Toc373830718"/>
      <w:bookmarkStart w:id="108" w:name="_Toc360630361"/>
      <w:bookmarkStart w:id="109" w:name="_Toc374108699"/>
      <w:r>
        <w:rPr>
          <w:rFonts w:hint="eastAsia" w:ascii="宋体" w:hAnsi="宋体"/>
          <w:b/>
        </w:rPr>
        <w:t xml:space="preserve"> 分包</w:t>
      </w:r>
    </w:p>
    <w:p w14:paraId="67C64EA4">
      <w:pPr>
        <w:ind w:firstLine="420" w:firstLineChars="200"/>
        <w:rPr>
          <w:rFonts w:ascii="宋体" w:hAnsi="宋体"/>
        </w:rPr>
      </w:pPr>
      <w:r>
        <w:rPr>
          <w:rFonts w:hint="eastAsia" w:ascii="宋体" w:hAnsi="宋体"/>
        </w:rPr>
        <w:t>不允许</w:t>
      </w:r>
      <w:bookmarkEnd w:id="107"/>
      <w:bookmarkEnd w:id="108"/>
      <w:bookmarkEnd w:id="109"/>
      <w:r>
        <w:rPr>
          <w:rFonts w:hint="eastAsia" w:ascii="宋体" w:hAnsi="宋体"/>
        </w:rPr>
        <w:t>。</w:t>
      </w:r>
    </w:p>
    <w:p w14:paraId="701F84B4">
      <w:pPr>
        <w:ind w:firstLine="420" w:firstLineChars="200"/>
        <w:rPr>
          <w:rFonts w:ascii="宋体" w:hAnsi="宋体"/>
          <w:b/>
          <w:szCs w:val="21"/>
        </w:rPr>
      </w:pPr>
      <w:r>
        <w:rPr>
          <w:rFonts w:hint="eastAsia" w:ascii="宋体" w:hAnsi="宋体"/>
          <w:b/>
          <w:szCs w:val="21"/>
        </w:rPr>
        <w:t>1.6 保密</w:t>
      </w:r>
      <w:bookmarkEnd w:id="98"/>
      <w:bookmarkEnd w:id="99"/>
      <w:bookmarkEnd w:id="100"/>
      <w:bookmarkEnd w:id="101"/>
      <w:bookmarkEnd w:id="102"/>
      <w:bookmarkEnd w:id="103"/>
      <w:bookmarkEnd w:id="104"/>
      <w:bookmarkEnd w:id="105"/>
      <w:bookmarkEnd w:id="106"/>
    </w:p>
    <w:p w14:paraId="4E67BB97">
      <w:pPr>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bookmarkStart w:id="110" w:name="_Toc144974505"/>
      <w:bookmarkStart w:id="111" w:name="_Toc247085696"/>
      <w:bookmarkStart w:id="112" w:name="_Toc246996925"/>
      <w:bookmarkStart w:id="113" w:name="_Toc152042313"/>
      <w:bookmarkStart w:id="114" w:name="_Toc399596159"/>
      <w:bookmarkStart w:id="115" w:name="_Toc21011"/>
      <w:bookmarkStart w:id="116" w:name="_Toc152045537"/>
      <w:bookmarkStart w:id="117" w:name="_Toc179632554"/>
      <w:bookmarkStart w:id="118" w:name="_Toc246996182"/>
    </w:p>
    <w:p w14:paraId="41A46E53">
      <w:pPr>
        <w:ind w:firstLine="420" w:firstLineChars="200"/>
        <w:rPr>
          <w:rFonts w:ascii="宋体" w:hAnsi="宋体"/>
          <w:b/>
        </w:rPr>
      </w:pPr>
      <w:r>
        <w:rPr>
          <w:rFonts w:hint="eastAsia" w:ascii="宋体" w:hAnsi="宋体"/>
          <w:b/>
        </w:rPr>
        <w:t>1.7 语言</w:t>
      </w:r>
      <w:bookmarkEnd w:id="110"/>
      <w:r>
        <w:rPr>
          <w:rFonts w:hint="eastAsia" w:ascii="宋体" w:hAnsi="宋体"/>
          <w:b/>
        </w:rPr>
        <w:t>文字</w:t>
      </w:r>
      <w:bookmarkEnd w:id="111"/>
      <w:bookmarkEnd w:id="112"/>
      <w:bookmarkEnd w:id="113"/>
      <w:bookmarkEnd w:id="114"/>
      <w:bookmarkEnd w:id="115"/>
      <w:bookmarkEnd w:id="116"/>
      <w:bookmarkEnd w:id="117"/>
      <w:bookmarkEnd w:id="118"/>
    </w:p>
    <w:p w14:paraId="417BC9E7">
      <w:pPr>
        <w:ind w:firstLine="420" w:firstLineChars="200"/>
        <w:rPr>
          <w:rFonts w:ascii="宋体" w:hAnsi="宋体"/>
        </w:rPr>
      </w:pPr>
      <w:bookmarkStart w:id="119" w:name="_Toc246996926"/>
      <w:bookmarkStart w:id="120" w:name="_Toc152042314"/>
      <w:bookmarkStart w:id="121" w:name="_Toc179632555"/>
      <w:bookmarkStart w:id="122" w:name="_Toc144974506"/>
      <w:bookmarkStart w:id="123" w:name="_Toc152045538"/>
      <w:bookmarkStart w:id="124" w:name="_Toc246996183"/>
      <w:bookmarkStart w:id="125" w:name="_Toc247085697"/>
      <w:r>
        <w:rPr>
          <w:rFonts w:hint="eastAsia" w:ascii="宋体" w:hAnsi="宋体"/>
        </w:rPr>
        <w:t>招标投标文件使用的语言文字为中文。专用术语使用外文的，应附有中文注释。</w:t>
      </w:r>
    </w:p>
    <w:p w14:paraId="4E65FB04">
      <w:pPr>
        <w:ind w:firstLine="422" w:firstLineChars="201"/>
        <w:rPr>
          <w:rFonts w:ascii="宋体" w:hAnsi="宋体"/>
          <w:b/>
        </w:rPr>
      </w:pPr>
      <w:bookmarkStart w:id="126" w:name="_Toc8246"/>
      <w:bookmarkStart w:id="127" w:name="_Toc399596160"/>
      <w:r>
        <w:rPr>
          <w:rFonts w:hint="eastAsia" w:ascii="宋体" w:hAnsi="宋体"/>
          <w:b/>
        </w:rPr>
        <w:t>1.8 计量单位</w:t>
      </w:r>
      <w:bookmarkEnd w:id="119"/>
      <w:bookmarkEnd w:id="120"/>
      <w:bookmarkEnd w:id="121"/>
      <w:bookmarkEnd w:id="122"/>
      <w:bookmarkEnd w:id="123"/>
      <w:bookmarkEnd w:id="124"/>
      <w:bookmarkEnd w:id="125"/>
      <w:bookmarkEnd w:id="126"/>
      <w:bookmarkEnd w:id="127"/>
    </w:p>
    <w:p w14:paraId="4DE3FC71">
      <w:pPr>
        <w:ind w:firstLine="420" w:firstLineChars="200"/>
        <w:rPr>
          <w:rFonts w:ascii="宋体" w:hAnsi="宋体"/>
        </w:rPr>
      </w:pPr>
      <w:r>
        <w:rPr>
          <w:rFonts w:hint="eastAsia" w:ascii="宋体" w:hAnsi="宋体"/>
        </w:rPr>
        <w:t>所有计量均采用中华人民共和国法定计量单位。</w:t>
      </w:r>
    </w:p>
    <w:p w14:paraId="1BE312E2">
      <w:pPr>
        <w:ind w:firstLine="422" w:firstLineChars="201"/>
        <w:rPr>
          <w:rFonts w:ascii="宋体" w:hAnsi="宋体"/>
          <w:b/>
        </w:rPr>
      </w:pPr>
      <w:bookmarkStart w:id="128" w:name="_Toc399596161"/>
      <w:bookmarkStart w:id="129" w:name="_Toc247513962"/>
      <w:bookmarkStart w:id="130" w:name="_Toc25033"/>
      <w:bookmarkStart w:id="131" w:name="_Toc247527563"/>
      <w:bookmarkStart w:id="132" w:name="_Toc152045539"/>
      <w:bookmarkStart w:id="133" w:name="_Toc152042315"/>
      <w:bookmarkStart w:id="134" w:name="_Toc144974507"/>
      <w:bookmarkStart w:id="135" w:name="_Toc247592876"/>
      <w:r>
        <w:rPr>
          <w:rFonts w:hint="eastAsia" w:ascii="宋体" w:hAnsi="宋体"/>
          <w:b/>
        </w:rPr>
        <w:t>1.9 踏勘现场</w:t>
      </w:r>
      <w:bookmarkEnd w:id="128"/>
      <w:bookmarkEnd w:id="129"/>
      <w:bookmarkEnd w:id="130"/>
      <w:bookmarkEnd w:id="131"/>
      <w:bookmarkEnd w:id="132"/>
      <w:bookmarkEnd w:id="133"/>
      <w:bookmarkEnd w:id="134"/>
      <w:bookmarkEnd w:id="135"/>
    </w:p>
    <w:p w14:paraId="0980D9DA">
      <w:pPr>
        <w:ind w:firstLine="420" w:firstLineChars="200"/>
        <w:rPr>
          <w:rFonts w:ascii="宋体" w:hAnsi="宋体"/>
        </w:rPr>
      </w:pPr>
      <w:r>
        <w:rPr>
          <w:rFonts w:hint="eastAsia" w:ascii="宋体" w:hAnsi="宋体"/>
        </w:rPr>
        <w:t xml:space="preserve">1.9.1 投标人须知前附表规定组织踏勘现场的，招标人按投标人须知前附表规定的时间、地点组织投标人踏勘项目现场。 </w:t>
      </w:r>
    </w:p>
    <w:p w14:paraId="76A3C788">
      <w:pPr>
        <w:ind w:firstLine="420" w:firstLineChars="200"/>
        <w:rPr>
          <w:rFonts w:ascii="宋体" w:hAnsi="宋体"/>
        </w:rPr>
      </w:pPr>
      <w:r>
        <w:rPr>
          <w:rFonts w:hint="eastAsia" w:ascii="宋体" w:hAnsi="宋体"/>
        </w:rPr>
        <w:t>1.9.2 投标人踏勘现场发生的费用自理。</w:t>
      </w:r>
    </w:p>
    <w:p w14:paraId="4D5395FB">
      <w:pPr>
        <w:ind w:firstLine="420" w:firstLineChars="200"/>
        <w:rPr>
          <w:rFonts w:ascii="宋体" w:hAnsi="宋体"/>
        </w:rPr>
      </w:pPr>
      <w:r>
        <w:rPr>
          <w:rFonts w:hint="eastAsia" w:ascii="宋体" w:hAnsi="宋体"/>
        </w:rPr>
        <w:t>1.9.3 除招标人的原因外，投标人自行负责在踏勘现场中所发生的人员伤亡和财产损失。</w:t>
      </w:r>
    </w:p>
    <w:p w14:paraId="05D9A37F">
      <w:pPr>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14:paraId="59E2096D">
      <w:pPr>
        <w:ind w:firstLine="422" w:firstLineChars="201"/>
        <w:rPr>
          <w:rFonts w:ascii="宋体" w:hAnsi="宋体"/>
          <w:b/>
        </w:rPr>
      </w:pPr>
      <w:bookmarkStart w:id="136" w:name="_Toc152042316"/>
      <w:bookmarkStart w:id="137" w:name="_Toc144974508"/>
      <w:bookmarkStart w:id="138" w:name="_Toc247592877"/>
      <w:bookmarkStart w:id="139" w:name="_Toc247527564"/>
      <w:bookmarkStart w:id="140" w:name="_Toc247513963"/>
      <w:bookmarkStart w:id="141" w:name="_Toc10376"/>
      <w:bookmarkStart w:id="142" w:name="_Toc152045540"/>
      <w:bookmarkStart w:id="143" w:name="_Toc399596162"/>
      <w:r>
        <w:rPr>
          <w:rFonts w:hint="eastAsia" w:ascii="宋体" w:hAnsi="宋体"/>
          <w:b/>
        </w:rPr>
        <w:t>1.10 投标预备会</w:t>
      </w:r>
      <w:bookmarkEnd w:id="136"/>
      <w:bookmarkEnd w:id="137"/>
      <w:bookmarkEnd w:id="138"/>
      <w:bookmarkEnd w:id="139"/>
      <w:bookmarkEnd w:id="140"/>
      <w:bookmarkEnd w:id="141"/>
      <w:bookmarkEnd w:id="142"/>
      <w:bookmarkEnd w:id="143"/>
    </w:p>
    <w:p w14:paraId="0A97598B">
      <w:pPr>
        <w:ind w:firstLine="420" w:firstLineChars="200"/>
        <w:rPr>
          <w:rFonts w:ascii="宋体" w:hAnsi="宋体"/>
        </w:rPr>
      </w:pPr>
      <w:r>
        <w:rPr>
          <w:rFonts w:hint="eastAsia" w:ascii="宋体" w:hAnsi="宋体"/>
        </w:rPr>
        <w:t>1.10.1 投标人须知前附表规定召开投标预备会的，招标人按投标人须知前附表规定的时间和地点召开投标预备会，澄清投标人提出的问题。</w:t>
      </w:r>
    </w:p>
    <w:p w14:paraId="07EB7254">
      <w:pPr>
        <w:ind w:firstLine="420" w:firstLineChars="200"/>
        <w:rPr>
          <w:rFonts w:ascii="宋体" w:hAnsi="宋体"/>
        </w:rPr>
      </w:pPr>
      <w:r>
        <w:rPr>
          <w:rFonts w:hint="eastAsia" w:ascii="宋体" w:hAnsi="宋体"/>
        </w:rPr>
        <w:t>1.10.2 投标人应在投标人须知前附表规定的时间前，以书面形式将提出的问题送达招标人，以便招标人在会议期间澄清。</w:t>
      </w:r>
    </w:p>
    <w:p w14:paraId="6D2E8B78">
      <w:pPr>
        <w:ind w:firstLine="420" w:firstLineChars="200"/>
        <w:rPr>
          <w:rFonts w:ascii="宋体" w:hAnsi="宋体"/>
        </w:rPr>
      </w:pPr>
      <w:r>
        <w:rPr>
          <w:rFonts w:hint="eastAsia" w:ascii="宋体" w:hAnsi="宋体"/>
        </w:rPr>
        <w:t>1.10.3 投标预备会后，招标人在投标人须知前附表规定的时间内，将对投标人所提问题的澄清，以书面形式通知所有购买招标文件的投标人。该澄清内容为招标文件的组成部分。</w:t>
      </w:r>
    </w:p>
    <w:p w14:paraId="6803CEA7">
      <w:pPr>
        <w:ind w:firstLine="422" w:firstLineChars="201"/>
        <w:rPr>
          <w:rFonts w:ascii="宋体" w:hAnsi="宋体"/>
          <w:b/>
        </w:rPr>
      </w:pPr>
      <w:bookmarkStart w:id="144" w:name="_Toc399596163"/>
      <w:bookmarkStart w:id="145" w:name="_Toc17298"/>
      <w:r>
        <w:rPr>
          <w:rFonts w:hint="eastAsia" w:ascii="宋体" w:hAnsi="宋体"/>
          <w:b/>
        </w:rPr>
        <w:t>1.11 偏离</w:t>
      </w:r>
      <w:bookmarkEnd w:id="144"/>
      <w:bookmarkEnd w:id="145"/>
    </w:p>
    <w:p w14:paraId="1EFFE77D">
      <w:pPr>
        <w:ind w:firstLine="420" w:firstLineChars="200"/>
        <w:rPr>
          <w:rFonts w:ascii="宋体" w:hAnsi="宋体"/>
        </w:rPr>
      </w:pPr>
      <w:r>
        <w:rPr>
          <w:rFonts w:hint="eastAsia" w:ascii="宋体" w:hAnsi="宋体"/>
        </w:rPr>
        <w:t>投标人须知前附表允许投标文件偏离招标文件某些要求的，偏离应当符合招标文件规定的偏离范围和幅度。</w:t>
      </w:r>
    </w:p>
    <w:p w14:paraId="03C67E14">
      <w:pPr>
        <w:ind w:firstLine="422" w:firstLineChars="201"/>
        <w:rPr>
          <w:rFonts w:ascii="宋体" w:hAnsi="宋体"/>
          <w:b/>
        </w:rPr>
      </w:pPr>
      <w:bookmarkStart w:id="146" w:name="_Toc246996930"/>
      <w:bookmarkStart w:id="147" w:name="_Toc179632560"/>
      <w:bookmarkStart w:id="148" w:name="_Toc144974510"/>
      <w:bookmarkStart w:id="149" w:name="_Toc152042318"/>
      <w:bookmarkStart w:id="150" w:name="_Toc152045542"/>
      <w:bookmarkStart w:id="151" w:name="_Toc399596164"/>
      <w:bookmarkStart w:id="152" w:name="_Toc12179"/>
      <w:bookmarkStart w:id="153" w:name="_Toc247085701"/>
      <w:bookmarkStart w:id="154" w:name="_Toc246996187"/>
      <w:r>
        <w:rPr>
          <w:rFonts w:hint="eastAsia" w:ascii="宋体" w:hAnsi="宋体"/>
          <w:b/>
        </w:rPr>
        <w:t>2. 招标文件</w:t>
      </w:r>
      <w:bookmarkEnd w:id="146"/>
      <w:bookmarkEnd w:id="147"/>
      <w:bookmarkEnd w:id="148"/>
      <w:bookmarkEnd w:id="149"/>
      <w:bookmarkEnd w:id="150"/>
      <w:bookmarkEnd w:id="151"/>
      <w:bookmarkEnd w:id="152"/>
      <w:bookmarkEnd w:id="153"/>
      <w:bookmarkEnd w:id="154"/>
    </w:p>
    <w:p w14:paraId="7DA224B8">
      <w:pPr>
        <w:ind w:firstLine="422" w:firstLineChars="201"/>
        <w:rPr>
          <w:rFonts w:ascii="宋体" w:hAnsi="宋体"/>
          <w:b/>
        </w:rPr>
      </w:pPr>
      <w:bookmarkStart w:id="155" w:name="_Toc152042319"/>
      <w:bookmarkStart w:id="156" w:name="_Toc144974511"/>
      <w:bookmarkStart w:id="157" w:name="_Toc247085702"/>
      <w:bookmarkStart w:id="158" w:name="_Toc21350"/>
      <w:bookmarkStart w:id="159" w:name="_Toc179632561"/>
      <w:bookmarkStart w:id="160" w:name="_Toc152045543"/>
      <w:bookmarkStart w:id="161" w:name="_Toc246996188"/>
      <w:bookmarkStart w:id="162" w:name="_Toc246996931"/>
      <w:bookmarkStart w:id="163" w:name="_Toc399596165"/>
      <w:r>
        <w:rPr>
          <w:rFonts w:hint="eastAsia" w:ascii="宋体" w:hAnsi="宋体"/>
          <w:b/>
        </w:rPr>
        <w:t>2.1 招标文件的组成</w:t>
      </w:r>
      <w:bookmarkEnd w:id="155"/>
      <w:bookmarkEnd w:id="156"/>
      <w:bookmarkEnd w:id="157"/>
      <w:bookmarkEnd w:id="158"/>
      <w:bookmarkEnd w:id="159"/>
      <w:bookmarkEnd w:id="160"/>
      <w:bookmarkEnd w:id="161"/>
      <w:bookmarkEnd w:id="162"/>
      <w:bookmarkEnd w:id="163"/>
    </w:p>
    <w:p w14:paraId="319DCCD4">
      <w:pPr>
        <w:rPr>
          <w:rFonts w:ascii="宋体" w:hAnsi="宋体"/>
        </w:rPr>
      </w:pPr>
      <w:r>
        <w:rPr>
          <w:rFonts w:hint="eastAsia" w:ascii="宋体" w:hAnsi="宋体"/>
        </w:rPr>
        <w:t>　　2.1.1 本招标文件包括：</w:t>
      </w:r>
    </w:p>
    <w:p w14:paraId="2C98577D">
      <w:pPr>
        <w:ind w:firstLine="359" w:firstLineChars="171"/>
        <w:rPr>
          <w:rFonts w:ascii="宋体" w:hAnsi="宋体"/>
        </w:rPr>
      </w:pPr>
      <w:r>
        <w:rPr>
          <w:rFonts w:hint="eastAsia" w:ascii="宋体" w:hAnsi="宋体"/>
        </w:rPr>
        <w:t>（1）招标公告；</w:t>
      </w:r>
    </w:p>
    <w:p w14:paraId="0AC8EFBA">
      <w:pPr>
        <w:ind w:firstLine="359" w:firstLineChars="171"/>
        <w:rPr>
          <w:rFonts w:ascii="宋体" w:hAnsi="宋体"/>
        </w:rPr>
      </w:pPr>
      <w:r>
        <w:rPr>
          <w:rFonts w:hint="eastAsia" w:ascii="宋体" w:hAnsi="宋体"/>
        </w:rPr>
        <w:t>（2）投标人须知；</w:t>
      </w:r>
    </w:p>
    <w:p w14:paraId="2CD4966E">
      <w:pPr>
        <w:ind w:firstLine="359" w:firstLineChars="171"/>
        <w:rPr>
          <w:rFonts w:ascii="宋体" w:hAnsi="宋体"/>
        </w:rPr>
      </w:pPr>
      <w:r>
        <w:rPr>
          <w:rFonts w:hint="eastAsia" w:ascii="宋体" w:hAnsi="宋体"/>
        </w:rPr>
        <w:t>（3）评标办法；</w:t>
      </w:r>
    </w:p>
    <w:p w14:paraId="1C63BE70">
      <w:pPr>
        <w:ind w:firstLine="359" w:firstLineChars="171"/>
        <w:rPr>
          <w:rFonts w:ascii="宋体" w:hAnsi="宋体"/>
        </w:rPr>
      </w:pPr>
      <w:r>
        <w:rPr>
          <w:rFonts w:hint="eastAsia" w:ascii="宋体" w:hAnsi="宋体"/>
        </w:rPr>
        <w:t>（4）合同条款及格式；</w:t>
      </w:r>
    </w:p>
    <w:p w14:paraId="25161789">
      <w:pPr>
        <w:ind w:firstLine="359" w:firstLineChars="171"/>
        <w:rPr>
          <w:rFonts w:ascii="宋体" w:hAnsi="宋体"/>
        </w:rPr>
      </w:pPr>
      <w:r>
        <w:rPr>
          <w:rFonts w:hint="eastAsia" w:ascii="宋体" w:hAnsi="宋体"/>
        </w:rPr>
        <w:t>（</w:t>
      </w:r>
      <w:r>
        <w:rPr>
          <w:rFonts w:ascii="宋体" w:hAnsi="宋体"/>
        </w:rPr>
        <w:t>5</w:t>
      </w:r>
      <w:r>
        <w:rPr>
          <w:rFonts w:hint="eastAsia" w:ascii="宋体" w:hAnsi="宋体"/>
        </w:rPr>
        <w:t>）图纸；</w:t>
      </w:r>
    </w:p>
    <w:p w14:paraId="59173AC1">
      <w:pPr>
        <w:ind w:firstLine="359" w:firstLineChars="171"/>
        <w:rPr>
          <w:rFonts w:ascii="宋体" w:hAnsi="宋体"/>
        </w:rPr>
      </w:pPr>
      <w:r>
        <w:rPr>
          <w:rFonts w:hint="eastAsia" w:ascii="宋体" w:hAnsi="宋体"/>
        </w:rPr>
        <w:t>（</w:t>
      </w:r>
      <w:r>
        <w:rPr>
          <w:rFonts w:ascii="宋体" w:hAnsi="宋体"/>
        </w:rPr>
        <w:t>6</w:t>
      </w:r>
      <w:r>
        <w:rPr>
          <w:rFonts w:hint="eastAsia" w:ascii="宋体" w:hAnsi="宋体"/>
        </w:rPr>
        <w:t xml:space="preserve">）技术标准和要求； </w:t>
      </w:r>
    </w:p>
    <w:p w14:paraId="49087527">
      <w:pPr>
        <w:ind w:firstLine="359" w:firstLineChars="171"/>
        <w:rPr>
          <w:rFonts w:ascii="宋体" w:hAnsi="宋体"/>
        </w:rPr>
      </w:pPr>
      <w:r>
        <w:rPr>
          <w:rFonts w:hint="eastAsia" w:ascii="宋体" w:hAnsi="宋体"/>
        </w:rPr>
        <w:t>（</w:t>
      </w:r>
      <w:r>
        <w:rPr>
          <w:rFonts w:ascii="宋体" w:hAnsi="宋体"/>
        </w:rPr>
        <w:t>7</w:t>
      </w:r>
      <w:r>
        <w:rPr>
          <w:rFonts w:hint="eastAsia" w:ascii="宋体" w:hAnsi="宋体"/>
        </w:rPr>
        <w:t>）投标文件格式；</w:t>
      </w:r>
    </w:p>
    <w:p w14:paraId="165FA20C">
      <w:pPr>
        <w:ind w:firstLine="359" w:firstLineChars="171"/>
        <w:rPr>
          <w:rFonts w:ascii="宋体" w:hAnsi="宋体"/>
        </w:rPr>
      </w:pPr>
      <w:r>
        <w:rPr>
          <w:rFonts w:hint="eastAsia" w:ascii="宋体" w:hAnsi="宋体"/>
        </w:rPr>
        <w:t>（</w:t>
      </w:r>
      <w:r>
        <w:rPr>
          <w:rFonts w:ascii="宋体" w:hAnsi="宋体"/>
        </w:rPr>
        <w:t>8</w:t>
      </w:r>
      <w:r>
        <w:rPr>
          <w:rFonts w:hint="eastAsia" w:ascii="宋体" w:hAnsi="宋体"/>
        </w:rPr>
        <w:t>）投标人须知前附表规定的其他材料。</w:t>
      </w:r>
    </w:p>
    <w:p w14:paraId="07814CAD">
      <w:pPr>
        <w:ind w:firstLine="420" w:firstLineChars="200"/>
        <w:rPr>
          <w:rFonts w:ascii="宋体" w:hAnsi="宋体"/>
        </w:rPr>
      </w:pPr>
      <w:r>
        <w:rPr>
          <w:rFonts w:hint="eastAsia" w:ascii="宋体" w:hAnsi="宋体"/>
        </w:rPr>
        <w:t>2.1.2 根据本章第2.2款对招标文件所作的澄清、修改，构成招标文件的组成部分。</w:t>
      </w:r>
    </w:p>
    <w:p w14:paraId="39B63ADD">
      <w:pPr>
        <w:ind w:firstLine="422" w:firstLineChars="201"/>
        <w:rPr>
          <w:rFonts w:ascii="宋体" w:hAnsi="宋体"/>
          <w:b/>
        </w:rPr>
      </w:pPr>
      <w:bookmarkStart w:id="164" w:name="_Toc144974512"/>
      <w:bookmarkStart w:id="165" w:name="_Toc179632562"/>
      <w:bookmarkStart w:id="166" w:name="_Toc399596166"/>
      <w:bookmarkStart w:id="167" w:name="_Toc247085703"/>
      <w:bookmarkStart w:id="168" w:name="_Toc4827"/>
      <w:bookmarkStart w:id="169" w:name="_Toc246996189"/>
      <w:bookmarkStart w:id="170" w:name="_Toc152042320"/>
      <w:bookmarkStart w:id="171" w:name="_Toc246996932"/>
      <w:bookmarkStart w:id="172" w:name="_Toc152045544"/>
      <w:r>
        <w:rPr>
          <w:rFonts w:hint="eastAsia" w:ascii="宋体" w:hAnsi="宋体"/>
          <w:b/>
        </w:rPr>
        <w:t>2.2 招标文件的澄清</w:t>
      </w:r>
      <w:bookmarkEnd w:id="164"/>
      <w:bookmarkEnd w:id="165"/>
      <w:bookmarkEnd w:id="166"/>
      <w:bookmarkEnd w:id="167"/>
      <w:bookmarkEnd w:id="168"/>
      <w:bookmarkEnd w:id="169"/>
      <w:bookmarkEnd w:id="170"/>
      <w:bookmarkEnd w:id="171"/>
      <w:bookmarkEnd w:id="172"/>
      <w:r>
        <w:rPr>
          <w:rFonts w:hint="eastAsia" w:ascii="宋体" w:hAnsi="宋体"/>
          <w:b/>
        </w:rPr>
        <w:t>和修改</w:t>
      </w:r>
    </w:p>
    <w:p w14:paraId="66CE8890">
      <w:pPr>
        <w:ind w:firstLine="422" w:firstLineChars="201"/>
        <w:rPr>
          <w:rFonts w:ascii="宋体" w:hAnsi="宋体"/>
        </w:rPr>
      </w:pPr>
      <w:bookmarkStart w:id="173" w:name="_Toc152042322"/>
      <w:bookmarkStart w:id="174" w:name="_Toc144974514"/>
      <w:bookmarkStart w:id="175" w:name="_Toc247085705"/>
      <w:bookmarkStart w:id="176" w:name="_Toc152045546"/>
      <w:bookmarkStart w:id="177" w:name="_Toc246996934"/>
      <w:bookmarkStart w:id="178" w:name="_Toc399596168"/>
      <w:bookmarkStart w:id="179" w:name="_Toc179632564"/>
      <w:bookmarkStart w:id="180" w:name="_Toc3600"/>
      <w:bookmarkStart w:id="181" w:name="_Toc246996191"/>
      <w:r>
        <w:rPr>
          <w:rFonts w:ascii="宋体" w:hAnsi="宋体"/>
        </w:rPr>
        <w:t>2.</w:t>
      </w:r>
      <w:r>
        <w:rPr>
          <w:rFonts w:hint="eastAsia" w:ascii="宋体" w:hAnsi="宋体"/>
        </w:rPr>
        <w:t>2</w:t>
      </w:r>
      <w:r>
        <w:rPr>
          <w:rFonts w:ascii="宋体" w:hAnsi="宋体"/>
        </w:rPr>
        <w:t>.1投标人</w:t>
      </w:r>
      <w:r>
        <w:rPr>
          <w:rFonts w:hint="eastAsia" w:ascii="宋体" w:hAnsi="宋体"/>
        </w:rPr>
        <w:t>从“唐河县公共资源交易中心网”下载招标文件后，</w:t>
      </w:r>
      <w:r>
        <w:rPr>
          <w:rFonts w:ascii="宋体" w:hAnsi="宋体"/>
        </w:rPr>
        <w:t>应仔细阅读招标文件的全部内容。如</w:t>
      </w:r>
      <w:r>
        <w:rPr>
          <w:rFonts w:hint="eastAsia" w:ascii="宋体" w:hAnsi="宋体"/>
        </w:rPr>
        <w:t>有疑问</w:t>
      </w:r>
      <w:r>
        <w:rPr>
          <w:rFonts w:ascii="宋体" w:hAnsi="宋体"/>
        </w:rPr>
        <w:t>，应及时向招标人提出，以便</w:t>
      </w:r>
      <w:r>
        <w:rPr>
          <w:rFonts w:hint="eastAsia" w:ascii="宋体" w:hAnsi="宋体"/>
        </w:rPr>
        <w:t>澄清</w:t>
      </w:r>
      <w:r>
        <w:rPr>
          <w:rFonts w:ascii="宋体" w:hAnsi="宋体"/>
        </w:rPr>
        <w:t>。</w:t>
      </w:r>
    </w:p>
    <w:p w14:paraId="4C4326A6">
      <w:pPr>
        <w:ind w:firstLine="422" w:firstLineChars="201"/>
        <w:rPr>
          <w:rFonts w:ascii="宋体" w:hAnsi="宋体"/>
        </w:rPr>
      </w:pPr>
      <w:r>
        <w:rPr>
          <w:rFonts w:hint="eastAsia" w:ascii="宋体" w:hAnsi="宋体"/>
        </w:rPr>
        <w:t>2.2.2 招标人不集中组织答疑，实行网上提疑和答疑。投标人若对招标文件有疑问，需要招标人予以澄清，应登录“唐河县公共资源交易中心网”以不署名的形式提出。按</w:t>
      </w:r>
      <w:r>
        <w:rPr>
          <w:rFonts w:ascii="宋体" w:hAnsi="宋体"/>
          <w:b/>
        </w:rPr>
        <w:t>投标人须知前附表</w:t>
      </w:r>
      <w:r>
        <w:rPr>
          <w:rFonts w:hint="eastAsia" w:ascii="宋体" w:hAnsi="宋体"/>
        </w:rPr>
        <w:t>规定时限前提疑。</w:t>
      </w:r>
    </w:p>
    <w:p w14:paraId="2B606CC2">
      <w:pPr>
        <w:ind w:firstLine="422" w:firstLineChars="201"/>
        <w:rPr>
          <w:rFonts w:ascii="宋体" w:hAnsi="宋体"/>
        </w:rPr>
      </w:pPr>
      <w:r>
        <w:rPr>
          <w:rFonts w:hint="eastAsia" w:ascii="宋体" w:hAnsi="宋体"/>
        </w:rPr>
        <w:t>2.2.3招标人将按</w:t>
      </w:r>
      <w:r>
        <w:rPr>
          <w:rFonts w:ascii="宋体" w:hAnsi="宋体"/>
          <w:b/>
        </w:rPr>
        <w:t>投标人须知前附表</w:t>
      </w:r>
      <w:r>
        <w:rPr>
          <w:rFonts w:hint="eastAsia" w:ascii="宋体" w:hAnsi="宋体"/>
        </w:rPr>
        <w:t>规定时限前在网上解答招标文件的疑问，并形成招标文件的澄清答疑文件。招标文件的澄清答疑文件将在“唐河县公共资源交易中心网”向所有投标人公示，</w:t>
      </w:r>
      <w:r>
        <w:rPr>
          <w:rFonts w:ascii="宋体" w:hAnsi="宋体"/>
        </w:rPr>
        <w:t>但不指明来源</w:t>
      </w:r>
      <w:r>
        <w:rPr>
          <w:rFonts w:hint="eastAsia" w:ascii="宋体" w:hAnsi="宋体"/>
        </w:rPr>
        <w:t>。</w:t>
      </w:r>
    </w:p>
    <w:p w14:paraId="423585DB">
      <w:pPr>
        <w:ind w:firstLine="422" w:firstLineChars="201"/>
        <w:rPr>
          <w:rFonts w:ascii="宋体" w:hAnsi="宋体"/>
        </w:rPr>
      </w:pPr>
      <w:r>
        <w:rPr>
          <w:rFonts w:hint="eastAsia" w:ascii="宋体" w:hAnsi="宋体"/>
        </w:rPr>
        <w:t>2.2.4 招标文件发布后，在</w:t>
      </w:r>
      <w:r>
        <w:rPr>
          <w:rFonts w:ascii="宋体" w:hAnsi="宋体"/>
          <w:b/>
        </w:rPr>
        <w:t>投标人须知前附表</w:t>
      </w:r>
      <w:r>
        <w:rPr>
          <w:rFonts w:hint="eastAsia" w:ascii="宋体" w:hAnsi="宋体"/>
        </w:rPr>
        <w:t>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w:t>
      </w:r>
    </w:p>
    <w:p w14:paraId="4932FE00">
      <w:pPr>
        <w:ind w:firstLine="422" w:firstLineChars="201"/>
        <w:rPr>
          <w:rFonts w:ascii="宋体" w:hAnsi="宋体"/>
        </w:rPr>
      </w:pPr>
      <w:r>
        <w:rPr>
          <w:rFonts w:hint="eastAsia" w:ascii="宋体" w:hAnsi="宋体"/>
        </w:rPr>
        <w:t>2.2.5 招标文件的答疑在“唐河县公共资源交易中心网”公示后，若投标人对招标文件的答疑有需要进一步澄清的，应在24小时内以不署名的形式在“唐河县公共资源交易中心网”提出。</w:t>
      </w:r>
    </w:p>
    <w:p w14:paraId="21BB4F3F">
      <w:pPr>
        <w:ind w:firstLine="422" w:firstLineChars="201"/>
        <w:rPr>
          <w:rFonts w:ascii="宋体" w:hAnsi="宋体"/>
        </w:rPr>
      </w:pPr>
      <w:bookmarkStart w:id="182" w:name="_Toc144974513"/>
      <w:bookmarkStart w:id="183" w:name="_Toc152042321"/>
      <w:bookmarkStart w:id="184" w:name="_Toc263777143"/>
      <w:bookmarkStart w:id="185" w:name="_Toc267475048"/>
      <w:bookmarkStart w:id="186" w:name="_Toc263403050"/>
      <w:bookmarkStart w:id="187" w:name="_Toc152045545"/>
      <w:r>
        <w:rPr>
          <w:rFonts w:hint="eastAsia" w:ascii="宋体" w:hAnsi="宋体"/>
        </w:rPr>
        <w:t>2.2.6 投标人应注意及时浏览网上发布的澄清和修改通知并下载，因投标人原因未及时获知澄清、修改内容而导致的任何后果，概由投标人自己承担。</w:t>
      </w:r>
    </w:p>
    <w:p w14:paraId="57339984">
      <w:pPr>
        <w:ind w:firstLine="422" w:firstLineChars="201"/>
        <w:rPr>
          <w:rFonts w:ascii="宋体" w:hAnsi="宋体"/>
        </w:rPr>
      </w:pPr>
      <w:r>
        <w:rPr>
          <w:rFonts w:hint="eastAsia" w:ascii="宋体" w:hAnsi="宋体"/>
        </w:rPr>
        <w:t>2.2.7 如果</w:t>
      </w:r>
      <w:r>
        <w:rPr>
          <w:rFonts w:ascii="宋体" w:hAnsi="宋体"/>
        </w:rPr>
        <w:t>澄清、</w:t>
      </w:r>
      <w:r>
        <w:rPr>
          <w:rFonts w:hint="eastAsia" w:ascii="宋体" w:hAnsi="宋体"/>
        </w:rPr>
        <w:t>修改招标文件的时间距投标截止时间不足15天，招标</w:t>
      </w:r>
      <w:r>
        <w:rPr>
          <w:rFonts w:ascii="宋体" w:hAnsi="宋体"/>
        </w:rPr>
        <w:t>人应当顺</w:t>
      </w:r>
      <w:r>
        <w:rPr>
          <w:rFonts w:hint="eastAsia" w:ascii="宋体" w:hAnsi="宋体"/>
        </w:rPr>
        <w:t>延提交投标</w:t>
      </w:r>
      <w:r>
        <w:rPr>
          <w:rFonts w:ascii="宋体" w:hAnsi="宋体"/>
        </w:rPr>
        <w:t>文件的</w:t>
      </w:r>
      <w:r>
        <w:rPr>
          <w:rFonts w:hint="eastAsia" w:ascii="宋体" w:hAnsi="宋体"/>
        </w:rPr>
        <w:t>截止时间。</w:t>
      </w:r>
    </w:p>
    <w:p w14:paraId="29D4AA39">
      <w:pPr>
        <w:ind w:firstLine="422" w:firstLineChars="201"/>
        <w:rPr>
          <w:rFonts w:ascii="宋体" w:hAnsi="宋体"/>
        </w:rPr>
      </w:pPr>
      <w:r>
        <w:rPr>
          <w:rFonts w:hint="eastAsia" w:ascii="宋体" w:hAnsi="宋体"/>
        </w:rPr>
        <w:t>2.2.8 招标文件的澄清、修改、补充等内容均以网上答疑形式明确的内容为准。当招标文件的澄清、修改、补充等在同一内容的表述上不一致时，以最后发出的网上答疑为准。</w:t>
      </w:r>
    </w:p>
    <w:bookmarkEnd w:id="182"/>
    <w:bookmarkEnd w:id="183"/>
    <w:bookmarkEnd w:id="184"/>
    <w:bookmarkEnd w:id="185"/>
    <w:bookmarkEnd w:id="186"/>
    <w:bookmarkEnd w:id="187"/>
    <w:p w14:paraId="7695FB10">
      <w:pPr>
        <w:ind w:firstLine="422" w:firstLineChars="201"/>
        <w:rPr>
          <w:rFonts w:ascii="宋体" w:hAnsi="宋体"/>
          <w:b/>
        </w:rPr>
      </w:pPr>
      <w:r>
        <w:rPr>
          <w:rFonts w:hint="eastAsia" w:ascii="宋体" w:hAnsi="宋体"/>
          <w:b/>
        </w:rPr>
        <w:t>3. 投标文件</w:t>
      </w:r>
      <w:bookmarkEnd w:id="173"/>
      <w:bookmarkEnd w:id="174"/>
      <w:bookmarkEnd w:id="175"/>
      <w:bookmarkEnd w:id="176"/>
      <w:bookmarkEnd w:id="177"/>
      <w:bookmarkEnd w:id="178"/>
      <w:bookmarkEnd w:id="179"/>
      <w:bookmarkEnd w:id="180"/>
      <w:bookmarkEnd w:id="181"/>
    </w:p>
    <w:p w14:paraId="64AF98E0">
      <w:pPr>
        <w:ind w:firstLine="420" w:firstLineChars="200"/>
        <w:rPr>
          <w:rFonts w:ascii="宋体" w:hAnsi="宋体"/>
        </w:rPr>
      </w:pPr>
      <w:bookmarkStart w:id="188" w:name="_Toc152042324"/>
      <w:bookmarkStart w:id="189" w:name="_Toc246996936"/>
      <w:bookmarkStart w:id="190" w:name="_Toc23687"/>
      <w:bookmarkStart w:id="191" w:name="_Toc247085707"/>
      <w:bookmarkStart w:id="192" w:name="_Toc399596170"/>
      <w:bookmarkStart w:id="193" w:name="_Toc152045548"/>
      <w:bookmarkStart w:id="194" w:name="_Toc144974516"/>
      <w:bookmarkStart w:id="195" w:name="_Toc246996193"/>
      <w:bookmarkStart w:id="196" w:name="_Toc179632566"/>
      <w:r>
        <w:rPr>
          <w:rFonts w:hint="eastAsia" w:ascii="宋体" w:hAnsi="宋体"/>
        </w:rPr>
        <w:t>3.1投标文件由投标函部分、商务部分和技术部分三部分组成。</w:t>
      </w:r>
    </w:p>
    <w:p w14:paraId="5F318E7B">
      <w:pPr>
        <w:ind w:firstLine="420" w:firstLineChars="200"/>
        <w:rPr>
          <w:rFonts w:ascii="宋体" w:hAnsi="宋体"/>
        </w:rPr>
      </w:pPr>
      <w:r>
        <w:rPr>
          <w:rFonts w:hint="eastAsia" w:ascii="宋体" w:hAnsi="宋体"/>
        </w:rPr>
        <w:t>3.1.1投标函部分主要包括下列内容：</w:t>
      </w:r>
    </w:p>
    <w:p w14:paraId="25C716F5">
      <w:pPr>
        <w:ind w:firstLine="420" w:firstLineChars="200"/>
        <w:rPr>
          <w:rFonts w:ascii="宋体" w:hAnsi="宋体"/>
        </w:rPr>
      </w:pPr>
      <w:r>
        <w:rPr>
          <w:rFonts w:hint="eastAsia" w:ascii="宋体" w:hAnsi="宋体"/>
        </w:rPr>
        <w:t>3.1.1.1开标一览表；</w:t>
      </w:r>
    </w:p>
    <w:p w14:paraId="1A78E795">
      <w:pPr>
        <w:ind w:firstLine="420" w:firstLineChars="200"/>
        <w:rPr>
          <w:rFonts w:ascii="宋体" w:hAnsi="宋体"/>
        </w:rPr>
      </w:pPr>
      <w:r>
        <w:rPr>
          <w:rFonts w:hint="eastAsia" w:ascii="宋体" w:hAnsi="宋体"/>
        </w:rPr>
        <w:t>3.1.1.2投标函；</w:t>
      </w:r>
    </w:p>
    <w:p w14:paraId="60694498">
      <w:pPr>
        <w:ind w:firstLine="420" w:firstLineChars="200"/>
        <w:rPr>
          <w:rFonts w:ascii="宋体" w:hAnsi="宋体"/>
        </w:rPr>
      </w:pPr>
      <w:r>
        <w:rPr>
          <w:rFonts w:hint="eastAsia" w:ascii="宋体" w:hAnsi="宋体"/>
        </w:rPr>
        <w:t>3.1.1.3法定代表人身份证明书；</w:t>
      </w:r>
    </w:p>
    <w:p w14:paraId="5768E0F1">
      <w:pPr>
        <w:ind w:firstLine="420" w:firstLineChars="200"/>
        <w:rPr>
          <w:rFonts w:ascii="宋体" w:hAnsi="宋体"/>
        </w:rPr>
      </w:pPr>
      <w:r>
        <w:rPr>
          <w:rFonts w:hint="eastAsia" w:ascii="宋体" w:hAnsi="宋体"/>
        </w:rPr>
        <w:t>3.1.1.4投标文件签署授权委托书；</w:t>
      </w:r>
    </w:p>
    <w:p w14:paraId="2BEC7A7C">
      <w:pPr>
        <w:ind w:firstLine="420" w:firstLineChars="200"/>
        <w:rPr>
          <w:rFonts w:ascii="宋体" w:hAnsi="宋体"/>
        </w:rPr>
      </w:pPr>
      <w:r>
        <w:rPr>
          <w:rFonts w:hint="eastAsia" w:ascii="宋体" w:hAnsi="宋体"/>
        </w:rPr>
        <w:t>3.1.1.5投标人情况（法人营业执照、资质证书复印件）；</w:t>
      </w:r>
    </w:p>
    <w:p w14:paraId="3FB796F0">
      <w:pPr>
        <w:ind w:firstLine="420" w:firstLineChars="200"/>
        <w:rPr>
          <w:rFonts w:ascii="宋体" w:hAnsi="宋体"/>
        </w:rPr>
      </w:pPr>
      <w:r>
        <w:rPr>
          <w:rFonts w:hint="eastAsia" w:ascii="宋体" w:hAnsi="宋体"/>
        </w:rPr>
        <w:t>3.1.1.6投标保证金承诺函。</w:t>
      </w:r>
    </w:p>
    <w:p w14:paraId="62AEAF5B">
      <w:pPr>
        <w:ind w:firstLine="420" w:firstLineChars="200"/>
        <w:rPr>
          <w:rFonts w:ascii="宋体" w:hAnsi="宋体"/>
        </w:rPr>
      </w:pPr>
      <w:r>
        <w:rPr>
          <w:rFonts w:hint="eastAsia" w:ascii="宋体" w:hAnsi="宋体"/>
        </w:rPr>
        <w:t>3.1.2商务部分：</w:t>
      </w:r>
    </w:p>
    <w:p w14:paraId="7B991129">
      <w:pPr>
        <w:ind w:firstLine="420" w:firstLineChars="200"/>
        <w:rPr>
          <w:rFonts w:ascii="宋体" w:hAnsi="宋体"/>
        </w:rPr>
      </w:pPr>
      <w:r>
        <w:rPr>
          <w:rFonts w:hint="eastAsia" w:ascii="宋体" w:hAnsi="宋体"/>
        </w:rPr>
        <w:t>3.1.2.1主要包括监理报价及组成分析和说明；</w:t>
      </w:r>
    </w:p>
    <w:p w14:paraId="2E3010E6">
      <w:pPr>
        <w:ind w:firstLine="420" w:firstLineChars="200"/>
        <w:rPr>
          <w:rFonts w:ascii="宋体" w:hAnsi="宋体"/>
        </w:rPr>
      </w:pPr>
      <w:r>
        <w:rPr>
          <w:rFonts w:hint="eastAsia" w:ascii="宋体" w:hAnsi="宋体"/>
        </w:rPr>
        <w:t>3.1.2.2项目监理机构配备情况（包括项目监理人员、总监简历、业绩和监理机构配备情况）。</w:t>
      </w:r>
    </w:p>
    <w:p w14:paraId="63D0F538">
      <w:pPr>
        <w:ind w:firstLine="420" w:firstLineChars="200"/>
        <w:rPr>
          <w:rFonts w:ascii="宋体" w:hAnsi="宋体"/>
        </w:rPr>
      </w:pPr>
      <w:r>
        <w:rPr>
          <w:rFonts w:hint="eastAsia" w:ascii="宋体" w:hAnsi="宋体"/>
        </w:rPr>
        <w:t>3.1.3技术部分主要包括下列内容：</w:t>
      </w:r>
    </w:p>
    <w:p w14:paraId="318312F0">
      <w:pPr>
        <w:ind w:firstLine="420" w:firstLineChars="200"/>
        <w:rPr>
          <w:rFonts w:ascii="宋体" w:hAnsi="宋体"/>
        </w:rPr>
      </w:pPr>
      <w:r>
        <w:rPr>
          <w:rFonts w:hint="eastAsia" w:ascii="宋体" w:hAnsi="宋体"/>
        </w:rPr>
        <w:t>3.1.3.1监理大纲（包括人员如何配备、质量、工期、关键部位、关键工序及投资等控制措施和方法，文明、安全措施及相关协调方法，旁站监理及投入仪器设备等内容）。</w:t>
      </w:r>
    </w:p>
    <w:p w14:paraId="7F1AB93E">
      <w:pPr>
        <w:ind w:firstLine="420" w:firstLineChars="200"/>
        <w:rPr>
          <w:rFonts w:ascii="宋体" w:hAnsi="宋体"/>
        </w:rPr>
      </w:pPr>
      <w:r>
        <w:rPr>
          <w:rFonts w:hint="eastAsia" w:ascii="宋体" w:hAnsi="宋体"/>
        </w:rPr>
        <w:t>3.1.3.2 投标人应根据有关规定，结合工程实际情况，制定监理工作内容和工作目标大纲；</w:t>
      </w:r>
    </w:p>
    <w:p w14:paraId="5336F366">
      <w:pPr>
        <w:ind w:firstLine="420" w:firstLineChars="200"/>
        <w:rPr>
          <w:rFonts w:ascii="宋体" w:hAnsi="宋体"/>
        </w:rPr>
      </w:pPr>
      <w:r>
        <w:rPr>
          <w:rFonts w:hint="eastAsia" w:ascii="宋体" w:hAnsi="宋体"/>
        </w:rPr>
        <w:t>3.1.4 投标人对本工程监理的重点、难点分析相应的解决方案和措施；投标人能提供的特殊服务能力也应在投标文件中列出；</w:t>
      </w:r>
    </w:p>
    <w:p w14:paraId="25774DA7">
      <w:pPr>
        <w:ind w:firstLine="420" w:firstLineChars="200"/>
        <w:rPr>
          <w:rFonts w:ascii="宋体" w:hAnsi="宋体"/>
        </w:rPr>
      </w:pPr>
      <w:r>
        <w:rPr>
          <w:rFonts w:hint="eastAsia" w:ascii="宋体" w:hAnsi="宋体"/>
        </w:rPr>
        <w:t>3.1.5 投标人在投标文件中必须对总监及各专业监理工程师组成人员进行明确；</w:t>
      </w:r>
    </w:p>
    <w:p w14:paraId="344ADE33">
      <w:pPr>
        <w:ind w:firstLine="420" w:firstLineChars="200"/>
        <w:rPr>
          <w:rFonts w:ascii="宋体" w:hAnsi="宋体"/>
        </w:rPr>
      </w:pPr>
      <w:r>
        <w:rPr>
          <w:rFonts w:hint="eastAsia" w:ascii="宋体" w:hAnsi="宋体"/>
        </w:rPr>
        <w:t>3.1.6其它需要提供的资料。</w:t>
      </w:r>
    </w:p>
    <w:p w14:paraId="242CFB5F">
      <w:pPr>
        <w:ind w:firstLine="422" w:firstLineChars="201"/>
        <w:rPr>
          <w:rFonts w:ascii="宋体" w:hAnsi="宋体"/>
          <w:b/>
        </w:rPr>
      </w:pPr>
      <w:r>
        <w:rPr>
          <w:rFonts w:hint="eastAsia" w:ascii="宋体" w:hAnsi="宋体"/>
          <w:b/>
        </w:rPr>
        <w:t>3.2 投标报价</w:t>
      </w:r>
      <w:bookmarkEnd w:id="188"/>
      <w:bookmarkEnd w:id="189"/>
      <w:bookmarkEnd w:id="190"/>
      <w:bookmarkEnd w:id="191"/>
      <w:bookmarkEnd w:id="192"/>
      <w:bookmarkEnd w:id="193"/>
      <w:bookmarkEnd w:id="194"/>
      <w:bookmarkEnd w:id="195"/>
      <w:bookmarkEnd w:id="196"/>
    </w:p>
    <w:p w14:paraId="4F8A1AC3">
      <w:pPr>
        <w:ind w:firstLine="420" w:firstLineChars="200"/>
        <w:rPr>
          <w:rFonts w:ascii="宋体" w:hAnsi="宋体"/>
        </w:rPr>
      </w:pPr>
      <w:bookmarkStart w:id="197" w:name="_Toc246996937"/>
      <w:bookmarkStart w:id="198" w:name="_Toc152045549"/>
      <w:bookmarkStart w:id="199" w:name="_Toc246996194"/>
      <w:bookmarkStart w:id="200" w:name="_Toc247085708"/>
      <w:bookmarkStart w:id="201" w:name="_Toc179632567"/>
      <w:bookmarkStart w:id="202" w:name="_Toc399596171"/>
      <w:bookmarkStart w:id="203" w:name="_Toc144974517"/>
      <w:bookmarkStart w:id="204" w:name="_Toc2649"/>
      <w:bookmarkStart w:id="205" w:name="_Toc152042325"/>
      <w:r>
        <w:rPr>
          <w:rFonts w:hint="eastAsia" w:ascii="宋体" w:hAnsi="宋体"/>
        </w:rPr>
        <w:t>3.2.1</w:t>
      </w:r>
      <w:r>
        <w:rPr>
          <w:rFonts w:ascii="宋体" w:hAnsi="宋体"/>
        </w:rPr>
        <w:t xml:space="preserve"> 投标报价是投标人按照招标文件的要求完成施工准备阶段、施工阶段、交工验收与缺陷责任期</w:t>
      </w:r>
      <w:r>
        <w:rPr>
          <w:rFonts w:hint="eastAsia" w:ascii="宋体" w:hAnsi="宋体"/>
        </w:rPr>
        <w:t>阶段</w:t>
      </w:r>
      <w:r>
        <w:rPr>
          <w:rFonts w:ascii="宋体" w:hAnsi="宋体"/>
        </w:rPr>
        <w:t>监理工作所需的费用。</w:t>
      </w:r>
    </w:p>
    <w:p w14:paraId="2DDC6F74">
      <w:pPr>
        <w:ind w:firstLine="420" w:firstLineChars="200"/>
        <w:rPr>
          <w:rFonts w:ascii="宋体" w:hAnsi="宋体"/>
        </w:rPr>
      </w:pPr>
      <w:r>
        <w:rPr>
          <w:rFonts w:hint="eastAsia" w:ascii="宋体" w:hAnsi="宋体"/>
        </w:rPr>
        <w:t>3.2.2投标人应根据工程建设监理收费标准，结合本工程实际情况和企业成本考虑监理期间的物价上涨、政策性调整等诸多因素以及由此引起的费用变动，并以市场价予以适当调整，进行自主合理报价。</w:t>
      </w:r>
    </w:p>
    <w:p w14:paraId="48DD931E">
      <w:pPr>
        <w:ind w:firstLine="420" w:firstLineChars="200"/>
        <w:rPr>
          <w:rFonts w:ascii="宋体" w:hAnsi="宋体"/>
        </w:rPr>
      </w:pPr>
      <w:r>
        <w:rPr>
          <w:rFonts w:hint="eastAsia" w:ascii="宋体" w:hAnsi="宋体"/>
        </w:rPr>
        <w:t>3.2.3投标报价为投标人的投标文件中提出的各项支付金额的总和。</w:t>
      </w:r>
    </w:p>
    <w:p w14:paraId="4B876844">
      <w:pPr>
        <w:ind w:firstLine="420" w:firstLineChars="200"/>
        <w:rPr>
          <w:rFonts w:ascii="宋体" w:hAnsi="宋体"/>
        </w:rPr>
      </w:pPr>
      <w:r>
        <w:rPr>
          <w:rFonts w:hint="eastAsia" w:ascii="宋体" w:hAnsi="宋体"/>
        </w:rPr>
        <w:t>3.2.4投标单位的投标报价应是监理服务期内，监理单位按合同规定的范围所提供的全部服务所需的费用。要求把现场办公、生活设施以及交通、通讯设备等费用列入报价之中。除合同规定外，不得另行增加额外条件和增加监理费用。</w:t>
      </w:r>
    </w:p>
    <w:p w14:paraId="11574A33">
      <w:pPr>
        <w:ind w:firstLine="420" w:firstLineChars="200"/>
        <w:rPr>
          <w:rFonts w:ascii="宋体" w:hAnsi="宋体"/>
        </w:rPr>
      </w:pPr>
      <w:r>
        <w:rPr>
          <w:rFonts w:hint="eastAsia" w:ascii="宋体" w:hAnsi="宋体"/>
        </w:rPr>
        <w:t>3.2.5本项目以工程投资概算为基数，根据委托监理业务的范围、深度和工程的性质、规模、难易程度以及工作条件等情况进行监理服务的总价报价，详细写出监理服务报价的依据、计算过程、计算结果、优惠及最后报价。监理合同价按所监理工程施工中标价的总报价计算。监理结算价最终以所监理工程的工程结算价及甲方供材费用之总价为计算基数并与中标价之积计取。</w:t>
      </w:r>
    </w:p>
    <w:p w14:paraId="7713A8A3">
      <w:pPr>
        <w:ind w:firstLine="420" w:firstLineChars="200"/>
        <w:rPr>
          <w:rFonts w:ascii="宋体" w:hAnsi="宋体"/>
        </w:rPr>
      </w:pPr>
      <w:r>
        <w:rPr>
          <w:rFonts w:hint="eastAsia" w:ascii="宋体" w:hAnsi="宋体"/>
        </w:rPr>
        <w:t>3.2.6投标价格不包括监理额外工作报酬、附加工作报酬和业主给付的奖金。</w:t>
      </w:r>
    </w:p>
    <w:p w14:paraId="06500346">
      <w:pPr>
        <w:ind w:firstLine="420" w:firstLineChars="200"/>
        <w:rPr>
          <w:rFonts w:ascii="宋体" w:hAnsi="宋体"/>
        </w:rPr>
      </w:pPr>
      <w:r>
        <w:rPr>
          <w:rFonts w:hint="eastAsia" w:ascii="宋体" w:hAnsi="宋体"/>
        </w:rPr>
        <w:t>3.2.7投标单位应说明收费标准，计算基数和优惠条件及理由。</w:t>
      </w:r>
    </w:p>
    <w:p w14:paraId="50BD01F4">
      <w:pPr>
        <w:ind w:firstLine="420" w:firstLineChars="200"/>
        <w:rPr>
          <w:rFonts w:ascii="宋体" w:hAnsi="宋体"/>
        </w:rPr>
      </w:pPr>
      <w:r>
        <w:rPr>
          <w:rFonts w:hint="eastAsia" w:ascii="宋体" w:hAnsi="宋体"/>
        </w:rPr>
        <w:t>3.2.8投标人可先到工地踏勘以充分了解工地位置、情况、道路、储存空间、装卸限制及任何其它足以影响报价的情况，任何因忽视或误解工地情况而导致的索赔或工期延长申请将不被批准。</w:t>
      </w:r>
    </w:p>
    <w:p w14:paraId="07655EDC">
      <w:pPr>
        <w:ind w:firstLine="420" w:firstLineChars="200"/>
        <w:rPr>
          <w:rFonts w:ascii="宋体" w:hAnsi="宋体"/>
        </w:rPr>
      </w:pPr>
      <w:r>
        <w:rPr>
          <w:rFonts w:hint="eastAsia" w:ascii="宋体" w:hAnsi="宋体"/>
        </w:rPr>
        <w:t>3.2.9投标人的投标文件只能有一个报价，任何有选择的报价招标人都将不予接受。</w:t>
      </w:r>
    </w:p>
    <w:p w14:paraId="3047DDF1">
      <w:pPr>
        <w:ind w:firstLine="422" w:firstLineChars="201"/>
        <w:rPr>
          <w:rFonts w:ascii="宋体" w:hAnsi="宋体"/>
          <w:b/>
        </w:rPr>
      </w:pPr>
      <w:r>
        <w:rPr>
          <w:rFonts w:hint="eastAsia" w:ascii="宋体" w:hAnsi="宋体"/>
          <w:b/>
        </w:rPr>
        <w:t>3.3 投标有效期</w:t>
      </w:r>
      <w:bookmarkEnd w:id="197"/>
      <w:bookmarkEnd w:id="198"/>
      <w:bookmarkEnd w:id="199"/>
      <w:bookmarkEnd w:id="200"/>
      <w:bookmarkEnd w:id="201"/>
      <w:bookmarkEnd w:id="202"/>
      <w:bookmarkEnd w:id="203"/>
      <w:bookmarkEnd w:id="204"/>
      <w:bookmarkEnd w:id="205"/>
    </w:p>
    <w:p w14:paraId="59143CAE">
      <w:pPr>
        <w:ind w:firstLine="420" w:firstLineChars="200"/>
        <w:rPr>
          <w:rFonts w:ascii="宋体" w:hAnsi="宋体"/>
        </w:rPr>
      </w:pPr>
      <w:bookmarkStart w:id="206" w:name="_Toc26483"/>
      <w:bookmarkStart w:id="207" w:name="_Toc179632568"/>
      <w:bookmarkStart w:id="208" w:name="_Toc246996938"/>
      <w:bookmarkStart w:id="209" w:name="_Toc144974518"/>
      <w:bookmarkStart w:id="210" w:name="_Toc152042326"/>
      <w:bookmarkStart w:id="211" w:name="_Toc152045550"/>
      <w:bookmarkStart w:id="212" w:name="_Toc247085709"/>
      <w:bookmarkStart w:id="213" w:name="_Toc246996195"/>
      <w:bookmarkStart w:id="214" w:name="_Toc399596172"/>
      <w:r>
        <w:rPr>
          <w:rFonts w:ascii="宋体" w:hAnsi="宋体"/>
        </w:rPr>
        <w:t xml:space="preserve">3.3.1 </w:t>
      </w:r>
      <w:r>
        <w:rPr>
          <w:rFonts w:hint="eastAsia" w:ascii="宋体" w:hAnsi="宋体"/>
        </w:rPr>
        <w:t>除投标人须知前附表另有规定外，投标有效期为</w:t>
      </w:r>
      <w:r>
        <w:rPr>
          <w:rFonts w:ascii="宋体" w:hAnsi="宋体"/>
        </w:rPr>
        <w:t>60</w:t>
      </w:r>
      <w:r>
        <w:rPr>
          <w:rFonts w:hint="eastAsia" w:ascii="宋体" w:hAnsi="宋体"/>
        </w:rPr>
        <w:t>天。</w:t>
      </w:r>
      <w:r>
        <w:rPr>
          <w:rFonts w:ascii="宋体" w:hAnsi="宋体"/>
        </w:rPr>
        <w:t xml:space="preserve"> </w:t>
      </w:r>
    </w:p>
    <w:p w14:paraId="6809AD06">
      <w:pPr>
        <w:ind w:firstLine="420" w:firstLineChars="200"/>
        <w:rPr>
          <w:rFonts w:ascii="宋体" w:hAnsi="宋体"/>
        </w:rPr>
      </w:pPr>
      <w:r>
        <w:rPr>
          <w:rFonts w:ascii="宋体" w:hAnsi="宋体"/>
        </w:rPr>
        <w:t>3.3.2</w:t>
      </w:r>
      <w:r>
        <w:rPr>
          <w:rFonts w:hint="eastAsia" w:ascii="宋体" w:hAnsi="宋体"/>
        </w:rPr>
        <w:t>在投标有效期内，投标人撤销或修改其投标文件的，应承担招标文件和法律规定的责任。</w:t>
      </w:r>
      <w:r>
        <w:rPr>
          <w:rFonts w:ascii="宋体" w:hAnsi="宋体"/>
        </w:rPr>
        <w:t xml:space="preserve"> </w:t>
      </w:r>
    </w:p>
    <w:p w14:paraId="24F006C5">
      <w:pPr>
        <w:ind w:firstLine="420" w:firstLineChars="200"/>
        <w:rPr>
          <w:rFonts w:ascii="宋体" w:hAnsi="宋体"/>
        </w:rPr>
      </w:pPr>
      <w:r>
        <w:rPr>
          <w:rFonts w:ascii="宋体" w:hAnsi="宋体"/>
        </w:rPr>
        <w:t>3.3.3</w:t>
      </w:r>
      <w:r>
        <w:rPr>
          <w:rFonts w:hint="eastAsia" w:ascii="宋体" w:hAnsi="宋体"/>
        </w:rPr>
        <w:t>出现特殊情况需要延长投标有效期的，招标人以书面形式通知所有投标人延长投标有效期。投标人同意延长的，应相应延长其投标保证金承诺函的有效期，但不得要求或被允许修改或撤销其投标文件；投标人拒绝延长的，其投标失效，但投标人有权收回其投标保证金承诺函。</w:t>
      </w:r>
    </w:p>
    <w:p w14:paraId="276776E1">
      <w:pPr>
        <w:ind w:firstLine="422" w:firstLineChars="201"/>
        <w:rPr>
          <w:rFonts w:ascii="宋体" w:hAnsi="宋体"/>
          <w:b/>
        </w:rPr>
      </w:pPr>
      <w:r>
        <w:rPr>
          <w:rFonts w:hint="eastAsia" w:ascii="宋体" w:hAnsi="宋体"/>
          <w:b/>
        </w:rPr>
        <w:t>3.4 投标保证金</w:t>
      </w:r>
      <w:bookmarkEnd w:id="206"/>
      <w:bookmarkEnd w:id="207"/>
      <w:bookmarkEnd w:id="208"/>
      <w:bookmarkEnd w:id="209"/>
      <w:bookmarkEnd w:id="210"/>
      <w:bookmarkEnd w:id="211"/>
      <w:bookmarkEnd w:id="212"/>
      <w:bookmarkEnd w:id="213"/>
      <w:bookmarkEnd w:id="214"/>
    </w:p>
    <w:p w14:paraId="1878E0E6">
      <w:pPr>
        <w:ind w:firstLine="422" w:firstLineChars="201"/>
        <w:rPr>
          <w:rFonts w:ascii="宋体" w:hAnsi="宋体"/>
          <w:lang w:bidi="zh-CN"/>
        </w:rPr>
      </w:pPr>
      <w:bookmarkStart w:id="215" w:name="_Toc152045552"/>
      <w:bookmarkStart w:id="216" w:name="_Toc247085710"/>
      <w:bookmarkStart w:id="217" w:name="_Toc144974520"/>
      <w:bookmarkStart w:id="218" w:name="_Toc27040"/>
      <w:bookmarkStart w:id="219" w:name="_Toc246996939"/>
      <w:bookmarkStart w:id="220" w:name="_Toc399596173"/>
      <w:bookmarkStart w:id="221" w:name="_Toc179632570"/>
      <w:bookmarkStart w:id="222" w:name="_Toc246996196"/>
      <w:bookmarkStart w:id="223" w:name="_Toc152042328"/>
      <w:r>
        <w:rPr>
          <w:rFonts w:hint="eastAsia" w:ascii="宋体" w:hAnsi="宋体"/>
        </w:rPr>
        <w:t>3.4.1投标人需按按规定格式递交投标保证金承诺函，并作为其投标文件的组成部分。</w:t>
      </w:r>
    </w:p>
    <w:p w14:paraId="44BF677D">
      <w:pPr>
        <w:ind w:firstLine="422" w:firstLineChars="201"/>
        <w:rPr>
          <w:rFonts w:ascii="宋体" w:hAnsi="宋体"/>
          <w:lang w:bidi="zh-CN"/>
        </w:rPr>
      </w:pPr>
      <w:r>
        <w:rPr>
          <w:rFonts w:hint="eastAsia" w:ascii="宋体" w:hAnsi="宋体"/>
        </w:rPr>
        <w:t>3.4.2 投标人不按按规定格式递交投标保证金承诺函的，评标委员会将否决其投标。</w:t>
      </w:r>
    </w:p>
    <w:p w14:paraId="6FCA457A">
      <w:pPr>
        <w:ind w:firstLine="422" w:firstLineChars="201"/>
        <w:rPr>
          <w:rFonts w:ascii="宋体" w:hAnsi="宋体"/>
          <w:lang w:bidi="zh-CN"/>
        </w:rPr>
      </w:pPr>
      <w:r>
        <w:rPr>
          <w:rFonts w:hint="eastAsia" w:ascii="宋体" w:hAnsi="宋体"/>
        </w:rPr>
        <w:t>3.4.3有下列情形之一的，投标人按照投标保证金承诺函的承诺缴纳违约金：</w:t>
      </w:r>
    </w:p>
    <w:p w14:paraId="517B6BF3">
      <w:pPr>
        <w:ind w:firstLine="422" w:firstLineChars="201"/>
        <w:rPr>
          <w:rFonts w:ascii="宋体" w:hAnsi="宋体"/>
        </w:rPr>
      </w:pPr>
      <w:r>
        <w:rPr>
          <w:rFonts w:hint="eastAsia" w:ascii="宋体" w:hAnsi="宋体"/>
        </w:rPr>
        <w:t>（1）投标人在规定的投标有效期内撤销或修改其投标文件；</w:t>
      </w:r>
    </w:p>
    <w:p w14:paraId="42020FC9">
      <w:pPr>
        <w:ind w:firstLine="422" w:firstLineChars="201"/>
        <w:rPr>
          <w:rFonts w:ascii="宋体" w:hAnsi="宋体"/>
        </w:rPr>
      </w:pPr>
      <w:r>
        <w:rPr>
          <w:rFonts w:hint="eastAsia" w:ascii="宋体" w:hAnsi="宋体"/>
        </w:rPr>
        <w:t>（2）中标人在收到中标通知书后，无正当理由拒签合同协议书。</w:t>
      </w:r>
    </w:p>
    <w:p w14:paraId="2CCA5482">
      <w:pPr>
        <w:ind w:firstLine="422" w:firstLineChars="201"/>
        <w:rPr>
          <w:rFonts w:ascii="宋体" w:hAnsi="宋体"/>
          <w:b/>
        </w:rPr>
      </w:pPr>
      <w:r>
        <w:rPr>
          <w:rFonts w:hint="eastAsia" w:ascii="宋体" w:hAnsi="宋体"/>
          <w:b/>
        </w:rPr>
        <w:t>3.5 资格审查资料</w:t>
      </w:r>
      <w:bookmarkEnd w:id="215"/>
      <w:bookmarkEnd w:id="216"/>
      <w:bookmarkEnd w:id="217"/>
      <w:bookmarkEnd w:id="218"/>
      <w:bookmarkEnd w:id="219"/>
      <w:bookmarkEnd w:id="220"/>
      <w:bookmarkEnd w:id="221"/>
      <w:bookmarkEnd w:id="222"/>
      <w:bookmarkEnd w:id="223"/>
    </w:p>
    <w:p w14:paraId="12D502EA">
      <w:pPr>
        <w:ind w:firstLine="420" w:firstLineChars="200"/>
      </w:pPr>
      <w:r>
        <w:rPr>
          <w:rFonts w:hint="eastAsia" w:ascii="宋体" w:hAnsi="宋体"/>
        </w:rPr>
        <w:t>3.5.1 见投标人须知前附表。</w:t>
      </w:r>
    </w:p>
    <w:p w14:paraId="45A04090">
      <w:pPr>
        <w:ind w:firstLine="422" w:firstLineChars="201"/>
        <w:rPr>
          <w:rFonts w:ascii="宋体" w:hAnsi="宋体"/>
          <w:b/>
        </w:rPr>
      </w:pPr>
      <w:bookmarkStart w:id="224" w:name="_Toc399596174"/>
      <w:bookmarkStart w:id="225" w:name="_Toc28439"/>
      <w:bookmarkStart w:id="226" w:name="_Toc152042329"/>
      <w:bookmarkStart w:id="227" w:name="_Toc179632571"/>
      <w:bookmarkStart w:id="228" w:name="_Toc246996197"/>
      <w:bookmarkStart w:id="229" w:name="_Toc247085711"/>
      <w:bookmarkStart w:id="230" w:name="_Toc144974521"/>
      <w:bookmarkStart w:id="231" w:name="_Toc246996940"/>
      <w:bookmarkStart w:id="232" w:name="_Toc152045553"/>
      <w:r>
        <w:rPr>
          <w:rFonts w:hint="eastAsia" w:ascii="宋体" w:hAnsi="宋体"/>
          <w:b/>
        </w:rPr>
        <w:t>3.6投标文件的编制</w:t>
      </w:r>
      <w:bookmarkEnd w:id="224"/>
      <w:bookmarkEnd w:id="225"/>
    </w:p>
    <w:bookmarkEnd w:id="226"/>
    <w:bookmarkEnd w:id="227"/>
    <w:bookmarkEnd w:id="228"/>
    <w:bookmarkEnd w:id="229"/>
    <w:bookmarkEnd w:id="230"/>
    <w:bookmarkEnd w:id="231"/>
    <w:bookmarkEnd w:id="232"/>
    <w:p w14:paraId="00AA613F">
      <w:pPr>
        <w:ind w:firstLine="420" w:firstLineChars="200"/>
        <w:rPr>
          <w:rFonts w:ascii="宋体" w:hAnsi="宋体"/>
        </w:rPr>
      </w:pPr>
      <w:bookmarkStart w:id="233" w:name="_Toc247085713"/>
      <w:bookmarkStart w:id="234" w:name="_Toc152042331"/>
      <w:bookmarkStart w:id="235" w:name="_Toc179632573"/>
      <w:bookmarkStart w:id="236" w:name="_Toc399596175"/>
      <w:bookmarkStart w:id="237" w:name="_Toc246996199"/>
      <w:bookmarkStart w:id="238" w:name="_Toc246996942"/>
      <w:bookmarkStart w:id="239" w:name="_Toc152045555"/>
      <w:bookmarkStart w:id="240" w:name="_Toc29034"/>
      <w:bookmarkStart w:id="241" w:name="_Toc144974523"/>
      <w:r>
        <w:rPr>
          <w:rFonts w:hint="eastAsia" w:ascii="宋体" w:hAnsi="宋体"/>
        </w:rPr>
        <w:t>3.6.1投标文件应按 “投标人须知”和“投标文件格式”进行编写，如有必要，可以增加附页，作为投标文件的组成部分。其中，投标函附录在满足招标文件实质性要求的基础上，可以提出比招标文件要求更有利于招标人的承诺。</w:t>
      </w:r>
    </w:p>
    <w:p w14:paraId="6C3689FC">
      <w:pPr>
        <w:ind w:firstLine="420" w:firstLineChars="200"/>
        <w:rPr>
          <w:rFonts w:ascii="宋体" w:hAnsi="宋体"/>
        </w:rPr>
      </w:pPr>
      <w:r>
        <w:rPr>
          <w:rFonts w:hint="eastAsia" w:ascii="宋体" w:hAnsi="宋体"/>
        </w:rPr>
        <w:t>3.6.2 投标文件应当对招标文件有关</w:t>
      </w:r>
      <w:r>
        <w:rPr>
          <w:rFonts w:hint="eastAsia" w:ascii="宋体" w:hAnsi="宋体"/>
          <w:szCs w:val="21"/>
        </w:rPr>
        <w:t>工期、投标有效期、质量要求、技术标准和要求、招标范围</w:t>
      </w:r>
      <w:r>
        <w:rPr>
          <w:rFonts w:hint="eastAsia" w:ascii="宋体" w:hAnsi="宋体"/>
        </w:rPr>
        <w:t>等实质性内容作出响应。</w:t>
      </w:r>
    </w:p>
    <w:p w14:paraId="0515873B">
      <w:pPr>
        <w:ind w:firstLine="420" w:firstLineChars="200"/>
        <w:rPr>
          <w:rFonts w:ascii="宋体" w:hAnsi="宋体"/>
        </w:rPr>
      </w:pPr>
      <w:r>
        <w:rPr>
          <w:rFonts w:hint="eastAsia" w:ascii="宋体" w:hAnsi="宋体"/>
        </w:rPr>
        <w:t>3.6.3 投标文件签字盖章要求：见投标人须知前附表。</w:t>
      </w:r>
    </w:p>
    <w:p w14:paraId="4F5D381A">
      <w:pPr>
        <w:ind w:firstLine="422" w:firstLineChars="201"/>
        <w:rPr>
          <w:rFonts w:ascii="宋体" w:hAnsi="宋体"/>
          <w:b/>
        </w:rPr>
      </w:pPr>
      <w:r>
        <w:rPr>
          <w:rFonts w:hint="eastAsia" w:ascii="宋体" w:hAnsi="宋体"/>
          <w:b/>
        </w:rPr>
        <w:t>4. 投标</w:t>
      </w:r>
      <w:bookmarkEnd w:id="233"/>
      <w:bookmarkEnd w:id="234"/>
      <w:bookmarkEnd w:id="235"/>
      <w:bookmarkEnd w:id="236"/>
      <w:bookmarkEnd w:id="237"/>
      <w:bookmarkEnd w:id="238"/>
      <w:bookmarkEnd w:id="239"/>
      <w:bookmarkEnd w:id="240"/>
      <w:bookmarkEnd w:id="241"/>
    </w:p>
    <w:p w14:paraId="32173441">
      <w:pPr>
        <w:pStyle w:val="203"/>
        <w:numPr>
          <w:ilvl w:val="1"/>
          <w:numId w:val="1"/>
        </w:numPr>
        <w:ind w:firstLineChars="0"/>
        <w:rPr>
          <w:rFonts w:ascii="宋体" w:hAnsi="宋体"/>
        </w:rPr>
      </w:pPr>
      <w:bookmarkStart w:id="242" w:name="_Toc152042332"/>
      <w:bookmarkStart w:id="243" w:name="_Toc263403061"/>
      <w:bookmarkStart w:id="244" w:name="_Toc144974524"/>
      <w:bookmarkStart w:id="245" w:name="_Toc273437312"/>
      <w:bookmarkStart w:id="246" w:name="_Toc152045556"/>
      <w:bookmarkStart w:id="247" w:name="_Toc263777154"/>
      <w:bookmarkStart w:id="248" w:name="_Toc267475060"/>
      <w:bookmarkStart w:id="249" w:name="_Toc246996203"/>
      <w:bookmarkStart w:id="250" w:name="_Toc9869"/>
      <w:bookmarkStart w:id="251" w:name="_Toc246996946"/>
      <w:bookmarkStart w:id="252" w:name="_Toc152045559"/>
      <w:bookmarkStart w:id="253" w:name="_Toc179632577"/>
      <w:bookmarkStart w:id="254" w:name="_Toc399596179"/>
      <w:bookmarkStart w:id="255" w:name="_Toc144974527"/>
      <w:bookmarkStart w:id="256" w:name="_Toc247085717"/>
      <w:bookmarkStart w:id="257" w:name="_Toc152042335"/>
      <w:r>
        <w:rPr>
          <w:rFonts w:hint="eastAsia" w:ascii="宋体" w:hAnsi="宋体"/>
        </w:rPr>
        <w:t>电子</w:t>
      </w:r>
      <w:r>
        <w:rPr>
          <w:rFonts w:ascii="宋体" w:hAnsi="宋体"/>
        </w:rPr>
        <w:t>投标文件的</w:t>
      </w:r>
      <w:bookmarkEnd w:id="242"/>
      <w:bookmarkEnd w:id="243"/>
      <w:bookmarkEnd w:id="244"/>
      <w:bookmarkEnd w:id="245"/>
      <w:bookmarkEnd w:id="246"/>
      <w:bookmarkEnd w:id="247"/>
      <w:bookmarkEnd w:id="248"/>
      <w:r>
        <w:rPr>
          <w:rFonts w:hint="eastAsia" w:ascii="宋体" w:hAnsi="宋体"/>
        </w:rPr>
        <w:t>要求</w:t>
      </w:r>
    </w:p>
    <w:p w14:paraId="222ED8C2">
      <w:pPr>
        <w:pStyle w:val="203"/>
        <w:ind w:left="210" w:firstLine="210" w:firstLineChars="100"/>
        <w:rPr>
          <w:rFonts w:ascii="宋体" w:hAnsi="宋体"/>
        </w:rPr>
      </w:pPr>
      <w:r>
        <w:rPr>
          <w:rFonts w:ascii="宋体" w:hAnsi="宋体"/>
        </w:rPr>
        <w:t>4.1.1</w:t>
      </w:r>
      <w:r>
        <w:rPr>
          <w:rFonts w:hint="eastAsia" w:ascii="宋体" w:hAnsi="宋体"/>
        </w:rPr>
        <w:t>电子投标文件制作具体</w:t>
      </w:r>
      <w:r>
        <w:rPr>
          <w:rFonts w:ascii="宋体" w:hAnsi="宋体"/>
        </w:rPr>
        <w:t>详见</w:t>
      </w:r>
      <w:r>
        <w:rPr>
          <w:rFonts w:hint="eastAsia" w:ascii="宋体" w:hAnsi="宋体"/>
        </w:rPr>
        <w:t>操作手册。</w:t>
      </w:r>
      <w:bookmarkStart w:id="258" w:name="_Toc267475061"/>
      <w:bookmarkStart w:id="259" w:name="_Toc152045557"/>
      <w:bookmarkStart w:id="260" w:name="_Toc263777155"/>
      <w:bookmarkStart w:id="261" w:name="_Toc263403062"/>
      <w:bookmarkStart w:id="262" w:name="_Toc273437313"/>
      <w:bookmarkStart w:id="263" w:name="_Toc144974525"/>
      <w:bookmarkStart w:id="264" w:name="_Toc152042333"/>
    </w:p>
    <w:p w14:paraId="79D41597">
      <w:pPr>
        <w:pStyle w:val="203"/>
        <w:numPr>
          <w:ilvl w:val="1"/>
          <w:numId w:val="1"/>
        </w:numPr>
        <w:ind w:firstLineChars="0"/>
        <w:rPr>
          <w:rFonts w:ascii="宋体" w:hAnsi="宋体"/>
        </w:rPr>
      </w:pPr>
      <w:r>
        <w:rPr>
          <w:rFonts w:hint="eastAsia" w:ascii="宋体" w:hAnsi="宋体"/>
        </w:rPr>
        <w:t>电子</w:t>
      </w:r>
      <w:r>
        <w:rPr>
          <w:rFonts w:ascii="宋体" w:hAnsi="宋体"/>
        </w:rPr>
        <w:t>投标文件的递交</w:t>
      </w:r>
      <w:bookmarkEnd w:id="258"/>
      <w:bookmarkEnd w:id="259"/>
      <w:bookmarkEnd w:id="260"/>
      <w:bookmarkEnd w:id="261"/>
      <w:bookmarkEnd w:id="262"/>
      <w:bookmarkEnd w:id="263"/>
      <w:bookmarkEnd w:id="264"/>
      <w:r>
        <w:rPr>
          <w:rFonts w:hint="eastAsia" w:ascii="宋体" w:hAnsi="宋体"/>
        </w:rPr>
        <w:t>要求详见第二章“投标人须知前附表”。</w:t>
      </w:r>
    </w:p>
    <w:p w14:paraId="68450ADD">
      <w:pPr>
        <w:ind w:left="420"/>
        <w:rPr>
          <w:rFonts w:ascii="宋体" w:hAnsi="宋体"/>
        </w:rPr>
      </w:pPr>
      <w:r>
        <w:rPr>
          <w:rFonts w:hint="eastAsia" w:ascii="宋体" w:hAnsi="宋体"/>
        </w:rPr>
        <w:t>4.2.1投标人应在本章第4.3项规定的投标截止时间前完成投标文件的递交。投标文件的递交是指使用唐河县公共资源交易中心网上交易系统在投标截止时间前完成投标文件的上传。未在投标截止时间前完成上传或送达的，视为逾期送达。</w:t>
      </w:r>
    </w:p>
    <w:p w14:paraId="2E440CB0">
      <w:pPr>
        <w:ind w:firstLine="420" w:firstLineChars="200"/>
        <w:rPr>
          <w:rFonts w:ascii="宋体" w:hAnsi="宋体"/>
        </w:rPr>
      </w:pPr>
      <w:r>
        <w:rPr>
          <w:rFonts w:hint="eastAsia" w:ascii="宋体" w:hAnsi="宋体"/>
        </w:rPr>
        <w:t>4.2.2投标人递交投标文件的地点：见投标人须知前附表。</w:t>
      </w:r>
    </w:p>
    <w:p w14:paraId="73888F90">
      <w:pPr>
        <w:ind w:firstLine="420" w:firstLineChars="200"/>
        <w:rPr>
          <w:rFonts w:ascii="宋体" w:hAnsi="宋体"/>
        </w:rPr>
      </w:pPr>
      <w:r>
        <w:rPr>
          <w:rFonts w:hint="eastAsia" w:ascii="宋体" w:hAnsi="宋体"/>
        </w:rPr>
        <w:t>4.2.3除投标人须知前附表另有规定外，投标人所递交的投标文件不予退还。</w:t>
      </w:r>
    </w:p>
    <w:p w14:paraId="206E7E1D">
      <w:pPr>
        <w:pStyle w:val="203"/>
        <w:numPr>
          <w:ilvl w:val="2"/>
          <w:numId w:val="2"/>
        </w:numPr>
        <w:ind w:firstLineChars="0"/>
        <w:rPr>
          <w:rFonts w:ascii="宋体" w:hAnsi="宋体"/>
        </w:rPr>
      </w:pPr>
      <w:r>
        <w:rPr>
          <w:rFonts w:hint="eastAsia" w:ascii="宋体" w:hAnsi="宋体"/>
        </w:rPr>
        <w:t>逾期上传的投标文件，招标人不予受理。</w:t>
      </w:r>
      <w:bookmarkStart w:id="265" w:name="_Toc273437314"/>
      <w:bookmarkStart w:id="266" w:name="_Toc261518394"/>
      <w:bookmarkStart w:id="267" w:name="_Toc267475062"/>
      <w:bookmarkStart w:id="268" w:name="_Toc197770874"/>
      <w:bookmarkStart w:id="269" w:name="_Toc263777156"/>
      <w:bookmarkStart w:id="270" w:name="_Toc152045558"/>
      <w:bookmarkStart w:id="271" w:name="_Toc263403063"/>
      <w:bookmarkStart w:id="272" w:name="_Toc144974526"/>
      <w:bookmarkStart w:id="273" w:name="_Toc152042334"/>
    </w:p>
    <w:p w14:paraId="7ECC8E6C">
      <w:pPr>
        <w:ind w:left="420"/>
        <w:rPr>
          <w:rFonts w:ascii="宋体" w:hAnsi="宋体"/>
        </w:rPr>
      </w:pPr>
      <w:r>
        <w:rPr>
          <w:rFonts w:ascii="宋体" w:hAnsi="宋体"/>
        </w:rPr>
        <w:t xml:space="preserve">4.3 </w:t>
      </w:r>
      <w:bookmarkEnd w:id="265"/>
      <w:bookmarkEnd w:id="266"/>
      <w:bookmarkEnd w:id="267"/>
      <w:bookmarkEnd w:id="268"/>
      <w:bookmarkEnd w:id="269"/>
      <w:bookmarkStart w:id="274" w:name="_Toc273437315"/>
      <w:bookmarkStart w:id="275" w:name="_Toc263777157"/>
      <w:bookmarkStart w:id="276" w:name="_Toc267475063"/>
      <w:r>
        <w:rPr>
          <w:rFonts w:ascii="宋体" w:hAnsi="宋体"/>
        </w:rPr>
        <w:t>投标文件的修改与撤回</w:t>
      </w:r>
      <w:bookmarkEnd w:id="270"/>
      <w:bookmarkEnd w:id="271"/>
      <w:bookmarkEnd w:id="272"/>
      <w:bookmarkEnd w:id="273"/>
      <w:bookmarkEnd w:id="274"/>
      <w:bookmarkEnd w:id="275"/>
      <w:bookmarkEnd w:id="276"/>
    </w:p>
    <w:p w14:paraId="42766D4D">
      <w:pPr>
        <w:ind w:firstLine="420" w:firstLineChars="200"/>
        <w:rPr>
          <w:rFonts w:ascii="宋体" w:hAnsi="宋体"/>
        </w:rPr>
      </w:pPr>
      <w:r>
        <w:rPr>
          <w:rFonts w:ascii="宋体" w:hAnsi="宋体"/>
        </w:rPr>
        <w:t>4.</w:t>
      </w:r>
      <w:r>
        <w:rPr>
          <w:rFonts w:hint="eastAsia" w:ascii="宋体" w:hAnsi="宋体"/>
        </w:rPr>
        <w:t>3</w:t>
      </w:r>
      <w:r>
        <w:rPr>
          <w:rFonts w:ascii="宋体" w:hAnsi="宋体"/>
        </w:rPr>
        <w:t>.1</w:t>
      </w:r>
      <w:r>
        <w:rPr>
          <w:rFonts w:hint="eastAsia" w:ascii="宋体" w:hAnsi="宋体"/>
        </w:rPr>
        <w:t>在投标人须知前附表规定的投标截止时间前，投标人可以修改或撤回已上传的电子投标文件，最终电子投标文件以投标截止时间前完成上传至唐河县公共资源交易中心网交易系统最后一份投标文件为准。</w:t>
      </w:r>
    </w:p>
    <w:p w14:paraId="5F2A29B7">
      <w:pPr>
        <w:ind w:firstLine="420" w:firstLineChars="200"/>
        <w:rPr>
          <w:rFonts w:ascii="宋体" w:hAnsi="宋体"/>
        </w:rPr>
      </w:pPr>
      <w:r>
        <w:rPr>
          <w:rFonts w:hint="eastAsia" w:ascii="宋体" w:hAnsi="宋体"/>
        </w:rPr>
        <w:t>4.3.2</w:t>
      </w:r>
      <w:r>
        <w:rPr>
          <w:rFonts w:ascii="宋体" w:hAnsi="宋体"/>
        </w:rPr>
        <w:t>投标截止时间之后，投标单位不得修改或撤回</w:t>
      </w:r>
      <w:r>
        <w:rPr>
          <w:rFonts w:hint="eastAsia" w:ascii="宋体" w:hAnsi="宋体"/>
        </w:rPr>
        <w:t>电子</w:t>
      </w:r>
      <w:r>
        <w:rPr>
          <w:rFonts w:ascii="宋体" w:hAnsi="宋体"/>
        </w:rPr>
        <w:t>投标文件；</w:t>
      </w:r>
    </w:p>
    <w:p w14:paraId="1EC72081">
      <w:pPr>
        <w:ind w:firstLine="420" w:firstLineChars="200"/>
        <w:rPr>
          <w:rFonts w:ascii="宋体" w:hAnsi="宋体"/>
        </w:rPr>
      </w:pPr>
      <w:r>
        <w:rPr>
          <w:rFonts w:ascii="宋体" w:hAnsi="宋体"/>
        </w:rPr>
        <w:t>4.</w:t>
      </w:r>
      <w:r>
        <w:rPr>
          <w:rFonts w:hint="eastAsia" w:ascii="宋体" w:hAnsi="宋体"/>
        </w:rPr>
        <w:t>3</w:t>
      </w:r>
      <w:r>
        <w:rPr>
          <w:rFonts w:ascii="宋体" w:hAnsi="宋体"/>
        </w:rPr>
        <w:t>.3 投标截止时间之后，在投标有效期内，投标人不得撤回</w:t>
      </w:r>
      <w:r>
        <w:rPr>
          <w:rFonts w:hint="eastAsia" w:ascii="宋体" w:hAnsi="宋体"/>
        </w:rPr>
        <w:t>电子</w:t>
      </w:r>
      <w:r>
        <w:rPr>
          <w:rFonts w:ascii="宋体" w:hAnsi="宋体"/>
        </w:rPr>
        <w:t>投标文件。</w:t>
      </w:r>
    </w:p>
    <w:p w14:paraId="513C3DD7">
      <w:pPr>
        <w:ind w:firstLine="420" w:firstLineChars="200"/>
        <w:rPr>
          <w:rFonts w:ascii="宋体" w:hAnsi="宋体"/>
          <w:b/>
        </w:rPr>
      </w:pPr>
      <w:r>
        <w:rPr>
          <w:rFonts w:ascii="宋体" w:hAnsi="宋体"/>
          <w:b/>
        </w:rPr>
        <w:t>5.</w:t>
      </w:r>
      <w:r>
        <w:rPr>
          <w:rFonts w:hint="eastAsia" w:ascii="宋体" w:hAnsi="宋体"/>
          <w:b/>
        </w:rPr>
        <w:t>开标</w:t>
      </w:r>
      <w:bookmarkEnd w:id="249"/>
      <w:bookmarkEnd w:id="250"/>
      <w:bookmarkEnd w:id="251"/>
      <w:bookmarkEnd w:id="252"/>
      <w:bookmarkEnd w:id="253"/>
      <w:bookmarkEnd w:id="254"/>
      <w:bookmarkEnd w:id="255"/>
      <w:bookmarkEnd w:id="256"/>
      <w:bookmarkEnd w:id="257"/>
    </w:p>
    <w:p w14:paraId="17C1806A">
      <w:pPr>
        <w:ind w:firstLine="420" w:firstLineChars="200"/>
        <w:rPr>
          <w:rFonts w:ascii="宋体" w:hAnsi="宋体"/>
        </w:rPr>
      </w:pPr>
      <w:bookmarkStart w:id="277" w:name="_Toc247085718"/>
      <w:bookmarkStart w:id="278" w:name="_Toc399596180"/>
      <w:bookmarkStart w:id="279" w:name="_Toc246996947"/>
      <w:bookmarkStart w:id="280" w:name="_Toc15059"/>
      <w:bookmarkStart w:id="281" w:name="_Toc152042336"/>
      <w:bookmarkStart w:id="282" w:name="_Toc144974528"/>
      <w:bookmarkStart w:id="283" w:name="_Toc152045560"/>
      <w:bookmarkStart w:id="284" w:name="_Toc179632578"/>
      <w:bookmarkStart w:id="285" w:name="_Toc246996204"/>
      <w:r>
        <w:rPr>
          <w:rFonts w:ascii="宋体" w:hAnsi="宋体"/>
        </w:rPr>
        <w:t>招标人在</w:t>
      </w:r>
      <w:r>
        <w:rPr>
          <w:rFonts w:hint="eastAsia" w:ascii="宋体" w:hAnsi="宋体"/>
        </w:rPr>
        <w:t>投标人须知前附表规定</w:t>
      </w:r>
      <w:r>
        <w:rPr>
          <w:rFonts w:ascii="宋体" w:hAnsi="宋体"/>
        </w:rPr>
        <w:t>的投标截止时间(开标时间)和地点公开开标</w:t>
      </w:r>
      <w:r>
        <w:rPr>
          <w:rFonts w:hint="eastAsia" w:ascii="宋体" w:hAnsi="宋体"/>
        </w:rPr>
        <w:t>（本项目采用网上不见面方式开标，投标企业无须到达开标现场）。</w:t>
      </w:r>
    </w:p>
    <w:p w14:paraId="797B3AA1">
      <w:pPr>
        <w:ind w:firstLine="422" w:firstLineChars="201"/>
        <w:rPr>
          <w:rFonts w:ascii="宋体" w:hAnsi="宋体"/>
          <w:b/>
        </w:rPr>
      </w:pPr>
      <w:r>
        <w:rPr>
          <w:rFonts w:hint="eastAsia" w:ascii="宋体" w:hAnsi="宋体"/>
          <w:b/>
        </w:rPr>
        <w:t>5.1 开标时间和地点</w:t>
      </w:r>
      <w:bookmarkEnd w:id="277"/>
      <w:bookmarkEnd w:id="278"/>
      <w:bookmarkEnd w:id="279"/>
      <w:bookmarkEnd w:id="280"/>
      <w:bookmarkEnd w:id="281"/>
      <w:bookmarkEnd w:id="282"/>
      <w:bookmarkEnd w:id="283"/>
      <w:bookmarkEnd w:id="284"/>
      <w:bookmarkEnd w:id="285"/>
    </w:p>
    <w:p w14:paraId="0276DA2A">
      <w:pPr>
        <w:ind w:firstLine="420" w:firstLineChars="200"/>
        <w:rPr>
          <w:rFonts w:ascii="宋体" w:hAnsi="宋体"/>
        </w:rPr>
      </w:pPr>
      <w:bookmarkStart w:id="286" w:name="_Toc27152"/>
      <w:bookmarkStart w:id="287" w:name="_Toc399596181"/>
      <w:bookmarkStart w:id="288" w:name="_Toc152045561"/>
      <w:bookmarkStart w:id="289" w:name="_Toc246996205"/>
      <w:bookmarkStart w:id="290" w:name="_Toc179632579"/>
      <w:bookmarkStart w:id="291" w:name="_Toc144974529"/>
      <w:bookmarkStart w:id="292" w:name="_Toc247085719"/>
      <w:bookmarkStart w:id="293" w:name="_Toc246996948"/>
      <w:bookmarkStart w:id="294" w:name="_Toc152042337"/>
      <w:r>
        <w:rPr>
          <w:rFonts w:hint="eastAsia" w:ascii="宋体" w:hAnsi="宋体"/>
          <w:highlight w:val="white"/>
        </w:rPr>
        <w:t>招标人将按</w:t>
      </w:r>
      <w:r>
        <w:rPr>
          <w:rFonts w:hint="eastAsia" w:ascii="宋体" w:hAnsi="宋体"/>
          <w:b/>
          <w:highlight w:val="white"/>
        </w:rPr>
        <w:t>投标人须知前附表</w:t>
      </w:r>
      <w:r>
        <w:rPr>
          <w:rFonts w:hint="eastAsia" w:ascii="宋体" w:hAnsi="宋体"/>
          <w:highlight w:val="white"/>
        </w:rPr>
        <w:t>的时间和地点举行开标会议。投标人授权委托人代表持本单位CA数字证书提前登录不见面开标系统并在线签到。</w:t>
      </w:r>
    </w:p>
    <w:p w14:paraId="6C2EAABC">
      <w:pPr>
        <w:ind w:firstLine="422" w:firstLineChars="201"/>
        <w:rPr>
          <w:rFonts w:ascii="宋体" w:hAnsi="宋体"/>
          <w:b/>
        </w:rPr>
      </w:pPr>
      <w:r>
        <w:rPr>
          <w:rFonts w:hint="eastAsia" w:ascii="宋体" w:hAnsi="宋体"/>
          <w:b/>
        </w:rPr>
        <w:t>5.2 开标程序</w:t>
      </w:r>
      <w:bookmarkEnd w:id="286"/>
      <w:bookmarkEnd w:id="287"/>
      <w:bookmarkEnd w:id="288"/>
      <w:bookmarkEnd w:id="289"/>
      <w:bookmarkEnd w:id="290"/>
      <w:bookmarkEnd w:id="291"/>
      <w:bookmarkEnd w:id="292"/>
      <w:bookmarkEnd w:id="293"/>
      <w:bookmarkEnd w:id="294"/>
    </w:p>
    <w:p w14:paraId="037E9B7E">
      <w:pPr>
        <w:spacing w:line="400" w:lineRule="exact"/>
        <w:ind w:firstLine="359" w:firstLineChars="171"/>
        <w:rPr>
          <w:rFonts w:ascii="宋体" w:hAnsi="宋体"/>
        </w:rPr>
      </w:pPr>
      <w:bookmarkStart w:id="295" w:name="_Toc399596182"/>
      <w:bookmarkStart w:id="296" w:name="_Toc9879"/>
      <w:r>
        <w:rPr>
          <w:rFonts w:hint="eastAsia" w:ascii="宋体" w:hAnsi="宋体"/>
        </w:rPr>
        <w:t>见投标人须知前附表。</w:t>
      </w:r>
    </w:p>
    <w:p w14:paraId="65784469">
      <w:pPr>
        <w:ind w:firstLine="422" w:firstLineChars="201"/>
        <w:rPr>
          <w:rFonts w:ascii="宋体" w:hAnsi="宋体"/>
          <w:b/>
        </w:rPr>
      </w:pPr>
      <w:r>
        <w:rPr>
          <w:rFonts w:hint="eastAsia" w:ascii="宋体" w:hAnsi="宋体"/>
          <w:b/>
        </w:rPr>
        <w:t>5.3 开标异议</w:t>
      </w:r>
      <w:bookmarkEnd w:id="295"/>
      <w:bookmarkEnd w:id="296"/>
    </w:p>
    <w:p w14:paraId="4107B85E">
      <w:pPr>
        <w:ind w:firstLine="359" w:firstLineChars="171"/>
        <w:rPr>
          <w:rFonts w:ascii="宋体" w:hAnsi="宋体"/>
        </w:rPr>
      </w:pPr>
      <w:r>
        <w:rPr>
          <w:rFonts w:hint="eastAsia" w:ascii="宋体" w:hAnsi="宋体"/>
        </w:rPr>
        <w:t>投标人对开标有异议的，应当在开标现场提出，招标人当场作出答复，并制作记录。</w:t>
      </w:r>
    </w:p>
    <w:p w14:paraId="0FB976EC">
      <w:pPr>
        <w:ind w:firstLine="422" w:firstLineChars="201"/>
        <w:rPr>
          <w:rFonts w:ascii="宋体" w:hAnsi="宋体"/>
          <w:b/>
        </w:rPr>
      </w:pPr>
      <w:bookmarkStart w:id="297" w:name="_Toc179632580"/>
      <w:bookmarkStart w:id="298" w:name="_Toc144974530"/>
      <w:bookmarkStart w:id="299" w:name="_Toc246996206"/>
      <w:bookmarkStart w:id="300" w:name="_Toc246996949"/>
      <w:bookmarkStart w:id="301" w:name="_Toc399596183"/>
      <w:bookmarkStart w:id="302" w:name="_Toc152045562"/>
      <w:bookmarkStart w:id="303" w:name="_Toc9977"/>
      <w:bookmarkStart w:id="304" w:name="_Toc152042338"/>
      <w:bookmarkStart w:id="305" w:name="_Toc247085720"/>
      <w:r>
        <w:rPr>
          <w:rFonts w:hint="eastAsia" w:ascii="宋体" w:hAnsi="宋体"/>
          <w:b/>
        </w:rPr>
        <w:t>6. 评标</w:t>
      </w:r>
      <w:bookmarkEnd w:id="297"/>
      <w:bookmarkEnd w:id="298"/>
      <w:bookmarkEnd w:id="299"/>
      <w:bookmarkEnd w:id="300"/>
      <w:bookmarkEnd w:id="301"/>
      <w:bookmarkEnd w:id="302"/>
      <w:bookmarkEnd w:id="303"/>
      <w:bookmarkEnd w:id="304"/>
      <w:bookmarkEnd w:id="305"/>
    </w:p>
    <w:p w14:paraId="3673D2E0">
      <w:pPr>
        <w:ind w:firstLine="422" w:firstLineChars="201"/>
        <w:rPr>
          <w:rFonts w:ascii="宋体" w:hAnsi="宋体"/>
          <w:b/>
        </w:rPr>
      </w:pPr>
      <w:bookmarkStart w:id="306" w:name="_Toc399596184"/>
      <w:bookmarkStart w:id="307" w:name="_Toc246996950"/>
      <w:bookmarkStart w:id="308" w:name="_Toc1500"/>
      <w:bookmarkStart w:id="309" w:name="_Toc247085721"/>
      <w:bookmarkStart w:id="310" w:name="_Toc179632581"/>
      <w:bookmarkStart w:id="311" w:name="_Toc144974531"/>
      <w:bookmarkStart w:id="312" w:name="_Toc152042339"/>
      <w:bookmarkStart w:id="313" w:name="_Toc246996207"/>
      <w:bookmarkStart w:id="314" w:name="_Toc152045563"/>
      <w:r>
        <w:rPr>
          <w:rFonts w:hint="eastAsia" w:ascii="宋体" w:hAnsi="宋体"/>
          <w:b/>
        </w:rPr>
        <w:t>6.1 评标委员会</w:t>
      </w:r>
      <w:bookmarkEnd w:id="306"/>
      <w:bookmarkEnd w:id="307"/>
      <w:bookmarkEnd w:id="308"/>
      <w:bookmarkEnd w:id="309"/>
      <w:bookmarkEnd w:id="310"/>
      <w:bookmarkEnd w:id="311"/>
      <w:bookmarkEnd w:id="312"/>
      <w:bookmarkEnd w:id="313"/>
      <w:bookmarkEnd w:id="314"/>
    </w:p>
    <w:p w14:paraId="54ED2F34">
      <w:pPr>
        <w:ind w:firstLine="420" w:firstLineChars="200"/>
        <w:rPr>
          <w:rFonts w:ascii="宋体" w:hAnsi="宋体"/>
        </w:rPr>
      </w:pPr>
      <w:r>
        <w:rPr>
          <w:rFonts w:hint="eastAsia" w:ascii="宋体" w:hAnsi="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5BBCF2B">
      <w:pPr>
        <w:ind w:firstLine="420" w:firstLineChars="200"/>
        <w:rPr>
          <w:rFonts w:ascii="宋体" w:hAnsi="宋体"/>
        </w:rPr>
      </w:pPr>
      <w:r>
        <w:rPr>
          <w:rFonts w:hint="eastAsia" w:ascii="宋体" w:hAnsi="宋体"/>
        </w:rPr>
        <w:t>6.1.2 评标委员会成员有下列情形之一的，应当回避：</w:t>
      </w:r>
    </w:p>
    <w:p w14:paraId="6801844C">
      <w:pPr>
        <w:ind w:firstLine="359" w:firstLineChars="171"/>
        <w:rPr>
          <w:rFonts w:ascii="宋体" w:hAnsi="宋体"/>
        </w:rPr>
      </w:pPr>
      <w:r>
        <w:rPr>
          <w:rFonts w:hint="eastAsia" w:ascii="宋体" w:hAnsi="宋体"/>
        </w:rPr>
        <w:t>（1）投标人或投标人主要负责人的近亲属；</w:t>
      </w:r>
    </w:p>
    <w:p w14:paraId="28668841">
      <w:pPr>
        <w:ind w:firstLine="359" w:firstLineChars="171"/>
        <w:rPr>
          <w:rFonts w:ascii="宋体" w:hAnsi="宋体"/>
        </w:rPr>
      </w:pPr>
      <w:r>
        <w:rPr>
          <w:rFonts w:hint="eastAsia" w:ascii="宋体" w:hAnsi="宋体"/>
        </w:rPr>
        <w:t>（2）项目主管部门或者行政监督部门的人员；</w:t>
      </w:r>
    </w:p>
    <w:p w14:paraId="26BDC3B0">
      <w:pPr>
        <w:ind w:firstLine="359" w:firstLineChars="171"/>
        <w:rPr>
          <w:rFonts w:ascii="宋体" w:hAnsi="宋体"/>
        </w:rPr>
      </w:pPr>
      <w:r>
        <w:rPr>
          <w:rFonts w:hint="eastAsia" w:ascii="宋体" w:hAnsi="宋体"/>
        </w:rPr>
        <w:t>（3）与投标人有经济利益关系；</w:t>
      </w:r>
    </w:p>
    <w:p w14:paraId="5A330010">
      <w:pPr>
        <w:ind w:firstLine="359" w:firstLineChars="171"/>
        <w:rPr>
          <w:rFonts w:ascii="宋体" w:hAnsi="宋体"/>
        </w:rPr>
      </w:pPr>
      <w:r>
        <w:rPr>
          <w:rFonts w:hint="eastAsia" w:ascii="宋体" w:hAnsi="宋体"/>
        </w:rPr>
        <w:t>（4）曾因在招标、评标以及其他与招标投标有关活动中从事违法行为而受过行政处罚或刑事处罚的；</w:t>
      </w:r>
    </w:p>
    <w:p w14:paraId="6748214C">
      <w:pPr>
        <w:ind w:firstLine="359" w:firstLineChars="171"/>
        <w:rPr>
          <w:rFonts w:ascii="宋体" w:hAnsi="宋体"/>
        </w:rPr>
      </w:pPr>
      <w:r>
        <w:rPr>
          <w:rFonts w:hint="eastAsia" w:ascii="宋体" w:hAnsi="宋体"/>
        </w:rPr>
        <w:t>（5）与投标人有其他利害关系。</w:t>
      </w:r>
    </w:p>
    <w:p w14:paraId="637E64EA">
      <w:pPr>
        <w:ind w:firstLine="422" w:firstLineChars="201"/>
        <w:rPr>
          <w:rFonts w:ascii="宋体" w:hAnsi="宋体"/>
          <w:b/>
        </w:rPr>
      </w:pPr>
      <w:bookmarkStart w:id="315" w:name="_Toc246996208"/>
      <w:bookmarkStart w:id="316" w:name="_Toc247085722"/>
      <w:bookmarkStart w:id="317" w:name="_Toc152045564"/>
      <w:bookmarkStart w:id="318" w:name="_Toc179632582"/>
      <w:bookmarkStart w:id="319" w:name="_Toc841"/>
      <w:bookmarkStart w:id="320" w:name="_Toc152042340"/>
      <w:bookmarkStart w:id="321" w:name="_Toc399596185"/>
      <w:bookmarkStart w:id="322" w:name="_Toc144974532"/>
      <w:bookmarkStart w:id="323" w:name="_Toc246996951"/>
      <w:r>
        <w:rPr>
          <w:rFonts w:hint="eastAsia" w:ascii="宋体" w:hAnsi="宋体"/>
          <w:b/>
        </w:rPr>
        <w:t>6.2 评标原则</w:t>
      </w:r>
      <w:bookmarkEnd w:id="315"/>
      <w:bookmarkEnd w:id="316"/>
      <w:bookmarkEnd w:id="317"/>
      <w:bookmarkEnd w:id="318"/>
      <w:bookmarkEnd w:id="319"/>
      <w:bookmarkEnd w:id="320"/>
      <w:bookmarkEnd w:id="321"/>
      <w:bookmarkEnd w:id="322"/>
      <w:bookmarkEnd w:id="323"/>
    </w:p>
    <w:p w14:paraId="316CEA6C">
      <w:pPr>
        <w:ind w:firstLine="420" w:firstLineChars="200"/>
        <w:rPr>
          <w:rFonts w:ascii="宋体" w:hAnsi="宋体"/>
        </w:rPr>
      </w:pPr>
      <w:r>
        <w:rPr>
          <w:rFonts w:hint="eastAsia" w:ascii="宋体" w:hAnsi="宋体"/>
        </w:rPr>
        <w:t>评标活动遵循公平、公正、科学和择优的原则。</w:t>
      </w:r>
    </w:p>
    <w:p w14:paraId="73C80F12">
      <w:pPr>
        <w:ind w:firstLine="422" w:firstLineChars="201"/>
        <w:rPr>
          <w:rFonts w:ascii="宋体" w:hAnsi="宋体"/>
          <w:b/>
        </w:rPr>
      </w:pPr>
      <w:bookmarkStart w:id="324" w:name="_Toc20018"/>
      <w:bookmarkStart w:id="325" w:name="_Toc246996952"/>
      <w:bookmarkStart w:id="326" w:name="_Toc247085723"/>
      <w:bookmarkStart w:id="327" w:name="_Toc144974533"/>
      <w:bookmarkStart w:id="328" w:name="_Toc179632583"/>
      <w:bookmarkStart w:id="329" w:name="_Toc246996209"/>
      <w:bookmarkStart w:id="330" w:name="_Toc152042341"/>
      <w:bookmarkStart w:id="331" w:name="_Toc399596186"/>
      <w:bookmarkStart w:id="332" w:name="_Toc152045565"/>
      <w:r>
        <w:rPr>
          <w:rFonts w:hint="eastAsia" w:ascii="宋体" w:hAnsi="宋体"/>
          <w:b/>
        </w:rPr>
        <w:t>6.3 评标</w:t>
      </w:r>
      <w:bookmarkEnd w:id="324"/>
      <w:bookmarkEnd w:id="325"/>
      <w:bookmarkEnd w:id="326"/>
      <w:bookmarkEnd w:id="327"/>
      <w:bookmarkEnd w:id="328"/>
      <w:bookmarkEnd w:id="329"/>
      <w:bookmarkEnd w:id="330"/>
      <w:bookmarkEnd w:id="331"/>
      <w:bookmarkEnd w:id="332"/>
    </w:p>
    <w:p w14:paraId="373F6A41">
      <w:pPr>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14:paraId="73BC6508">
      <w:pPr>
        <w:ind w:firstLine="422" w:firstLineChars="201"/>
        <w:rPr>
          <w:rFonts w:ascii="宋体" w:hAnsi="宋体"/>
          <w:b/>
        </w:rPr>
      </w:pPr>
      <w:bookmarkStart w:id="333" w:name="_Toc179632584"/>
      <w:bookmarkStart w:id="334" w:name="_Toc152045566"/>
      <w:bookmarkStart w:id="335" w:name="_Toc399596187"/>
      <w:bookmarkStart w:id="336" w:name="_Toc246996953"/>
      <w:bookmarkStart w:id="337" w:name="_Toc144974534"/>
      <w:bookmarkStart w:id="338" w:name="_Toc152042342"/>
      <w:bookmarkStart w:id="339" w:name="_Toc247085724"/>
      <w:bookmarkStart w:id="340" w:name="_Toc12186"/>
      <w:bookmarkStart w:id="341" w:name="_Toc246996210"/>
      <w:r>
        <w:rPr>
          <w:rFonts w:hint="eastAsia" w:ascii="宋体" w:hAnsi="宋体"/>
          <w:b/>
        </w:rPr>
        <w:t>7. 合同授予</w:t>
      </w:r>
      <w:bookmarkEnd w:id="333"/>
      <w:bookmarkEnd w:id="334"/>
      <w:bookmarkEnd w:id="335"/>
      <w:bookmarkEnd w:id="336"/>
      <w:bookmarkEnd w:id="337"/>
      <w:bookmarkEnd w:id="338"/>
      <w:bookmarkEnd w:id="339"/>
      <w:bookmarkEnd w:id="340"/>
      <w:bookmarkEnd w:id="341"/>
    </w:p>
    <w:p w14:paraId="6076D94A">
      <w:pPr>
        <w:ind w:firstLine="422" w:firstLineChars="201"/>
        <w:rPr>
          <w:rFonts w:ascii="宋体" w:hAnsi="宋体"/>
          <w:b/>
        </w:rPr>
      </w:pPr>
      <w:bookmarkStart w:id="342" w:name="_Toc152045567"/>
      <w:bookmarkStart w:id="343" w:name="_Toc246996954"/>
      <w:bookmarkStart w:id="344" w:name="_Toc247085725"/>
      <w:bookmarkStart w:id="345" w:name="_Toc399596188"/>
      <w:bookmarkStart w:id="346" w:name="_Toc25066"/>
      <w:bookmarkStart w:id="347" w:name="_Toc179632585"/>
      <w:bookmarkStart w:id="348" w:name="_Toc152042343"/>
      <w:bookmarkStart w:id="349" w:name="_Toc246996211"/>
      <w:bookmarkStart w:id="350" w:name="_Toc144974535"/>
      <w:r>
        <w:rPr>
          <w:rFonts w:hint="eastAsia" w:ascii="宋体" w:hAnsi="宋体"/>
          <w:b/>
        </w:rPr>
        <w:t>7.1 定标方式</w:t>
      </w:r>
      <w:bookmarkEnd w:id="342"/>
      <w:bookmarkEnd w:id="343"/>
      <w:bookmarkEnd w:id="344"/>
      <w:bookmarkEnd w:id="345"/>
      <w:bookmarkEnd w:id="346"/>
      <w:bookmarkEnd w:id="347"/>
      <w:bookmarkEnd w:id="348"/>
      <w:bookmarkEnd w:id="349"/>
      <w:bookmarkEnd w:id="350"/>
    </w:p>
    <w:p w14:paraId="11AAC3FC">
      <w:pPr>
        <w:ind w:firstLine="420" w:firstLineChars="200"/>
        <w:rPr>
          <w:rFonts w:ascii="宋体" w:hAnsi="宋体"/>
        </w:rPr>
      </w:pPr>
      <w:r>
        <w:rPr>
          <w:rFonts w:hint="eastAsia" w:ascii="宋体" w:hAnsi="宋体"/>
        </w:rPr>
        <w:t>除投标人须知前附表规定评标委员会直接确定中标人外，招标人依据评标委员会推荐的中标候选人确定中标人，评标委员会推荐中标候选人的人数见投标人须知前附表。</w:t>
      </w:r>
    </w:p>
    <w:p w14:paraId="6740332A">
      <w:pPr>
        <w:ind w:firstLine="422" w:firstLineChars="201"/>
        <w:rPr>
          <w:rFonts w:ascii="宋体" w:hAnsi="宋体"/>
          <w:b/>
        </w:rPr>
      </w:pPr>
      <w:bookmarkStart w:id="351" w:name="_Toc399596189"/>
      <w:bookmarkStart w:id="352" w:name="_Toc12432"/>
      <w:r>
        <w:rPr>
          <w:rFonts w:hint="eastAsia" w:ascii="宋体" w:hAnsi="宋体"/>
          <w:b/>
        </w:rPr>
        <w:t>7.2 中标候选人公示</w:t>
      </w:r>
      <w:bookmarkEnd w:id="351"/>
      <w:bookmarkEnd w:id="352"/>
    </w:p>
    <w:p w14:paraId="10807DD1">
      <w:pPr>
        <w:spacing w:line="400" w:lineRule="exact"/>
        <w:ind w:firstLine="420" w:firstLineChars="200"/>
        <w:rPr>
          <w:rFonts w:ascii="宋体" w:hAnsi="宋体"/>
        </w:rPr>
      </w:pPr>
      <w:bookmarkStart w:id="353" w:name="_Toc179632586"/>
      <w:bookmarkStart w:id="354" w:name="_Toc247085726"/>
      <w:bookmarkStart w:id="355" w:name="_Toc399596190"/>
      <w:bookmarkStart w:id="356" w:name="_Toc152045568"/>
      <w:bookmarkStart w:id="357" w:name="_Toc152042344"/>
      <w:bookmarkStart w:id="358" w:name="_Toc144974536"/>
      <w:bookmarkStart w:id="359" w:name="_Toc246996955"/>
      <w:bookmarkStart w:id="360" w:name="_Toc246996212"/>
      <w:bookmarkStart w:id="361" w:name="_Toc6221"/>
      <w:r>
        <w:rPr>
          <w:rFonts w:hint="eastAsia" w:ascii="宋体" w:hAnsi="宋体"/>
        </w:rPr>
        <w:t>招标人在公告发布的网站上公示中标候选人。</w:t>
      </w:r>
    </w:p>
    <w:p w14:paraId="49C708A2">
      <w:pPr>
        <w:ind w:firstLine="422" w:firstLineChars="201"/>
        <w:rPr>
          <w:rFonts w:ascii="宋体" w:hAnsi="宋体"/>
          <w:b/>
        </w:rPr>
      </w:pPr>
      <w:r>
        <w:rPr>
          <w:rFonts w:hint="eastAsia" w:ascii="宋体" w:hAnsi="宋体"/>
          <w:b/>
        </w:rPr>
        <w:t>7.3 中标通知</w:t>
      </w:r>
      <w:bookmarkEnd w:id="353"/>
      <w:bookmarkEnd w:id="354"/>
      <w:bookmarkEnd w:id="355"/>
      <w:bookmarkEnd w:id="356"/>
      <w:bookmarkEnd w:id="357"/>
      <w:bookmarkEnd w:id="358"/>
      <w:bookmarkEnd w:id="359"/>
      <w:bookmarkEnd w:id="360"/>
      <w:bookmarkEnd w:id="361"/>
    </w:p>
    <w:p w14:paraId="6136EAF6">
      <w:pPr>
        <w:ind w:firstLine="420" w:firstLineChars="200"/>
        <w:rPr>
          <w:rFonts w:ascii="宋体" w:hAnsi="宋体"/>
        </w:rPr>
      </w:pPr>
      <w:r>
        <w:rPr>
          <w:rFonts w:hint="eastAsia" w:ascii="宋体" w:hAnsi="宋体"/>
        </w:rPr>
        <w:t>在本章第3.3款规定的投标有效期内，招标人以书面形式向中标人发出中标通知书，同时将中标结果通知未中标的投标人。</w:t>
      </w:r>
    </w:p>
    <w:p w14:paraId="203A9AB9">
      <w:pPr>
        <w:ind w:firstLine="422" w:firstLineChars="201"/>
        <w:rPr>
          <w:rFonts w:ascii="宋体" w:hAnsi="宋体"/>
          <w:b/>
        </w:rPr>
      </w:pPr>
      <w:bookmarkStart w:id="362" w:name="_Toc246996957"/>
      <w:bookmarkStart w:id="363" w:name="_Toc246996214"/>
      <w:bookmarkStart w:id="364" w:name="_Toc152045570"/>
      <w:bookmarkStart w:id="365" w:name="_Toc179632588"/>
      <w:bookmarkStart w:id="366" w:name="_Toc144974538"/>
      <w:bookmarkStart w:id="367" w:name="_Toc247085728"/>
      <w:bookmarkStart w:id="368" w:name="_Toc399596192"/>
      <w:bookmarkStart w:id="369" w:name="_Toc152042346"/>
      <w:bookmarkStart w:id="370" w:name="_Toc6236"/>
      <w:r>
        <w:rPr>
          <w:rFonts w:hint="eastAsia" w:ascii="宋体" w:hAnsi="宋体"/>
          <w:b/>
        </w:rPr>
        <w:t>7.4 签订合同</w:t>
      </w:r>
      <w:bookmarkEnd w:id="362"/>
      <w:bookmarkEnd w:id="363"/>
      <w:bookmarkEnd w:id="364"/>
      <w:bookmarkEnd w:id="365"/>
      <w:bookmarkEnd w:id="366"/>
      <w:bookmarkEnd w:id="367"/>
      <w:bookmarkEnd w:id="368"/>
      <w:bookmarkEnd w:id="369"/>
      <w:bookmarkEnd w:id="370"/>
    </w:p>
    <w:p w14:paraId="06BE185E">
      <w:pPr>
        <w:ind w:firstLine="420" w:firstLineChars="200"/>
        <w:rPr>
          <w:rFonts w:ascii="宋体" w:hAnsi="宋体"/>
        </w:rPr>
      </w:pPr>
      <w:r>
        <w:rPr>
          <w:rFonts w:ascii="宋体" w:hAnsi="宋体"/>
        </w:rPr>
        <w:t>7.4.1</w:t>
      </w:r>
      <w:r>
        <w:rPr>
          <w:rFonts w:hint="eastAsia" w:ascii="宋体" w:hAnsi="宋体"/>
        </w:rPr>
        <w:t>招标人和中标人应当自中标通知书发出之日起</w:t>
      </w:r>
      <w:r>
        <w:rPr>
          <w:rFonts w:ascii="宋体" w:hAnsi="宋体"/>
        </w:rPr>
        <w:t>30</w:t>
      </w:r>
      <w:r>
        <w:rPr>
          <w:rFonts w:hint="eastAsia" w:ascii="宋体" w:hAnsi="宋体"/>
        </w:rPr>
        <w:t>天内，根据招标文件和中标人的投标文件订立书面合同。中标人无正当理由拒签合同的，招标人取消其中标资格，按照投标保证金承诺函的承诺缴纳违约金；给招标人造成的损失超过违约金数额的，中标人还应当对超过部分予以赔偿。</w:t>
      </w:r>
      <w:r>
        <w:rPr>
          <w:rFonts w:ascii="宋体" w:hAnsi="宋体"/>
        </w:rPr>
        <w:t xml:space="preserve"> </w:t>
      </w:r>
    </w:p>
    <w:p w14:paraId="6D430F58">
      <w:pPr>
        <w:ind w:firstLine="420" w:firstLineChars="200"/>
        <w:rPr>
          <w:rFonts w:ascii="宋体" w:hAnsi="宋体"/>
        </w:rPr>
      </w:pPr>
      <w:r>
        <w:rPr>
          <w:rFonts w:ascii="宋体" w:hAnsi="宋体"/>
        </w:rPr>
        <w:t xml:space="preserve">7.4.2 </w:t>
      </w:r>
      <w:r>
        <w:rPr>
          <w:rFonts w:hint="eastAsia" w:ascii="宋体" w:hAnsi="宋体"/>
        </w:rPr>
        <w:t>发出中标通知书后，招标人无正当理由拒签合同的，给中标人造成损失的，应当赔偿损失。</w:t>
      </w:r>
    </w:p>
    <w:p w14:paraId="14F47D38">
      <w:pPr>
        <w:ind w:firstLine="422" w:firstLineChars="201"/>
        <w:rPr>
          <w:rFonts w:ascii="宋体" w:hAnsi="宋体"/>
          <w:b/>
        </w:rPr>
      </w:pPr>
      <w:bookmarkStart w:id="371" w:name="_Toc24789"/>
      <w:bookmarkStart w:id="372" w:name="_Toc5483"/>
      <w:bookmarkStart w:id="373" w:name="_Toc336075542"/>
      <w:r>
        <w:rPr>
          <w:rFonts w:hint="eastAsia" w:ascii="宋体" w:hAnsi="宋体"/>
          <w:b/>
        </w:rPr>
        <w:t>8．重新招标和不再招标</w:t>
      </w:r>
      <w:bookmarkEnd w:id="371"/>
      <w:bookmarkEnd w:id="372"/>
      <w:bookmarkEnd w:id="373"/>
      <w:bookmarkStart w:id="374" w:name="_Toc19052"/>
      <w:bookmarkStart w:id="375" w:name="_Toc24029"/>
    </w:p>
    <w:p w14:paraId="3A662973">
      <w:pPr>
        <w:ind w:firstLine="422" w:firstLineChars="201"/>
        <w:rPr>
          <w:rFonts w:ascii="宋体" w:hAnsi="宋体"/>
          <w:b/>
        </w:rPr>
      </w:pPr>
      <w:r>
        <w:rPr>
          <w:rFonts w:hint="eastAsia" w:ascii="宋体" w:hAnsi="宋体"/>
          <w:b/>
        </w:rPr>
        <w:t>8.1 重新招标</w:t>
      </w:r>
      <w:bookmarkEnd w:id="374"/>
      <w:bookmarkEnd w:id="375"/>
    </w:p>
    <w:p w14:paraId="7AE88125">
      <w:pPr>
        <w:ind w:firstLine="420" w:firstLineChars="200"/>
        <w:rPr>
          <w:rFonts w:ascii="宋体" w:hAnsi="宋体"/>
        </w:rPr>
      </w:pPr>
      <w:r>
        <w:rPr>
          <w:rFonts w:hint="eastAsia" w:ascii="宋体" w:hAnsi="宋体"/>
        </w:rPr>
        <w:t>在招标过程中，出现下列情况之一的，应予废标：</w:t>
      </w:r>
    </w:p>
    <w:p w14:paraId="3C35B585">
      <w:pPr>
        <w:ind w:firstLine="420" w:firstLineChars="200"/>
        <w:rPr>
          <w:rFonts w:ascii="宋体" w:hAnsi="宋体"/>
        </w:rPr>
      </w:pPr>
      <w:r>
        <w:rPr>
          <w:rFonts w:hint="eastAsia" w:ascii="宋体" w:hAnsi="宋体"/>
        </w:rPr>
        <w:t>（1）投标截止时间止，投标人少于3个的；</w:t>
      </w:r>
    </w:p>
    <w:p w14:paraId="77A983D3">
      <w:pPr>
        <w:ind w:firstLine="420" w:firstLineChars="200"/>
        <w:rPr>
          <w:rFonts w:ascii="宋体" w:hAnsi="宋体"/>
        </w:rPr>
      </w:pPr>
      <w:r>
        <w:rPr>
          <w:rFonts w:hint="eastAsia" w:ascii="宋体" w:hAnsi="宋体"/>
        </w:rPr>
        <w:t>（2）评标委员会否决不合格投标或者界定为无效标后因明显缺乏竞争，评标委员会决定否决全部投标的；</w:t>
      </w:r>
    </w:p>
    <w:p w14:paraId="2B4F1189">
      <w:pPr>
        <w:ind w:firstLine="420" w:firstLineChars="200"/>
        <w:rPr>
          <w:rFonts w:ascii="宋体" w:hAnsi="宋体"/>
        </w:rPr>
      </w:pPr>
      <w:r>
        <w:rPr>
          <w:rFonts w:hint="eastAsia" w:ascii="宋体" w:hAnsi="宋体"/>
        </w:rPr>
        <w:t>（3）经评标委员会评审后否决所有投标的；</w:t>
      </w:r>
    </w:p>
    <w:p w14:paraId="56B07669">
      <w:pPr>
        <w:ind w:firstLine="420" w:firstLineChars="200"/>
        <w:rPr>
          <w:rFonts w:ascii="宋体" w:hAnsi="宋体"/>
          <w:szCs w:val="21"/>
        </w:rPr>
      </w:pPr>
      <w:r>
        <w:rPr>
          <w:rFonts w:hint="eastAsia" w:ascii="宋体" w:hAnsi="宋体"/>
        </w:rPr>
        <w:t>（4）中标候选人均未与招标人签订合同的。</w:t>
      </w:r>
    </w:p>
    <w:p w14:paraId="7E13E221">
      <w:pPr>
        <w:ind w:firstLine="422" w:firstLineChars="201"/>
        <w:rPr>
          <w:rFonts w:ascii="宋体" w:hAnsi="宋体"/>
          <w:b/>
        </w:rPr>
      </w:pPr>
      <w:bookmarkStart w:id="376" w:name="_Toc26376"/>
      <w:bookmarkStart w:id="377" w:name="_Toc29693"/>
      <w:r>
        <w:rPr>
          <w:rFonts w:hint="eastAsia" w:ascii="宋体" w:hAnsi="宋体"/>
          <w:b/>
        </w:rPr>
        <w:t>8.2 不再招标</w:t>
      </w:r>
      <w:bookmarkEnd w:id="376"/>
      <w:bookmarkEnd w:id="377"/>
    </w:p>
    <w:p w14:paraId="02D4EE0F">
      <w:pPr>
        <w:ind w:firstLine="420" w:firstLineChars="200"/>
        <w:rPr>
          <w:rFonts w:ascii="宋体" w:hAnsi="宋体"/>
        </w:rPr>
      </w:pPr>
      <w:r>
        <w:rPr>
          <w:rFonts w:hint="eastAsia" w:ascii="宋体" w:hAnsi="宋体"/>
        </w:rPr>
        <w:t>重新招标后投标人仍少于3 个或者所有投标被否决的，属于必须审批或核准的工程建设项目，经原审批或核准部门批准后不再进行招标。</w:t>
      </w:r>
    </w:p>
    <w:p w14:paraId="443C16BC">
      <w:pPr>
        <w:ind w:firstLine="422" w:firstLineChars="201"/>
        <w:rPr>
          <w:rFonts w:ascii="宋体" w:hAnsi="宋体"/>
          <w:b/>
        </w:rPr>
      </w:pPr>
      <w:bookmarkStart w:id="378" w:name="_Toc24279"/>
      <w:bookmarkStart w:id="379" w:name="_Toc399596193"/>
      <w:r>
        <w:rPr>
          <w:rFonts w:hint="eastAsia" w:ascii="宋体" w:hAnsi="宋体"/>
          <w:b/>
        </w:rPr>
        <w:t>9. 纪律和监督</w:t>
      </w:r>
      <w:bookmarkEnd w:id="378"/>
      <w:bookmarkEnd w:id="379"/>
    </w:p>
    <w:p w14:paraId="2964B4B2">
      <w:pPr>
        <w:ind w:firstLine="422" w:firstLineChars="201"/>
        <w:rPr>
          <w:rFonts w:ascii="宋体" w:hAnsi="宋体"/>
          <w:b/>
        </w:rPr>
      </w:pPr>
      <w:bookmarkStart w:id="380" w:name="_Toc247085733"/>
      <w:bookmarkStart w:id="381" w:name="_Toc399596194"/>
      <w:bookmarkStart w:id="382" w:name="_Toc246996962"/>
      <w:bookmarkStart w:id="383" w:name="_Toc246996219"/>
      <w:bookmarkStart w:id="384" w:name="_Toc144974543"/>
      <w:bookmarkStart w:id="385" w:name="_Toc152042351"/>
      <w:bookmarkStart w:id="386" w:name="_Toc8927"/>
      <w:bookmarkStart w:id="387" w:name="_Toc296590983"/>
      <w:bookmarkStart w:id="388" w:name="_Toc179632593"/>
      <w:bookmarkStart w:id="389" w:name="_Toc152045575"/>
      <w:r>
        <w:rPr>
          <w:rFonts w:hint="eastAsia" w:ascii="宋体" w:hAnsi="宋体"/>
          <w:b/>
        </w:rPr>
        <w:t>9.1 对招标人的纪律要求</w:t>
      </w:r>
      <w:bookmarkEnd w:id="380"/>
      <w:bookmarkEnd w:id="381"/>
      <w:bookmarkEnd w:id="382"/>
      <w:bookmarkEnd w:id="383"/>
      <w:bookmarkEnd w:id="384"/>
      <w:bookmarkEnd w:id="385"/>
      <w:bookmarkEnd w:id="386"/>
      <w:bookmarkEnd w:id="387"/>
      <w:bookmarkEnd w:id="388"/>
      <w:bookmarkEnd w:id="389"/>
    </w:p>
    <w:p w14:paraId="4A835574">
      <w:pPr>
        <w:ind w:firstLine="420" w:firstLineChars="200"/>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14:paraId="71387B90">
      <w:pPr>
        <w:ind w:firstLine="422" w:firstLineChars="201"/>
        <w:rPr>
          <w:rFonts w:ascii="宋体" w:hAnsi="宋体"/>
          <w:b/>
        </w:rPr>
      </w:pPr>
      <w:bookmarkStart w:id="390" w:name="_Toc246996220"/>
      <w:bookmarkStart w:id="391" w:name="_Toc152045576"/>
      <w:bookmarkStart w:id="392" w:name="_Toc6675"/>
      <w:bookmarkStart w:id="393" w:name="_Toc152042352"/>
      <w:bookmarkStart w:id="394" w:name="_Toc144974544"/>
      <w:bookmarkStart w:id="395" w:name="_Toc247085734"/>
      <w:bookmarkStart w:id="396" w:name="_Toc246996963"/>
      <w:bookmarkStart w:id="397" w:name="_Toc399596195"/>
      <w:bookmarkStart w:id="398" w:name="_Toc179632594"/>
      <w:r>
        <w:rPr>
          <w:rFonts w:hint="eastAsia" w:ascii="宋体" w:hAnsi="宋体"/>
          <w:b/>
        </w:rPr>
        <w:t>9.2 对投标人的纪律要求</w:t>
      </w:r>
      <w:bookmarkEnd w:id="390"/>
      <w:bookmarkEnd w:id="391"/>
      <w:bookmarkEnd w:id="392"/>
      <w:bookmarkEnd w:id="393"/>
      <w:bookmarkEnd w:id="394"/>
      <w:bookmarkEnd w:id="395"/>
      <w:bookmarkEnd w:id="396"/>
      <w:bookmarkEnd w:id="397"/>
      <w:bookmarkEnd w:id="398"/>
    </w:p>
    <w:p w14:paraId="56A10E19">
      <w:pPr>
        <w:ind w:firstLine="420" w:firstLineChars="200"/>
        <w:rPr>
          <w:rFonts w:ascii="宋体" w:hAnsi="宋体"/>
        </w:rPr>
      </w:pPr>
      <w:bookmarkStart w:id="399" w:name="_Toc246996964"/>
      <w:bookmarkStart w:id="400" w:name="_Toc144974545"/>
      <w:bookmarkStart w:id="401" w:name="_Toc152045577"/>
      <w:bookmarkStart w:id="402" w:name="_Toc399596196"/>
      <w:bookmarkStart w:id="403" w:name="_Toc247085735"/>
      <w:bookmarkStart w:id="404" w:name="_Toc3459"/>
      <w:bookmarkStart w:id="405" w:name="_Toc246996221"/>
      <w:bookmarkStart w:id="406" w:name="_Toc179632595"/>
      <w:bookmarkStart w:id="407" w:name="_Toc152042353"/>
      <w:r>
        <w:rPr>
          <w:rFonts w:hint="eastAsia" w:ascii="宋体" w:hAnsi="宋体"/>
        </w:rPr>
        <w:t>投标人不得相互串通投标或者与招标人串通投标，不得向招标人或者评标委员会成员行贿谋取中标，不得以他人名义投标或者以其它方式弄虚作假骗取中标；投标人不得以任何方式干扰、影响评标工作，有上述行为者其投标文件作无效处理。</w:t>
      </w:r>
    </w:p>
    <w:p w14:paraId="149D6CB2">
      <w:pPr>
        <w:ind w:firstLine="422" w:firstLineChars="201"/>
        <w:rPr>
          <w:rFonts w:ascii="宋体" w:hAnsi="宋体"/>
          <w:b/>
        </w:rPr>
      </w:pPr>
      <w:r>
        <w:rPr>
          <w:rFonts w:hint="eastAsia" w:ascii="宋体" w:hAnsi="宋体"/>
          <w:b/>
        </w:rPr>
        <w:t>9.3 对评标委员会成员的纪律要求</w:t>
      </w:r>
      <w:bookmarkEnd w:id="399"/>
      <w:bookmarkEnd w:id="400"/>
      <w:bookmarkEnd w:id="401"/>
      <w:bookmarkEnd w:id="402"/>
      <w:bookmarkEnd w:id="403"/>
      <w:bookmarkEnd w:id="404"/>
      <w:bookmarkEnd w:id="405"/>
      <w:bookmarkEnd w:id="406"/>
      <w:bookmarkEnd w:id="407"/>
    </w:p>
    <w:p w14:paraId="1CBABB0D">
      <w:pPr>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8F3761C">
      <w:pPr>
        <w:ind w:firstLine="422" w:firstLineChars="201"/>
        <w:rPr>
          <w:rFonts w:ascii="宋体" w:hAnsi="宋体"/>
          <w:b/>
        </w:rPr>
      </w:pPr>
      <w:bookmarkStart w:id="408" w:name="_Toc32574"/>
      <w:bookmarkStart w:id="409" w:name="_Toc152045578"/>
      <w:bookmarkStart w:id="410" w:name="_Toc152042354"/>
      <w:bookmarkStart w:id="411" w:name="_Toc399596197"/>
      <w:bookmarkStart w:id="412" w:name="_Toc247085736"/>
      <w:bookmarkStart w:id="413" w:name="_Toc246996965"/>
      <w:bookmarkStart w:id="414" w:name="_Toc246996222"/>
      <w:bookmarkStart w:id="415" w:name="_Toc179632596"/>
      <w:bookmarkStart w:id="416" w:name="_Toc144974546"/>
      <w:r>
        <w:rPr>
          <w:rFonts w:hint="eastAsia" w:ascii="宋体" w:hAnsi="宋体"/>
          <w:b/>
        </w:rPr>
        <w:t>9.4 对与评标活动有关的工作人员的纪律要求</w:t>
      </w:r>
      <w:bookmarkEnd w:id="408"/>
      <w:bookmarkEnd w:id="409"/>
      <w:bookmarkEnd w:id="410"/>
      <w:bookmarkEnd w:id="411"/>
      <w:bookmarkEnd w:id="412"/>
      <w:bookmarkEnd w:id="413"/>
      <w:bookmarkEnd w:id="414"/>
      <w:bookmarkEnd w:id="415"/>
    </w:p>
    <w:p w14:paraId="2BDC5911">
      <w:pPr>
        <w:ind w:firstLine="420" w:firstLineChars="200"/>
        <w:rPr>
          <w:rFonts w:ascii="宋体" w:hAnsi="宋体"/>
        </w:rPr>
      </w:pPr>
      <w:bookmarkStart w:id="417"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7"/>
    </w:p>
    <w:p w14:paraId="0AAA6A2A">
      <w:pPr>
        <w:ind w:firstLine="422" w:firstLineChars="201"/>
        <w:rPr>
          <w:rFonts w:ascii="宋体" w:hAnsi="宋体"/>
          <w:b/>
        </w:rPr>
      </w:pPr>
      <w:bookmarkStart w:id="418" w:name="_Toc246996966"/>
      <w:bookmarkStart w:id="419" w:name="_Toc247085737"/>
      <w:bookmarkStart w:id="420" w:name="_Toc152042356"/>
      <w:bookmarkStart w:id="421" w:name="_Toc152045579"/>
      <w:bookmarkStart w:id="422" w:name="_Toc179632597"/>
      <w:bookmarkStart w:id="423" w:name="_Toc91"/>
      <w:bookmarkStart w:id="424" w:name="_Toc246996223"/>
      <w:bookmarkStart w:id="425" w:name="_Toc399596198"/>
      <w:r>
        <w:rPr>
          <w:rFonts w:hint="eastAsia" w:ascii="宋体" w:hAnsi="宋体"/>
          <w:b/>
        </w:rPr>
        <w:t>9.5 投诉</w:t>
      </w:r>
      <w:bookmarkEnd w:id="416"/>
      <w:bookmarkEnd w:id="418"/>
      <w:bookmarkEnd w:id="419"/>
      <w:bookmarkEnd w:id="420"/>
      <w:bookmarkEnd w:id="421"/>
      <w:bookmarkEnd w:id="422"/>
      <w:bookmarkEnd w:id="423"/>
      <w:bookmarkEnd w:id="424"/>
      <w:bookmarkEnd w:id="425"/>
    </w:p>
    <w:p w14:paraId="716F46F7">
      <w:pPr>
        <w:ind w:firstLine="420" w:firstLineChars="200"/>
        <w:rPr>
          <w:rFonts w:ascii="宋体" w:hAnsi="宋体"/>
        </w:rPr>
      </w:pPr>
      <w:r>
        <w:rPr>
          <w:rFonts w:hint="eastAsia" w:ascii="宋体" w:hAnsi="宋体"/>
        </w:rPr>
        <w:t>投标人和其他利害关系人认为本次招标活动违反法律、法规和规章规定的，有权向有关行政监督部门投诉。</w:t>
      </w:r>
    </w:p>
    <w:p w14:paraId="465FF21C">
      <w:pPr>
        <w:ind w:firstLine="422" w:firstLineChars="201"/>
        <w:rPr>
          <w:rFonts w:ascii="宋体" w:hAnsi="宋体"/>
          <w:b/>
        </w:rPr>
      </w:pPr>
      <w:bookmarkStart w:id="426" w:name="_Toc179632598"/>
      <w:bookmarkStart w:id="427" w:name="_Toc144974547"/>
      <w:bookmarkStart w:id="428" w:name="_Toc246996224"/>
      <w:bookmarkStart w:id="429" w:name="_Toc2766"/>
      <w:bookmarkStart w:id="430" w:name="_Toc152042357"/>
      <w:bookmarkStart w:id="431" w:name="_Toc247085738"/>
      <w:bookmarkStart w:id="432" w:name="_Toc152045580"/>
      <w:bookmarkStart w:id="433" w:name="_Toc246996967"/>
      <w:bookmarkStart w:id="434" w:name="_Toc399596199"/>
      <w:r>
        <w:rPr>
          <w:rFonts w:hint="eastAsia" w:ascii="宋体" w:hAnsi="宋体"/>
          <w:b/>
        </w:rPr>
        <w:t>10. 需要补充的其他内容</w:t>
      </w:r>
      <w:bookmarkEnd w:id="426"/>
      <w:bookmarkEnd w:id="427"/>
      <w:bookmarkEnd w:id="428"/>
      <w:bookmarkEnd w:id="429"/>
      <w:bookmarkEnd w:id="430"/>
      <w:bookmarkEnd w:id="431"/>
      <w:bookmarkEnd w:id="432"/>
      <w:bookmarkEnd w:id="433"/>
      <w:bookmarkEnd w:id="434"/>
    </w:p>
    <w:p w14:paraId="752508D9">
      <w:pPr>
        <w:ind w:firstLine="420" w:firstLineChars="200"/>
        <w:rPr>
          <w:rFonts w:ascii="宋体" w:hAnsi="宋体"/>
        </w:rPr>
        <w:sectPr>
          <w:pgSz w:w="11906" w:h="16838"/>
          <w:pgMar w:top="1440" w:right="1247" w:bottom="1440" w:left="1701" w:header="1077" w:footer="1021" w:gutter="0"/>
          <w:cols w:space="720" w:num="1"/>
          <w:docGrid w:type="linesAndChars" w:linePitch="312" w:charSpace="0"/>
        </w:sectPr>
      </w:pPr>
      <w:r>
        <w:rPr>
          <w:rFonts w:hint="eastAsia" w:ascii="宋体" w:hAnsi="宋体"/>
        </w:rPr>
        <w:t>需要补充的其他内容：见投标人须知前附表。</w:t>
      </w:r>
    </w:p>
    <w:p w14:paraId="730DF2C6">
      <w:pPr>
        <w:pStyle w:val="3"/>
        <w:jc w:val="center"/>
        <w:rPr>
          <w:rFonts w:ascii="宋体" w:hAnsi="宋体"/>
          <w:sz w:val="32"/>
          <w:szCs w:val="32"/>
        </w:rPr>
      </w:pPr>
      <w:bookmarkStart w:id="435" w:name="_Toc152042375"/>
      <w:bookmarkStart w:id="436" w:name="_Toc399596206"/>
      <w:bookmarkStart w:id="437" w:name="_Toc167311825"/>
      <w:bookmarkStart w:id="438" w:name="_Toc246996984"/>
      <w:bookmarkStart w:id="439" w:name="_Toc246996241"/>
      <w:bookmarkStart w:id="440" w:name="_Toc179632616"/>
      <w:bookmarkStart w:id="441" w:name="_Toc152045598"/>
      <w:bookmarkStart w:id="442" w:name="_Toc19609"/>
      <w:bookmarkStart w:id="443" w:name="_Toc15958"/>
      <w:bookmarkStart w:id="444" w:name="_Toc247085756"/>
      <w:bookmarkStart w:id="445" w:name="_Toc144974565"/>
      <w:r>
        <w:rPr>
          <w:rFonts w:hint="eastAsia" w:ascii="宋体" w:hAnsi="宋体"/>
          <w:sz w:val="32"/>
          <w:szCs w:val="32"/>
        </w:rPr>
        <w:t>第三章 评标办法（综合评估法）</w:t>
      </w:r>
      <w:bookmarkEnd w:id="435"/>
      <w:bookmarkEnd w:id="436"/>
      <w:bookmarkEnd w:id="437"/>
      <w:bookmarkEnd w:id="438"/>
      <w:bookmarkEnd w:id="439"/>
      <w:bookmarkEnd w:id="440"/>
      <w:bookmarkEnd w:id="441"/>
      <w:bookmarkEnd w:id="442"/>
      <w:bookmarkEnd w:id="443"/>
      <w:bookmarkEnd w:id="444"/>
      <w:bookmarkEnd w:id="445"/>
      <w:bookmarkStart w:id="446" w:name="_Toc152045599"/>
      <w:bookmarkStart w:id="447" w:name="_Toc246996242"/>
      <w:bookmarkStart w:id="448" w:name="_Toc144974566"/>
      <w:bookmarkStart w:id="449" w:name="_Toc247085757"/>
      <w:bookmarkStart w:id="450" w:name="_Toc246996985"/>
      <w:bookmarkStart w:id="451" w:name="_Toc152042376"/>
      <w:bookmarkStart w:id="452" w:name="_Toc179632617"/>
    </w:p>
    <w:bookmarkEnd w:id="446"/>
    <w:bookmarkEnd w:id="447"/>
    <w:bookmarkEnd w:id="448"/>
    <w:bookmarkEnd w:id="449"/>
    <w:bookmarkEnd w:id="450"/>
    <w:bookmarkEnd w:id="451"/>
    <w:bookmarkEnd w:id="452"/>
    <w:p w14:paraId="531461C0">
      <w:pPr>
        <w:jc w:val="center"/>
        <w:rPr>
          <w:rFonts w:ascii="宋体" w:hAnsi="宋体"/>
          <w:b/>
        </w:rPr>
      </w:pPr>
      <w:bookmarkStart w:id="453" w:name="_Toc31775"/>
      <w:bookmarkStart w:id="454" w:name="_Toc399596207"/>
      <w:bookmarkStart w:id="455" w:name="_Toc246996244"/>
      <w:bookmarkStart w:id="456" w:name="_Toc144974568"/>
      <w:bookmarkStart w:id="457" w:name="_Toc247085759"/>
      <w:bookmarkStart w:id="458" w:name="_Toc152045601"/>
      <w:bookmarkStart w:id="459" w:name="_Toc179632619"/>
      <w:bookmarkStart w:id="460" w:name="_Toc399596209"/>
      <w:bookmarkStart w:id="461" w:name="_Toc12580"/>
      <w:bookmarkStart w:id="462" w:name="_Toc246996987"/>
      <w:bookmarkStart w:id="463" w:name="_Toc152042378"/>
      <w:r>
        <w:rPr>
          <w:rFonts w:hint="eastAsia" w:ascii="宋体" w:hAnsi="宋体"/>
          <w:b/>
        </w:rPr>
        <w:t>评标办法前附表</w:t>
      </w:r>
      <w:bookmarkEnd w:id="453"/>
      <w:bookmarkEnd w:id="454"/>
    </w:p>
    <w:tbl>
      <w:tblPr>
        <w:tblStyle w:val="46"/>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46"/>
        <w:gridCol w:w="97"/>
        <w:gridCol w:w="2120"/>
        <w:gridCol w:w="5238"/>
      </w:tblGrid>
      <w:tr w14:paraId="76024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3" w:type="dxa"/>
            <w:gridSpan w:val="3"/>
            <w:tcBorders>
              <w:top w:val="single" w:color="auto" w:sz="4" w:space="0"/>
              <w:bottom w:val="single" w:color="auto" w:sz="4" w:space="0"/>
              <w:right w:val="single" w:color="auto" w:sz="4" w:space="0"/>
            </w:tcBorders>
            <w:vAlign w:val="center"/>
          </w:tcPr>
          <w:p w14:paraId="1AC42190">
            <w:pPr>
              <w:jc w:val="center"/>
              <w:rPr>
                <w:rFonts w:ascii="宋体" w:hAnsi="宋体"/>
                <w:b/>
                <w:szCs w:val="21"/>
              </w:rPr>
            </w:pPr>
            <w:r>
              <w:rPr>
                <w:rFonts w:ascii="宋体" w:hAnsi="宋体"/>
                <w:b/>
                <w:szCs w:val="21"/>
              </w:rPr>
              <w:t>条款号</w:t>
            </w:r>
          </w:p>
        </w:tc>
        <w:tc>
          <w:tcPr>
            <w:tcW w:w="2120" w:type="dxa"/>
            <w:tcBorders>
              <w:top w:val="single" w:color="auto" w:sz="4" w:space="0"/>
              <w:left w:val="single" w:color="auto" w:sz="4" w:space="0"/>
              <w:bottom w:val="single" w:color="auto" w:sz="4" w:space="0"/>
              <w:right w:val="single" w:color="auto" w:sz="4" w:space="0"/>
            </w:tcBorders>
            <w:vAlign w:val="center"/>
          </w:tcPr>
          <w:p w14:paraId="06F9AED1">
            <w:pPr>
              <w:jc w:val="center"/>
              <w:rPr>
                <w:rFonts w:ascii="宋体" w:hAnsi="宋体"/>
                <w:b/>
                <w:szCs w:val="21"/>
              </w:rPr>
            </w:pPr>
            <w:r>
              <w:rPr>
                <w:rFonts w:ascii="宋体" w:hAnsi="宋体"/>
                <w:b/>
                <w:szCs w:val="21"/>
              </w:rPr>
              <w:t>评审因素</w:t>
            </w:r>
          </w:p>
        </w:tc>
        <w:tc>
          <w:tcPr>
            <w:tcW w:w="5238" w:type="dxa"/>
            <w:tcBorders>
              <w:top w:val="single" w:color="auto" w:sz="4" w:space="0"/>
              <w:left w:val="single" w:color="auto" w:sz="4" w:space="0"/>
              <w:bottom w:val="single" w:color="auto" w:sz="4" w:space="0"/>
              <w:right w:val="single" w:color="auto" w:sz="4" w:space="0"/>
            </w:tcBorders>
            <w:vAlign w:val="center"/>
          </w:tcPr>
          <w:p w14:paraId="5D92455E">
            <w:pPr>
              <w:jc w:val="center"/>
              <w:rPr>
                <w:rFonts w:ascii="宋体" w:hAnsi="宋体"/>
                <w:b/>
                <w:szCs w:val="21"/>
              </w:rPr>
            </w:pPr>
            <w:r>
              <w:rPr>
                <w:rFonts w:ascii="宋体" w:hAnsi="宋体"/>
                <w:b/>
                <w:szCs w:val="21"/>
              </w:rPr>
              <w:t>评审标准</w:t>
            </w:r>
          </w:p>
        </w:tc>
      </w:tr>
      <w:tr w14:paraId="5F59B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14:paraId="6C34233C">
            <w:pPr>
              <w:jc w:val="center"/>
              <w:rPr>
                <w:rFonts w:ascii="宋体" w:hAnsi="宋体"/>
                <w:szCs w:val="21"/>
              </w:rPr>
            </w:pPr>
            <w:r>
              <w:rPr>
                <w:rFonts w:ascii="宋体" w:hAnsi="宋体"/>
                <w:szCs w:val="21"/>
              </w:rPr>
              <w:t>2.1.1</w:t>
            </w:r>
          </w:p>
        </w:tc>
        <w:tc>
          <w:tcPr>
            <w:tcW w:w="943" w:type="dxa"/>
            <w:gridSpan w:val="2"/>
            <w:vMerge w:val="restart"/>
            <w:tcBorders>
              <w:top w:val="single" w:color="auto" w:sz="4" w:space="0"/>
              <w:bottom w:val="single" w:color="auto" w:sz="4" w:space="0"/>
              <w:right w:val="single" w:color="auto" w:sz="4" w:space="0"/>
            </w:tcBorders>
            <w:vAlign w:val="center"/>
          </w:tcPr>
          <w:p w14:paraId="343C6ACB">
            <w:pPr>
              <w:jc w:val="center"/>
              <w:rPr>
                <w:rFonts w:ascii="宋体" w:hAnsi="宋体"/>
                <w:szCs w:val="21"/>
              </w:rPr>
            </w:pPr>
            <w:r>
              <w:rPr>
                <w:rFonts w:ascii="宋体" w:hAnsi="宋体"/>
                <w:szCs w:val="21"/>
              </w:rPr>
              <w:t>形式评审标准</w:t>
            </w:r>
          </w:p>
        </w:tc>
        <w:tc>
          <w:tcPr>
            <w:tcW w:w="2120" w:type="dxa"/>
            <w:tcBorders>
              <w:top w:val="single" w:color="auto" w:sz="4" w:space="0"/>
              <w:left w:val="single" w:color="auto" w:sz="4" w:space="0"/>
              <w:bottom w:val="single" w:color="auto" w:sz="4" w:space="0"/>
              <w:right w:val="single" w:color="auto" w:sz="4" w:space="0"/>
            </w:tcBorders>
            <w:vAlign w:val="center"/>
          </w:tcPr>
          <w:p w14:paraId="7C2AD3F8">
            <w:pPr>
              <w:jc w:val="center"/>
              <w:rPr>
                <w:rFonts w:ascii="宋体" w:hAnsi="宋体"/>
                <w:szCs w:val="21"/>
              </w:rPr>
            </w:pPr>
            <w:r>
              <w:rPr>
                <w:rFonts w:ascii="宋体" w:hAnsi="宋体"/>
                <w:szCs w:val="21"/>
              </w:rPr>
              <w:t>投标人名称</w:t>
            </w:r>
          </w:p>
        </w:tc>
        <w:tc>
          <w:tcPr>
            <w:tcW w:w="5238" w:type="dxa"/>
            <w:tcBorders>
              <w:top w:val="single" w:color="auto" w:sz="4" w:space="0"/>
              <w:left w:val="single" w:color="auto" w:sz="4" w:space="0"/>
              <w:bottom w:val="single" w:color="auto" w:sz="4" w:space="0"/>
              <w:right w:val="single" w:color="auto" w:sz="4" w:space="0"/>
            </w:tcBorders>
            <w:vAlign w:val="center"/>
          </w:tcPr>
          <w:p w14:paraId="12A04DE5">
            <w:pPr>
              <w:rPr>
                <w:rFonts w:ascii="宋体" w:hAnsi="宋体"/>
                <w:szCs w:val="21"/>
              </w:rPr>
            </w:pPr>
            <w:r>
              <w:rPr>
                <w:rFonts w:ascii="宋体" w:hAnsi="宋体"/>
                <w:szCs w:val="21"/>
              </w:rPr>
              <w:t>与营业执照一致</w:t>
            </w:r>
          </w:p>
        </w:tc>
      </w:tr>
      <w:tr w14:paraId="17AAB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04CE166E">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2A9800B6">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35DFAF99">
            <w:pPr>
              <w:jc w:val="center"/>
              <w:rPr>
                <w:rFonts w:ascii="宋体" w:hAnsi="宋体"/>
                <w:szCs w:val="21"/>
              </w:rPr>
            </w:pPr>
            <w:r>
              <w:rPr>
                <w:rFonts w:ascii="宋体" w:hAnsi="宋体"/>
                <w:szCs w:val="21"/>
              </w:rPr>
              <w:t>投标函签字盖章</w:t>
            </w:r>
          </w:p>
        </w:tc>
        <w:tc>
          <w:tcPr>
            <w:tcW w:w="5238" w:type="dxa"/>
            <w:tcBorders>
              <w:top w:val="single" w:color="auto" w:sz="4" w:space="0"/>
              <w:left w:val="single" w:color="auto" w:sz="4" w:space="0"/>
              <w:bottom w:val="single" w:color="auto" w:sz="4" w:space="0"/>
              <w:right w:val="single" w:color="auto" w:sz="4" w:space="0"/>
            </w:tcBorders>
            <w:vAlign w:val="center"/>
          </w:tcPr>
          <w:p w14:paraId="169E7F35">
            <w:pPr>
              <w:rPr>
                <w:rFonts w:ascii="宋体" w:hAnsi="宋体"/>
                <w:szCs w:val="21"/>
              </w:rPr>
            </w:pPr>
            <w:r>
              <w:rPr>
                <w:rFonts w:hint="eastAsia" w:ascii="宋体" w:hAnsi="宋体"/>
              </w:rPr>
              <w:t>符合招标文件规定</w:t>
            </w:r>
          </w:p>
        </w:tc>
      </w:tr>
      <w:tr w14:paraId="0B2C2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51BA6EA3">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29C216D7">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2347D28A">
            <w:pPr>
              <w:jc w:val="center"/>
              <w:rPr>
                <w:rFonts w:ascii="宋体" w:hAnsi="宋体"/>
                <w:szCs w:val="21"/>
              </w:rPr>
            </w:pPr>
            <w:r>
              <w:rPr>
                <w:rFonts w:ascii="宋体" w:hAnsi="宋体"/>
                <w:szCs w:val="21"/>
              </w:rPr>
              <w:t>投标文件格式</w:t>
            </w:r>
          </w:p>
        </w:tc>
        <w:tc>
          <w:tcPr>
            <w:tcW w:w="5238" w:type="dxa"/>
            <w:tcBorders>
              <w:top w:val="single" w:color="auto" w:sz="4" w:space="0"/>
              <w:left w:val="single" w:color="auto" w:sz="4" w:space="0"/>
              <w:bottom w:val="single" w:color="auto" w:sz="4" w:space="0"/>
              <w:right w:val="single" w:color="auto" w:sz="4" w:space="0"/>
            </w:tcBorders>
            <w:vAlign w:val="center"/>
          </w:tcPr>
          <w:p w14:paraId="67053A8E">
            <w:pPr>
              <w:rPr>
                <w:rFonts w:ascii="宋体" w:hAnsi="宋体"/>
                <w:szCs w:val="21"/>
              </w:rPr>
            </w:pPr>
            <w:r>
              <w:rPr>
                <w:rFonts w:hint="eastAsia" w:ascii="宋体" w:hAnsi="宋体"/>
              </w:rPr>
              <w:t>符合招标文件规定</w:t>
            </w:r>
          </w:p>
        </w:tc>
      </w:tr>
      <w:tr w14:paraId="258F2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2C4AA2BC">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150EA616">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0C3A6BBB">
            <w:pPr>
              <w:jc w:val="center"/>
              <w:rPr>
                <w:rFonts w:ascii="宋体" w:hAnsi="宋体"/>
                <w:szCs w:val="21"/>
              </w:rPr>
            </w:pPr>
            <w:r>
              <w:rPr>
                <w:rFonts w:ascii="宋体" w:hAnsi="宋体"/>
                <w:szCs w:val="21"/>
              </w:rPr>
              <w:t>报价唯一</w:t>
            </w:r>
          </w:p>
        </w:tc>
        <w:tc>
          <w:tcPr>
            <w:tcW w:w="5238" w:type="dxa"/>
            <w:tcBorders>
              <w:top w:val="single" w:color="auto" w:sz="4" w:space="0"/>
              <w:left w:val="single" w:color="auto" w:sz="4" w:space="0"/>
              <w:bottom w:val="single" w:color="auto" w:sz="4" w:space="0"/>
              <w:right w:val="single" w:color="auto" w:sz="4" w:space="0"/>
            </w:tcBorders>
            <w:vAlign w:val="center"/>
          </w:tcPr>
          <w:p w14:paraId="3CE3E3A6">
            <w:pPr>
              <w:rPr>
                <w:rFonts w:ascii="宋体" w:hAnsi="宋体"/>
                <w:szCs w:val="21"/>
              </w:rPr>
            </w:pPr>
            <w:r>
              <w:rPr>
                <w:rFonts w:ascii="宋体" w:hAnsi="宋体"/>
                <w:szCs w:val="21"/>
              </w:rPr>
              <w:t>只能有一个有效报价</w:t>
            </w:r>
            <w:r>
              <w:rPr>
                <w:rFonts w:hint="eastAsia" w:ascii="宋体" w:hAnsi="宋体"/>
                <w:szCs w:val="21"/>
              </w:rPr>
              <w:t>，</w:t>
            </w:r>
            <w:r>
              <w:rPr>
                <w:rFonts w:hint="eastAsia" w:ascii="宋体" w:hAnsi="宋体"/>
              </w:rPr>
              <w:t>且不超过招标控制价</w:t>
            </w:r>
          </w:p>
        </w:tc>
      </w:tr>
      <w:tr w14:paraId="26D30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14:paraId="1FC046B3">
            <w:pPr>
              <w:jc w:val="center"/>
              <w:rPr>
                <w:rFonts w:ascii="宋体" w:hAnsi="宋体"/>
                <w:szCs w:val="21"/>
              </w:rPr>
            </w:pPr>
            <w:r>
              <w:rPr>
                <w:rFonts w:ascii="宋体" w:hAnsi="宋体"/>
                <w:szCs w:val="21"/>
              </w:rPr>
              <w:t>2.1.2</w:t>
            </w:r>
          </w:p>
        </w:tc>
        <w:tc>
          <w:tcPr>
            <w:tcW w:w="943" w:type="dxa"/>
            <w:gridSpan w:val="2"/>
            <w:vMerge w:val="restart"/>
            <w:tcBorders>
              <w:top w:val="single" w:color="auto" w:sz="4" w:space="0"/>
              <w:bottom w:val="single" w:color="auto" w:sz="4" w:space="0"/>
              <w:right w:val="single" w:color="auto" w:sz="4" w:space="0"/>
            </w:tcBorders>
            <w:vAlign w:val="center"/>
          </w:tcPr>
          <w:p w14:paraId="12D9F876">
            <w:pPr>
              <w:jc w:val="center"/>
              <w:rPr>
                <w:rFonts w:ascii="宋体" w:hAnsi="宋体"/>
                <w:szCs w:val="21"/>
              </w:rPr>
            </w:pPr>
            <w:r>
              <w:rPr>
                <w:rFonts w:ascii="宋体" w:hAnsi="宋体"/>
                <w:szCs w:val="21"/>
              </w:rPr>
              <w:t>资格评审标准</w:t>
            </w:r>
          </w:p>
        </w:tc>
        <w:tc>
          <w:tcPr>
            <w:tcW w:w="2120" w:type="dxa"/>
            <w:tcBorders>
              <w:top w:val="single" w:color="auto" w:sz="4" w:space="0"/>
              <w:left w:val="single" w:color="auto" w:sz="4" w:space="0"/>
              <w:bottom w:val="single" w:color="auto" w:sz="4" w:space="0"/>
              <w:right w:val="single" w:color="auto" w:sz="4" w:space="0"/>
            </w:tcBorders>
            <w:vAlign w:val="center"/>
          </w:tcPr>
          <w:p w14:paraId="6ED949DA">
            <w:pPr>
              <w:jc w:val="center"/>
              <w:rPr>
                <w:rFonts w:ascii="宋体" w:hAnsi="宋体"/>
                <w:szCs w:val="21"/>
              </w:rPr>
            </w:pPr>
            <w:r>
              <w:rPr>
                <w:rFonts w:ascii="宋体" w:hAnsi="宋体"/>
                <w:szCs w:val="21"/>
              </w:rPr>
              <w:t>营业执照</w:t>
            </w:r>
          </w:p>
        </w:tc>
        <w:tc>
          <w:tcPr>
            <w:tcW w:w="5238" w:type="dxa"/>
            <w:tcBorders>
              <w:top w:val="single" w:color="auto" w:sz="4" w:space="0"/>
              <w:left w:val="single" w:color="auto" w:sz="4" w:space="0"/>
              <w:bottom w:val="single" w:color="auto" w:sz="4" w:space="0"/>
              <w:right w:val="single" w:color="auto" w:sz="4" w:space="0"/>
            </w:tcBorders>
            <w:vAlign w:val="center"/>
          </w:tcPr>
          <w:p w14:paraId="2CBB73DE">
            <w:pPr>
              <w:rPr>
                <w:rFonts w:ascii="宋体" w:hAnsi="宋体"/>
                <w:szCs w:val="21"/>
              </w:rPr>
            </w:pPr>
            <w:r>
              <w:rPr>
                <w:rFonts w:ascii="宋体" w:hAnsi="宋体"/>
                <w:szCs w:val="21"/>
              </w:rPr>
              <w:t>具备有效的营业执照</w:t>
            </w:r>
          </w:p>
        </w:tc>
      </w:tr>
      <w:tr w14:paraId="7E91F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1BC36E9C">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22887D25">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30CC63BA">
            <w:pPr>
              <w:jc w:val="center"/>
              <w:rPr>
                <w:rFonts w:ascii="宋体" w:hAnsi="宋体"/>
                <w:szCs w:val="21"/>
              </w:rPr>
            </w:pPr>
            <w:r>
              <w:rPr>
                <w:rFonts w:ascii="宋体" w:hAnsi="宋体"/>
                <w:szCs w:val="21"/>
              </w:rPr>
              <w:t>资质等级</w:t>
            </w:r>
          </w:p>
        </w:tc>
        <w:tc>
          <w:tcPr>
            <w:tcW w:w="5238" w:type="dxa"/>
            <w:tcBorders>
              <w:top w:val="single" w:color="auto" w:sz="4" w:space="0"/>
              <w:left w:val="single" w:color="auto" w:sz="4" w:space="0"/>
              <w:bottom w:val="single" w:color="auto" w:sz="4" w:space="0"/>
              <w:right w:val="single" w:color="auto" w:sz="4" w:space="0"/>
            </w:tcBorders>
            <w:vAlign w:val="center"/>
          </w:tcPr>
          <w:p w14:paraId="2A5B3EDC">
            <w:pPr>
              <w:spacing w:line="400" w:lineRule="exact"/>
              <w:rPr>
                <w:rFonts w:ascii="宋体" w:hAnsi="宋体"/>
                <w:szCs w:val="21"/>
              </w:rPr>
            </w:pPr>
            <w:r>
              <w:rPr>
                <w:rFonts w:hint="eastAsia" w:ascii="宋体" w:hAnsi="宋体"/>
              </w:rPr>
              <w:t>符合招标文件规定</w:t>
            </w:r>
          </w:p>
        </w:tc>
      </w:tr>
      <w:tr w14:paraId="73EBC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217D1AAE">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54A39158">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1C6BD5B8">
            <w:pPr>
              <w:jc w:val="center"/>
              <w:rPr>
                <w:rFonts w:ascii="宋体" w:hAnsi="宋体"/>
                <w:szCs w:val="21"/>
              </w:rPr>
            </w:pPr>
            <w:r>
              <w:rPr>
                <w:rFonts w:ascii="宋体" w:hAnsi="宋体"/>
                <w:szCs w:val="21"/>
              </w:rPr>
              <w:t>项目</w:t>
            </w:r>
            <w:r>
              <w:rPr>
                <w:rFonts w:hint="eastAsia" w:ascii="宋体" w:hAnsi="宋体"/>
                <w:szCs w:val="21"/>
              </w:rPr>
              <w:t>总监</w:t>
            </w:r>
          </w:p>
        </w:tc>
        <w:tc>
          <w:tcPr>
            <w:tcW w:w="5238" w:type="dxa"/>
            <w:tcBorders>
              <w:top w:val="single" w:color="auto" w:sz="4" w:space="0"/>
              <w:left w:val="single" w:color="auto" w:sz="4" w:space="0"/>
              <w:bottom w:val="single" w:color="auto" w:sz="4" w:space="0"/>
              <w:right w:val="single" w:color="auto" w:sz="4" w:space="0"/>
            </w:tcBorders>
            <w:vAlign w:val="center"/>
          </w:tcPr>
          <w:p w14:paraId="620255CA">
            <w:pPr>
              <w:rPr>
                <w:rFonts w:ascii="宋体" w:hAnsi="宋体"/>
                <w:szCs w:val="21"/>
              </w:rPr>
            </w:pPr>
            <w:r>
              <w:rPr>
                <w:rFonts w:hint="eastAsia" w:ascii="宋体" w:hAnsi="宋体"/>
              </w:rPr>
              <w:t>符合招标文件规定</w:t>
            </w:r>
          </w:p>
        </w:tc>
      </w:tr>
      <w:tr w14:paraId="27A6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14:paraId="16471EA4">
            <w:pPr>
              <w:jc w:val="center"/>
              <w:rPr>
                <w:rFonts w:ascii="宋体" w:hAnsi="宋体"/>
                <w:szCs w:val="21"/>
              </w:rPr>
            </w:pPr>
          </w:p>
        </w:tc>
        <w:tc>
          <w:tcPr>
            <w:tcW w:w="943" w:type="dxa"/>
            <w:gridSpan w:val="2"/>
            <w:vMerge w:val="continue"/>
            <w:tcBorders>
              <w:top w:val="nil"/>
              <w:bottom w:val="single" w:color="auto" w:sz="4" w:space="0"/>
              <w:right w:val="single" w:color="auto" w:sz="4" w:space="0"/>
            </w:tcBorders>
            <w:vAlign w:val="center"/>
          </w:tcPr>
          <w:p w14:paraId="21C35A60">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251D7D70">
            <w:pPr>
              <w:jc w:val="center"/>
              <w:rPr>
                <w:rFonts w:ascii="宋体" w:hAnsi="宋体"/>
                <w:szCs w:val="21"/>
              </w:rPr>
            </w:pPr>
            <w:r>
              <w:rPr>
                <w:rFonts w:hint="eastAsia" w:ascii="宋体" w:hAnsi="宋体"/>
                <w:szCs w:val="21"/>
              </w:rPr>
              <w:t>其他要求</w:t>
            </w:r>
          </w:p>
        </w:tc>
        <w:tc>
          <w:tcPr>
            <w:tcW w:w="5238" w:type="dxa"/>
            <w:tcBorders>
              <w:top w:val="single" w:color="auto" w:sz="4" w:space="0"/>
              <w:left w:val="single" w:color="auto" w:sz="4" w:space="0"/>
              <w:bottom w:val="single" w:color="auto" w:sz="4" w:space="0"/>
              <w:right w:val="single" w:color="auto" w:sz="4" w:space="0"/>
            </w:tcBorders>
            <w:vAlign w:val="center"/>
          </w:tcPr>
          <w:p w14:paraId="1FB3EC32">
            <w:pPr>
              <w:rPr>
                <w:rFonts w:ascii="宋体" w:hAnsi="宋体"/>
                <w:szCs w:val="21"/>
              </w:rPr>
            </w:pPr>
            <w:r>
              <w:rPr>
                <w:rFonts w:hint="eastAsia" w:ascii="宋体" w:hAnsi="宋体"/>
              </w:rPr>
              <w:t>符合招标文件规定</w:t>
            </w:r>
          </w:p>
        </w:tc>
      </w:tr>
      <w:tr w14:paraId="53C71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vAlign w:val="center"/>
          </w:tcPr>
          <w:p w14:paraId="01629981">
            <w:pPr>
              <w:jc w:val="center"/>
              <w:rPr>
                <w:rFonts w:ascii="宋体" w:hAnsi="宋体"/>
                <w:szCs w:val="21"/>
              </w:rPr>
            </w:pPr>
          </w:p>
          <w:p w14:paraId="313F8134">
            <w:pPr>
              <w:jc w:val="center"/>
              <w:rPr>
                <w:rFonts w:ascii="宋体" w:hAnsi="宋体"/>
                <w:szCs w:val="21"/>
              </w:rPr>
            </w:pPr>
          </w:p>
          <w:p w14:paraId="6C2C3733">
            <w:pPr>
              <w:jc w:val="center"/>
              <w:rPr>
                <w:rFonts w:ascii="宋体" w:hAnsi="宋体"/>
                <w:szCs w:val="21"/>
              </w:rPr>
            </w:pPr>
            <w:r>
              <w:rPr>
                <w:rFonts w:ascii="宋体" w:hAnsi="宋体"/>
                <w:szCs w:val="21"/>
              </w:rPr>
              <w:t>2.1.3</w:t>
            </w:r>
          </w:p>
          <w:p w14:paraId="0C334CE1">
            <w:pPr>
              <w:jc w:val="center"/>
              <w:rPr>
                <w:rFonts w:ascii="宋体" w:hAnsi="宋体"/>
                <w:szCs w:val="21"/>
              </w:rPr>
            </w:pPr>
          </w:p>
          <w:p w14:paraId="0533B12A">
            <w:pPr>
              <w:jc w:val="center"/>
              <w:rPr>
                <w:rFonts w:ascii="宋体" w:hAnsi="宋体"/>
                <w:szCs w:val="21"/>
              </w:rPr>
            </w:pPr>
          </w:p>
          <w:p w14:paraId="29FCBD59">
            <w:pPr>
              <w:jc w:val="center"/>
              <w:rPr>
                <w:rFonts w:ascii="宋体" w:hAnsi="宋体"/>
                <w:szCs w:val="21"/>
              </w:rPr>
            </w:pPr>
          </w:p>
          <w:p w14:paraId="53AC2814">
            <w:pPr>
              <w:jc w:val="center"/>
              <w:rPr>
                <w:rFonts w:ascii="宋体" w:hAnsi="宋体"/>
                <w:szCs w:val="21"/>
              </w:rPr>
            </w:pPr>
          </w:p>
        </w:tc>
        <w:tc>
          <w:tcPr>
            <w:tcW w:w="943" w:type="dxa"/>
            <w:gridSpan w:val="2"/>
            <w:vMerge w:val="restart"/>
            <w:tcBorders>
              <w:top w:val="single" w:color="auto" w:sz="4" w:space="0"/>
              <w:right w:val="single" w:color="auto" w:sz="4" w:space="0"/>
            </w:tcBorders>
            <w:vAlign w:val="center"/>
          </w:tcPr>
          <w:p w14:paraId="4F00B60A">
            <w:pPr>
              <w:jc w:val="center"/>
              <w:rPr>
                <w:rFonts w:ascii="宋体" w:hAnsi="宋体"/>
                <w:szCs w:val="21"/>
              </w:rPr>
            </w:pPr>
          </w:p>
          <w:p w14:paraId="7A5ABCBF">
            <w:pPr>
              <w:jc w:val="center"/>
              <w:rPr>
                <w:rFonts w:ascii="宋体" w:hAnsi="宋体"/>
                <w:szCs w:val="21"/>
              </w:rPr>
            </w:pPr>
          </w:p>
          <w:p w14:paraId="2EB5C810">
            <w:pPr>
              <w:jc w:val="center"/>
              <w:rPr>
                <w:rFonts w:ascii="宋体" w:hAnsi="宋体"/>
                <w:szCs w:val="21"/>
              </w:rPr>
            </w:pPr>
            <w:r>
              <w:rPr>
                <w:rFonts w:ascii="宋体" w:hAnsi="宋体"/>
                <w:szCs w:val="21"/>
              </w:rPr>
              <w:t>响应性</w:t>
            </w:r>
          </w:p>
          <w:p w14:paraId="3268D9AE">
            <w:pPr>
              <w:jc w:val="center"/>
              <w:rPr>
                <w:rFonts w:ascii="宋体" w:hAnsi="宋体"/>
                <w:szCs w:val="21"/>
              </w:rPr>
            </w:pPr>
            <w:r>
              <w:rPr>
                <w:rFonts w:ascii="宋体" w:hAnsi="宋体"/>
                <w:szCs w:val="21"/>
              </w:rPr>
              <w:t>评审</w:t>
            </w:r>
          </w:p>
          <w:p w14:paraId="0B06CF9C">
            <w:pPr>
              <w:jc w:val="center"/>
              <w:rPr>
                <w:rFonts w:ascii="宋体" w:hAnsi="宋体"/>
                <w:szCs w:val="21"/>
              </w:rPr>
            </w:pPr>
            <w:r>
              <w:rPr>
                <w:rFonts w:ascii="宋体" w:hAnsi="宋体"/>
                <w:szCs w:val="21"/>
              </w:rPr>
              <w:t>标准</w:t>
            </w:r>
          </w:p>
          <w:p w14:paraId="1459FBF9">
            <w:pPr>
              <w:jc w:val="center"/>
              <w:rPr>
                <w:rFonts w:ascii="宋体" w:hAnsi="宋体"/>
                <w:szCs w:val="21"/>
              </w:rPr>
            </w:pPr>
          </w:p>
          <w:p w14:paraId="5C12B749">
            <w:pP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4D0795F4">
            <w:pPr>
              <w:spacing w:line="400" w:lineRule="exact"/>
              <w:jc w:val="center"/>
              <w:rPr>
                <w:rFonts w:ascii="宋体" w:hAnsi="宋体"/>
                <w:szCs w:val="21"/>
              </w:rPr>
            </w:pPr>
            <w:r>
              <w:rPr>
                <w:rFonts w:hint="eastAsia" w:ascii="宋体" w:hAnsi="宋体"/>
              </w:rPr>
              <w:t>投标报价</w:t>
            </w:r>
          </w:p>
        </w:tc>
        <w:tc>
          <w:tcPr>
            <w:tcW w:w="5238" w:type="dxa"/>
            <w:tcBorders>
              <w:top w:val="single" w:color="auto" w:sz="4" w:space="0"/>
              <w:left w:val="single" w:color="auto" w:sz="4" w:space="0"/>
              <w:bottom w:val="single" w:color="auto" w:sz="4" w:space="0"/>
              <w:right w:val="single" w:color="auto" w:sz="4" w:space="0"/>
            </w:tcBorders>
            <w:vAlign w:val="center"/>
          </w:tcPr>
          <w:p w14:paraId="205048F5">
            <w:pPr>
              <w:spacing w:line="400" w:lineRule="exact"/>
              <w:rPr>
                <w:rFonts w:ascii="宋体" w:hAnsi="宋体"/>
                <w:szCs w:val="21"/>
              </w:rPr>
            </w:pPr>
            <w:r>
              <w:rPr>
                <w:rFonts w:hint="eastAsia" w:ascii="宋体" w:hAnsi="宋体"/>
              </w:rPr>
              <w:t>符合招标文件规定</w:t>
            </w:r>
          </w:p>
        </w:tc>
      </w:tr>
      <w:tr w14:paraId="15674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14:paraId="04A319B1">
            <w:pPr>
              <w:jc w:val="center"/>
              <w:rPr>
                <w:rFonts w:ascii="宋体" w:hAnsi="宋体"/>
                <w:szCs w:val="21"/>
              </w:rPr>
            </w:pPr>
          </w:p>
        </w:tc>
        <w:tc>
          <w:tcPr>
            <w:tcW w:w="943" w:type="dxa"/>
            <w:gridSpan w:val="2"/>
            <w:vMerge w:val="continue"/>
            <w:tcBorders>
              <w:right w:val="single" w:color="auto" w:sz="4" w:space="0"/>
            </w:tcBorders>
            <w:vAlign w:val="center"/>
          </w:tcPr>
          <w:p w14:paraId="3890CD57">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1B517DF5">
            <w:pPr>
              <w:spacing w:line="400" w:lineRule="exact"/>
              <w:jc w:val="center"/>
              <w:rPr>
                <w:rFonts w:ascii="宋体" w:hAnsi="宋体"/>
                <w:szCs w:val="21"/>
              </w:rPr>
            </w:pPr>
            <w:r>
              <w:rPr>
                <w:rFonts w:hint="eastAsia" w:ascii="宋体" w:hAnsi="宋体"/>
              </w:rPr>
              <w:t>投标范围</w:t>
            </w:r>
          </w:p>
        </w:tc>
        <w:tc>
          <w:tcPr>
            <w:tcW w:w="5238" w:type="dxa"/>
            <w:tcBorders>
              <w:top w:val="single" w:color="auto" w:sz="4" w:space="0"/>
              <w:left w:val="single" w:color="auto" w:sz="4" w:space="0"/>
              <w:bottom w:val="single" w:color="auto" w:sz="4" w:space="0"/>
              <w:right w:val="single" w:color="auto" w:sz="4" w:space="0"/>
            </w:tcBorders>
            <w:vAlign w:val="center"/>
          </w:tcPr>
          <w:p w14:paraId="10A07F94">
            <w:pPr>
              <w:spacing w:line="400" w:lineRule="exact"/>
              <w:rPr>
                <w:rFonts w:ascii="宋体" w:hAnsi="宋体"/>
                <w:szCs w:val="21"/>
              </w:rPr>
            </w:pPr>
            <w:r>
              <w:rPr>
                <w:rFonts w:hint="eastAsia" w:ascii="宋体" w:hAnsi="宋体"/>
              </w:rPr>
              <w:t>符合招标文件规定</w:t>
            </w:r>
          </w:p>
        </w:tc>
      </w:tr>
      <w:tr w14:paraId="163A4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14:paraId="299EF9AF">
            <w:pPr>
              <w:jc w:val="center"/>
              <w:rPr>
                <w:rFonts w:ascii="宋体" w:hAnsi="宋体"/>
                <w:szCs w:val="21"/>
              </w:rPr>
            </w:pPr>
          </w:p>
        </w:tc>
        <w:tc>
          <w:tcPr>
            <w:tcW w:w="943" w:type="dxa"/>
            <w:gridSpan w:val="2"/>
            <w:vMerge w:val="continue"/>
            <w:tcBorders>
              <w:right w:val="single" w:color="auto" w:sz="4" w:space="0"/>
            </w:tcBorders>
            <w:vAlign w:val="center"/>
          </w:tcPr>
          <w:p w14:paraId="69307A0E">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55C399E2">
            <w:pPr>
              <w:spacing w:line="400" w:lineRule="exact"/>
              <w:jc w:val="center"/>
              <w:rPr>
                <w:rFonts w:ascii="宋体" w:hAnsi="宋体"/>
                <w:szCs w:val="21"/>
              </w:rPr>
            </w:pPr>
            <w:r>
              <w:rPr>
                <w:rFonts w:hint="eastAsia" w:ascii="宋体" w:hAnsi="宋体"/>
                <w:szCs w:val="21"/>
              </w:rPr>
              <w:t>监理期限</w:t>
            </w:r>
          </w:p>
        </w:tc>
        <w:tc>
          <w:tcPr>
            <w:tcW w:w="5238" w:type="dxa"/>
            <w:tcBorders>
              <w:top w:val="single" w:color="auto" w:sz="4" w:space="0"/>
              <w:left w:val="single" w:color="auto" w:sz="4" w:space="0"/>
              <w:bottom w:val="single" w:color="auto" w:sz="4" w:space="0"/>
              <w:right w:val="single" w:color="auto" w:sz="4" w:space="0"/>
            </w:tcBorders>
            <w:vAlign w:val="center"/>
          </w:tcPr>
          <w:p w14:paraId="7C25BA53">
            <w:pPr>
              <w:spacing w:line="400" w:lineRule="exact"/>
              <w:rPr>
                <w:rFonts w:ascii="宋体" w:hAnsi="宋体"/>
                <w:szCs w:val="21"/>
              </w:rPr>
            </w:pPr>
            <w:r>
              <w:rPr>
                <w:rFonts w:hint="eastAsia" w:ascii="宋体" w:hAnsi="宋体"/>
              </w:rPr>
              <w:t>符合招标文件规定</w:t>
            </w:r>
          </w:p>
        </w:tc>
      </w:tr>
      <w:tr w14:paraId="2B58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14:paraId="4F5A7AA2">
            <w:pPr>
              <w:jc w:val="center"/>
              <w:rPr>
                <w:rFonts w:ascii="宋体" w:hAnsi="宋体"/>
                <w:szCs w:val="21"/>
              </w:rPr>
            </w:pPr>
          </w:p>
        </w:tc>
        <w:tc>
          <w:tcPr>
            <w:tcW w:w="943" w:type="dxa"/>
            <w:gridSpan w:val="2"/>
            <w:vMerge w:val="continue"/>
            <w:tcBorders>
              <w:right w:val="single" w:color="auto" w:sz="4" w:space="0"/>
            </w:tcBorders>
            <w:vAlign w:val="center"/>
          </w:tcPr>
          <w:p w14:paraId="32C0EA16">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4C7D5B44">
            <w:pPr>
              <w:spacing w:line="400" w:lineRule="exact"/>
              <w:jc w:val="center"/>
              <w:rPr>
                <w:rFonts w:ascii="宋体" w:hAnsi="宋体"/>
                <w:szCs w:val="21"/>
              </w:rPr>
            </w:pPr>
            <w:r>
              <w:rPr>
                <w:rFonts w:hint="eastAsia" w:ascii="宋体" w:hAnsi="宋体"/>
              </w:rPr>
              <w:t>质量</w:t>
            </w:r>
          </w:p>
        </w:tc>
        <w:tc>
          <w:tcPr>
            <w:tcW w:w="5238" w:type="dxa"/>
            <w:tcBorders>
              <w:top w:val="single" w:color="auto" w:sz="4" w:space="0"/>
              <w:left w:val="single" w:color="auto" w:sz="4" w:space="0"/>
              <w:bottom w:val="single" w:color="auto" w:sz="4" w:space="0"/>
              <w:right w:val="single" w:color="auto" w:sz="4" w:space="0"/>
            </w:tcBorders>
            <w:vAlign w:val="center"/>
          </w:tcPr>
          <w:p w14:paraId="121AA73E">
            <w:pPr>
              <w:spacing w:line="400" w:lineRule="exact"/>
              <w:rPr>
                <w:rFonts w:ascii="宋体" w:hAnsi="宋体"/>
                <w:szCs w:val="21"/>
              </w:rPr>
            </w:pPr>
            <w:r>
              <w:rPr>
                <w:rFonts w:hint="eastAsia" w:ascii="宋体" w:hAnsi="宋体"/>
              </w:rPr>
              <w:t>符合招标文件规定</w:t>
            </w:r>
          </w:p>
        </w:tc>
      </w:tr>
      <w:tr w14:paraId="50036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14:paraId="4D782D50">
            <w:pPr>
              <w:jc w:val="center"/>
              <w:rPr>
                <w:rFonts w:ascii="宋体" w:hAnsi="宋体"/>
                <w:szCs w:val="21"/>
              </w:rPr>
            </w:pPr>
          </w:p>
        </w:tc>
        <w:tc>
          <w:tcPr>
            <w:tcW w:w="943" w:type="dxa"/>
            <w:gridSpan w:val="2"/>
            <w:vMerge w:val="continue"/>
            <w:tcBorders>
              <w:right w:val="single" w:color="auto" w:sz="4" w:space="0"/>
            </w:tcBorders>
            <w:vAlign w:val="center"/>
          </w:tcPr>
          <w:p w14:paraId="41D08D1D">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720A396B">
            <w:pPr>
              <w:spacing w:line="400" w:lineRule="exact"/>
              <w:jc w:val="center"/>
              <w:rPr>
                <w:rFonts w:ascii="宋体" w:hAnsi="宋体"/>
                <w:szCs w:val="21"/>
              </w:rPr>
            </w:pPr>
            <w:r>
              <w:rPr>
                <w:rFonts w:hint="eastAsia" w:ascii="宋体" w:hAnsi="宋体"/>
              </w:rPr>
              <w:t>投标有效期</w:t>
            </w:r>
          </w:p>
        </w:tc>
        <w:tc>
          <w:tcPr>
            <w:tcW w:w="5238" w:type="dxa"/>
            <w:tcBorders>
              <w:top w:val="single" w:color="auto" w:sz="4" w:space="0"/>
              <w:left w:val="single" w:color="auto" w:sz="4" w:space="0"/>
              <w:bottom w:val="single" w:color="auto" w:sz="4" w:space="0"/>
              <w:right w:val="single" w:color="auto" w:sz="4" w:space="0"/>
            </w:tcBorders>
            <w:vAlign w:val="center"/>
          </w:tcPr>
          <w:p w14:paraId="00E229DE">
            <w:pPr>
              <w:spacing w:line="400" w:lineRule="exact"/>
              <w:rPr>
                <w:rFonts w:ascii="宋体" w:hAnsi="宋体"/>
                <w:szCs w:val="21"/>
              </w:rPr>
            </w:pPr>
            <w:r>
              <w:rPr>
                <w:rFonts w:hint="eastAsia" w:ascii="宋体" w:hAnsi="宋体"/>
              </w:rPr>
              <w:t>符合招标文件规定</w:t>
            </w:r>
          </w:p>
        </w:tc>
      </w:tr>
      <w:tr w14:paraId="3CD8D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14:paraId="5E1954A7">
            <w:pPr>
              <w:jc w:val="center"/>
              <w:rPr>
                <w:rFonts w:ascii="宋体" w:hAnsi="宋体"/>
                <w:szCs w:val="21"/>
              </w:rPr>
            </w:pPr>
          </w:p>
        </w:tc>
        <w:tc>
          <w:tcPr>
            <w:tcW w:w="943" w:type="dxa"/>
            <w:gridSpan w:val="2"/>
            <w:vMerge w:val="continue"/>
            <w:tcBorders>
              <w:right w:val="single" w:color="auto" w:sz="4" w:space="0"/>
            </w:tcBorders>
            <w:vAlign w:val="center"/>
          </w:tcPr>
          <w:p w14:paraId="6E1C37CB">
            <w:pPr>
              <w:jc w:val="center"/>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7A92E315">
            <w:pPr>
              <w:spacing w:line="400" w:lineRule="exact"/>
              <w:jc w:val="center"/>
              <w:rPr>
                <w:rFonts w:ascii="宋体" w:hAnsi="宋体"/>
                <w:szCs w:val="21"/>
              </w:rPr>
            </w:pPr>
            <w:r>
              <w:rPr>
                <w:rFonts w:hint="eastAsia" w:ascii="宋体" w:hAnsi="宋体"/>
              </w:rPr>
              <w:t>投标保证金</w:t>
            </w:r>
          </w:p>
        </w:tc>
        <w:tc>
          <w:tcPr>
            <w:tcW w:w="5238" w:type="dxa"/>
            <w:tcBorders>
              <w:top w:val="single" w:color="auto" w:sz="4" w:space="0"/>
              <w:left w:val="single" w:color="auto" w:sz="4" w:space="0"/>
              <w:bottom w:val="single" w:color="auto" w:sz="4" w:space="0"/>
              <w:right w:val="single" w:color="auto" w:sz="4" w:space="0"/>
            </w:tcBorders>
            <w:vAlign w:val="center"/>
          </w:tcPr>
          <w:p w14:paraId="24EF802B">
            <w:pPr>
              <w:spacing w:line="400" w:lineRule="exact"/>
              <w:rPr>
                <w:rFonts w:ascii="宋体" w:hAnsi="宋体"/>
                <w:szCs w:val="21"/>
              </w:rPr>
            </w:pPr>
            <w:r>
              <w:rPr>
                <w:rFonts w:hint="eastAsia" w:ascii="宋体" w:hAnsi="宋体"/>
              </w:rPr>
              <w:t>符合招标文件规定</w:t>
            </w:r>
          </w:p>
        </w:tc>
      </w:tr>
      <w:tr w14:paraId="69260CE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14:paraId="076E2015">
            <w:pPr>
              <w:pStyle w:val="64"/>
              <w:spacing w:line="400" w:lineRule="exact"/>
              <w:jc w:val="center"/>
              <w:rPr>
                <w:rFonts w:hAnsi="宋体"/>
                <w:color w:val="auto"/>
              </w:rPr>
            </w:pPr>
            <w:r>
              <w:rPr>
                <w:rFonts w:hint="eastAsia" w:hAnsi="宋体"/>
                <w:b/>
                <w:color w:val="auto"/>
              </w:rPr>
              <w:t>条款内容</w:t>
            </w:r>
          </w:p>
        </w:tc>
        <w:tc>
          <w:tcPr>
            <w:tcW w:w="7455" w:type="dxa"/>
            <w:gridSpan w:val="3"/>
            <w:tcBorders>
              <w:top w:val="single" w:color="auto" w:sz="4" w:space="0"/>
              <w:left w:val="single" w:color="auto" w:sz="4" w:space="0"/>
              <w:bottom w:val="single" w:color="000000" w:sz="4" w:space="0"/>
              <w:right w:val="single" w:color="000000" w:sz="4" w:space="0"/>
            </w:tcBorders>
            <w:vAlign w:val="center"/>
          </w:tcPr>
          <w:p w14:paraId="2416E722">
            <w:pPr>
              <w:pStyle w:val="64"/>
              <w:spacing w:line="400" w:lineRule="exact"/>
              <w:jc w:val="center"/>
              <w:rPr>
                <w:rFonts w:hAnsi="宋体"/>
                <w:color w:val="auto"/>
              </w:rPr>
            </w:pPr>
            <w:r>
              <w:rPr>
                <w:rFonts w:hint="eastAsia" w:hAnsi="宋体"/>
                <w:b/>
                <w:color w:val="auto"/>
              </w:rPr>
              <w:t>编列内容</w:t>
            </w:r>
          </w:p>
        </w:tc>
      </w:tr>
      <w:tr w14:paraId="52B224B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00" w:hRule="atLeast"/>
          <w:jc w:val="center"/>
        </w:trPr>
        <w:tc>
          <w:tcPr>
            <w:tcW w:w="1746" w:type="dxa"/>
            <w:gridSpan w:val="2"/>
            <w:tcBorders>
              <w:top w:val="single" w:color="auto" w:sz="4" w:space="0"/>
              <w:left w:val="single" w:color="000000" w:sz="4" w:space="0"/>
              <w:bottom w:val="single" w:color="auto" w:sz="4" w:space="0"/>
              <w:right w:val="single" w:color="000000" w:sz="4" w:space="0"/>
            </w:tcBorders>
            <w:vAlign w:val="center"/>
          </w:tcPr>
          <w:p w14:paraId="19F271A8">
            <w:pPr>
              <w:autoSpaceDE w:val="0"/>
              <w:autoSpaceDN w:val="0"/>
              <w:spacing w:line="320" w:lineRule="exact"/>
              <w:jc w:val="center"/>
              <w:rPr>
                <w:rFonts w:ascii="宋体" w:hAnsi="宋体"/>
                <w:kern w:val="0"/>
              </w:rPr>
            </w:pPr>
            <w:r>
              <w:rPr>
                <w:rFonts w:hint="eastAsia" w:ascii="宋体" w:hAnsi="宋体"/>
                <w:kern w:val="0"/>
              </w:rPr>
              <w:t>2</w:t>
            </w:r>
            <w:r>
              <w:rPr>
                <w:rFonts w:ascii="宋体" w:hAnsi="宋体"/>
                <w:kern w:val="0"/>
              </w:rPr>
              <w:t xml:space="preserve">.2.1 </w:t>
            </w:r>
            <w:r>
              <w:rPr>
                <w:rFonts w:hint="eastAsia" w:ascii="宋体" w:hAnsi="宋体"/>
                <w:kern w:val="0"/>
              </w:rPr>
              <w:t>分值组成</w:t>
            </w:r>
          </w:p>
          <w:p w14:paraId="0B59CFE5">
            <w:pPr>
              <w:autoSpaceDE w:val="0"/>
              <w:autoSpaceDN w:val="0"/>
              <w:spacing w:line="320" w:lineRule="exact"/>
              <w:jc w:val="center"/>
              <w:rPr>
                <w:rFonts w:ascii="宋体" w:hAnsi="宋体"/>
                <w:kern w:val="0"/>
              </w:rPr>
            </w:pPr>
            <w:r>
              <w:rPr>
                <w:rFonts w:hint="eastAsia" w:ascii="宋体" w:hAnsi="宋体"/>
                <w:kern w:val="0"/>
              </w:rPr>
              <w:t>（总分100分）</w:t>
            </w:r>
          </w:p>
        </w:tc>
        <w:tc>
          <w:tcPr>
            <w:tcW w:w="7455" w:type="dxa"/>
            <w:gridSpan w:val="3"/>
            <w:tcBorders>
              <w:top w:val="nil"/>
              <w:left w:val="nil"/>
              <w:bottom w:val="single" w:color="auto" w:sz="4" w:space="0"/>
              <w:right w:val="single" w:color="000000" w:sz="4" w:space="0"/>
            </w:tcBorders>
            <w:vAlign w:val="center"/>
          </w:tcPr>
          <w:p w14:paraId="4AA195BE">
            <w:pPr>
              <w:autoSpaceDE w:val="0"/>
              <w:autoSpaceDN w:val="0"/>
              <w:spacing w:line="320" w:lineRule="exact"/>
              <w:rPr>
                <w:rFonts w:ascii="宋体" w:hAnsi="宋体"/>
                <w:kern w:val="0"/>
              </w:rPr>
            </w:pPr>
            <w:r>
              <w:rPr>
                <w:rFonts w:hint="eastAsia" w:ascii="宋体" w:hAnsi="宋体"/>
                <w:kern w:val="0"/>
              </w:rPr>
              <w:t>（1）投标报价：40分</w:t>
            </w:r>
          </w:p>
          <w:p w14:paraId="65273FB6">
            <w:pPr>
              <w:autoSpaceDE w:val="0"/>
              <w:autoSpaceDN w:val="0"/>
              <w:spacing w:line="320" w:lineRule="exact"/>
              <w:rPr>
                <w:rFonts w:ascii="宋体" w:hAnsi="宋体"/>
                <w:kern w:val="0"/>
              </w:rPr>
            </w:pPr>
            <w:r>
              <w:rPr>
                <w:rFonts w:hint="eastAsia" w:ascii="宋体" w:hAnsi="宋体"/>
                <w:kern w:val="0"/>
              </w:rPr>
              <w:t>（2）监理大纲：40分</w:t>
            </w:r>
          </w:p>
          <w:p w14:paraId="136FC20A">
            <w:pPr>
              <w:autoSpaceDE w:val="0"/>
              <w:autoSpaceDN w:val="0"/>
              <w:spacing w:line="320" w:lineRule="exact"/>
              <w:rPr>
                <w:rFonts w:ascii="宋体" w:hAnsi="宋体"/>
                <w:kern w:val="0"/>
              </w:rPr>
            </w:pPr>
            <w:r>
              <w:rPr>
                <w:rFonts w:hint="eastAsia" w:ascii="宋体" w:hAnsi="宋体"/>
                <w:kern w:val="0"/>
              </w:rPr>
              <w:t>（3）项目管理机构：</w:t>
            </w:r>
            <w:r>
              <w:rPr>
                <w:rFonts w:ascii="宋体" w:hAnsi="宋体"/>
                <w:kern w:val="0"/>
              </w:rPr>
              <w:t>7</w:t>
            </w:r>
            <w:r>
              <w:rPr>
                <w:rFonts w:hint="eastAsia" w:ascii="宋体" w:hAnsi="宋体"/>
                <w:kern w:val="0"/>
              </w:rPr>
              <w:t>分</w:t>
            </w:r>
          </w:p>
          <w:p w14:paraId="489353FB">
            <w:pPr>
              <w:autoSpaceDE w:val="0"/>
              <w:autoSpaceDN w:val="0"/>
              <w:spacing w:line="320" w:lineRule="exact"/>
              <w:rPr>
                <w:rFonts w:ascii="宋体" w:hAnsi="宋体"/>
                <w:kern w:val="0"/>
              </w:rPr>
            </w:pPr>
            <w:r>
              <w:rPr>
                <w:rFonts w:hint="eastAsia" w:ascii="宋体" w:hAnsi="宋体"/>
                <w:kern w:val="0"/>
              </w:rPr>
              <w:t>（4）企业综合实力：</w:t>
            </w:r>
            <w:r>
              <w:rPr>
                <w:rFonts w:ascii="宋体" w:hAnsi="宋体"/>
                <w:kern w:val="0"/>
              </w:rPr>
              <w:t>13</w:t>
            </w:r>
            <w:r>
              <w:rPr>
                <w:rFonts w:hint="eastAsia" w:ascii="宋体" w:hAnsi="宋体"/>
                <w:kern w:val="0"/>
              </w:rPr>
              <w:t>分</w:t>
            </w:r>
          </w:p>
        </w:tc>
      </w:tr>
      <w:tr w14:paraId="77964005">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73" w:hRule="atLeast"/>
          <w:jc w:val="center"/>
        </w:trPr>
        <w:tc>
          <w:tcPr>
            <w:tcW w:w="1746" w:type="dxa"/>
            <w:gridSpan w:val="2"/>
            <w:tcBorders>
              <w:top w:val="single" w:color="auto" w:sz="4" w:space="0"/>
              <w:left w:val="single" w:color="000000" w:sz="4" w:space="0"/>
              <w:bottom w:val="single" w:color="auto" w:sz="4" w:space="0"/>
              <w:right w:val="single" w:color="auto" w:sz="4" w:space="0"/>
            </w:tcBorders>
            <w:vAlign w:val="center"/>
          </w:tcPr>
          <w:p w14:paraId="055940F1">
            <w:pPr>
              <w:pStyle w:val="2"/>
            </w:pPr>
            <w:r>
              <w:rPr>
                <w:rFonts w:hint="eastAsia"/>
              </w:rPr>
              <w:t>2</w:t>
            </w:r>
            <w:r>
              <w:t xml:space="preserve">.2.2 </w:t>
            </w:r>
            <w:r>
              <w:rPr>
                <w:rFonts w:hint="eastAsia"/>
              </w:rPr>
              <w:t>评标基准价计算方法</w:t>
            </w:r>
          </w:p>
        </w:tc>
        <w:tc>
          <w:tcPr>
            <w:tcW w:w="7455" w:type="dxa"/>
            <w:gridSpan w:val="3"/>
            <w:tcBorders>
              <w:top w:val="single" w:color="auto" w:sz="4" w:space="0"/>
              <w:left w:val="single" w:color="auto" w:sz="4" w:space="0"/>
              <w:bottom w:val="single" w:color="auto" w:sz="4" w:space="0"/>
              <w:right w:val="single" w:color="auto" w:sz="4" w:space="0"/>
            </w:tcBorders>
            <w:vAlign w:val="center"/>
          </w:tcPr>
          <w:p w14:paraId="3FEB7D3F">
            <w:pPr>
              <w:rPr>
                <w:rFonts w:ascii="宋体" w:hAnsi="宋体"/>
                <w:kern w:val="0"/>
              </w:rPr>
            </w:pPr>
            <w:r>
              <w:rPr>
                <w:rFonts w:hint="eastAsia" w:ascii="宋体" w:hAnsi="宋体"/>
                <w:kern w:val="0"/>
              </w:rPr>
              <w:t>本项目设置招标控制价。低于或等于招标控制价的投标报价视为有效报价，高于招标控制价的按无效标处理。</w:t>
            </w:r>
          </w:p>
          <w:p w14:paraId="1B1778E3">
            <w:pPr>
              <w:rPr>
                <w:rFonts w:ascii="宋体" w:hAnsi="宋体"/>
                <w:kern w:val="0"/>
              </w:rPr>
            </w:pPr>
            <w:r>
              <w:rPr>
                <w:rFonts w:hint="eastAsia" w:ascii="宋体" w:hAnsi="宋体"/>
                <w:kern w:val="0"/>
              </w:rPr>
              <w:t>1、投标人投标报价在招标控制价 95%-100%（含 95%和 100%）范围内参与评标基准价的计算，不在此范围内的投标人的投标报价不参与评标基准价的计算，但仍参与下一步的计算。评标基准值计算方法：Pd=（A×0.5+B×0.5），A 为招标控制价，</w:t>
            </w:r>
          </w:p>
          <w:p w14:paraId="4EC90D3D">
            <w:pPr>
              <w:rPr>
                <w:rFonts w:ascii="宋体" w:hAnsi="宋体"/>
                <w:kern w:val="0"/>
              </w:rPr>
            </w:pPr>
            <w:r>
              <w:rPr>
                <w:rFonts w:hint="eastAsia" w:ascii="宋体" w:hAnsi="宋体"/>
                <w:kern w:val="0"/>
              </w:rPr>
              <w:t>B 为 95%-100%（含 95%和 100%）范围内的有效投标人报价的算术平均值.</w:t>
            </w:r>
          </w:p>
          <w:p w14:paraId="3B13B4BC">
            <w:pPr>
              <w:tabs>
                <w:tab w:val="left" w:pos="3240"/>
              </w:tabs>
              <w:rPr>
                <w:rFonts w:ascii="宋体" w:hAnsi="宋体"/>
                <w:kern w:val="0"/>
              </w:rPr>
            </w:pPr>
            <w:r>
              <w:rPr>
                <w:rFonts w:hint="eastAsia" w:ascii="宋体" w:hAnsi="宋体"/>
                <w:kern w:val="0"/>
              </w:rPr>
              <w:t>2、若所有投标人的投标总报价都不在招标控制价 95%-100%（含95%和 100%）范围内，评标基准价为招标控制价的 97%。</w:t>
            </w:r>
          </w:p>
        </w:tc>
      </w:tr>
      <w:tr w14:paraId="4756AB0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73" w:hRule="atLeast"/>
          <w:jc w:val="center"/>
        </w:trPr>
        <w:tc>
          <w:tcPr>
            <w:tcW w:w="1746" w:type="dxa"/>
            <w:gridSpan w:val="2"/>
            <w:tcBorders>
              <w:top w:val="single" w:color="auto" w:sz="4" w:space="0"/>
              <w:left w:val="single" w:color="000000" w:sz="4" w:space="0"/>
              <w:bottom w:val="single" w:color="000000" w:sz="4" w:space="0"/>
              <w:right w:val="single" w:color="auto" w:sz="4" w:space="0"/>
            </w:tcBorders>
            <w:vAlign w:val="center"/>
          </w:tcPr>
          <w:p w14:paraId="4415B404">
            <w:pPr>
              <w:pStyle w:val="2"/>
            </w:pPr>
            <w:r>
              <w:rPr>
                <w:rFonts w:hint="eastAsia"/>
              </w:rPr>
              <w:t>2</w:t>
            </w:r>
            <w:r>
              <w:t xml:space="preserve">.2.3 </w:t>
            </w:r>
            <w:r>
              <w:rPr>
                <w:rFonts w:hint="eastAsia"/>
              </w:rPr>
              <w:t>投标报价的偏差率计算公式</w:t>
            </w:r>
          </w:p>
        </w:tc>
        <w:tc>
          <w:tcPr>
            <w:tcW w:w="7455" w:type="dxa"/>
            <w:gridSpan w:val="3"/>
            <w:tcBorders>
              <w:top w:val="single" w:color="auto" w:sz="4" w:space="0"/>
              <w:left w:val="single" w:color="auto" w:sz="4" w:space="0"/>
              <w:bottom w:val="single" w:color="auto" w:sz="4" w:space="0"/>
              <w:right w:val="single" w:color="auto" w:sz="4" w:space="0"/>
            </w:tcBorders>
            <w:vAlign w:val="center"/>
          </w:tcPr>
          <w:p w14:paraId="68B2864E">
            <w:pPr>
              <w:pStyle w:val="2"/>
              <w:rPr>
                <w:rFonts w:ascii="宋体" w:hAnsi="宋体" w:cs="宋体"/>
                <w:szCs w:val="21"/>
              </w:rPr>
            </w:pPr>
            <w:r>
              <w:rPr>
                <w:rFonts w:hint="eastAsia" w:ascii="宋体" w:hAnsi="宋体" w:cs="宋体"/>
                <w:szCs w:val="21"/>
              </w:rPr>
              <w:t>偏差率=100%X（投标报价－评标基准价）/评标基准价</w:t>
            </w:r>
          </w:p>
        </w:tc>
      </w:tr>
    </w:tbl>
    <w:p w14:paraId="7B893A36">
      <w:pPr>
        <w:widowControl/>
        <w:jc w:val="left"/>
        <w:rPr>
          <w:rFonts w:hAnsi="宋体"/>
          <w:sz w:val="24"/>
        </w:rPr>
      </w:pPr>
      <w:bookmarkStart w:id="464" w:name="_Toc152045600"/>
      <w:bookmarkStart w:id="465" w:name="_Toc246996986"/>
      <w:bookmarkStart w:id="466" w:name="_Toc22123"/>
      <w:bookmarkStart w:id="467" w:name="_Toc179632618"/>
      <w:bookmarkStart w:id="468" w:name="_Toc144974567"/>
      <w:bookmarkStart w:id="469" w:name="_Toc152042377"/>
      <w:bookmarkStart w:id="470" w:name="_Toc399596208"/>
      <w:bookmarkStart w:id="471" w:name="_Toc246996243"/>
      <w:bookmarkStart w:id="472" w:name="_Toc247085758"/>
      <w:r>
        <w:rPr>
          <w:rFonts w:hint="eastAsia" w:hAnsi="宋体"/>
          <w:sz w:val="24"/>
        </w:rPr>
        <w:t>具体评分标准如下：</w:t>
      </w:r>
    </w:p>
    <w:tbl>
      <w:tblPr>
        <w:tblStyle w:val="46"/>
        <w:tblW w:w="9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1"/>
        <w:gridCol w:w="1102"/>
        <w:gridCol w:w="1777"/>
        <w:gridCol w:w="4737"/>
      </w:tblGrid>
      <w:tr w14:paraId="15FD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1" w:type="dxa"/>
            <w:tcBorders>
              <w:top w:val="single" w:color="auto" w:sz="4" w:space="0"/>
              <w:bottom w:val="single" w:color="auto" w:sz="4" w:space="0"/>
              <w:right w:val="single" w:color="auto" w:sz="4" w:space="0"/>
            </w:tcBorders>
            <w:vAlign w:val="center"/>
          </w:tcPr>
          <w:p w14:paraId="7E9CF920">
            <w:pPr>
              <w:pStyle w:val="2"/>
              <w:rPr>
                <w:b/>
              </w:rPr>
            </w:pPr>
            <w:r>
              <w:rPr>
                <w:rFonts w:hint="eastAsia"/>
                <w:b/>
              </w:rPr>
              <w:t>条款号</w:t>
            </w:r>
          </w:p>
        </w:tc>
        <w:tc>
          <w:tcPr>
            <w:tcW w:w="1102" w:type="dxa"/>
            <w:tcBorders>
              <w:top w:val="single" w:color="auto" w:sz="4" w:space="0"/>
              <w:left w:val="single" w:color="auto" w:sz="4" w:space="0"/>
              <w:bottom w:val="single" w:color="auto" w:sz="4" w:space="0"/>
              <w:right w:val="single" w:color="auto" w:sz="4" w:space="0"/>
            </w:tcBorders>
            <w:vAlign w:val="center"/>
          </w:tcPr>
          <w:p w14:paraId="00C00B3A">
            <w:pPr>
              <w:pStyle w:val="2"/>
              <w:rPr>
                <w:b/>
              </w:rPr>
            </w:pPr>
            <w:r>
              <w:rPr>
                <w:rFonts w:hint="eastAsia"/>
                <w:b/>
              </w:rPr>
              <w:t>评分因素</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3330B68A">
            <w:pPr>
              <w:pStyle w:val="2"/>
              <w:rPr>
                <w:b/>
              </w:rPr>
            </w:pPr>
            <w:r>
              <w:rPr>
                <w:rFonts w:hint="eastAsia"/>
                <w:b/>
              </w:rPr>
              <w:t>评分标准</w:t>
            </w:r>
          </w:p>
        </w:tc>
      </w:tr>
      <w:tr w14:paraId="2CC3E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2" w:hRule="atLeast"/>
          <w:jc w:val="center"/>
        </w:trPr>
        <w:tc>
          <w:tcPr>
            <w:tcW w:w="1581" w:type="dxa"/>
            <w:tcBorders>
              <w:top w:val="single" w:color="auto" w:sz="4" w:space="0"/>
              <w:bottom w:val="single" w:color="auto" w:sz="4" w:space="0"/>
              <w:right w:val="single" w:color="auto" w:sz="4" w:space="0"/>
            </w:tcBorders>
            <w:vAlign w:val="center"/>
          </w:tcPr>
          <w:p w14:paraId="1DAFF43C">
            <w:pPr>
              <w:pStyle w:val="2"/>
            </w:pPr>
            <w:r>
              <w:rPr>
                <w:rFonts w:hint="eastAsia"/>
              </w:rPr>
              <w:t>2.2.4（1）</w:t>
            </w:r>
          </w:p>
        </w:tc>
        <w:tc>
          <w:tcPr>
            <w:tcW w:w="1102" w:type="dxa"/>
            <w:tcBorders>
              <w:top w:val="single" w:color="auto" w:sz="4" w:space="0"/>
              <w:bottom w:val="single" w:color="auto" w:sz="4" w:space="0"/>
              <w:right w:val="single" w:color="auto" w:sz="4" w:space="0"/>
            </w:tcBorders>
            <w:vAlign w:val="center"/>
          </w:tcPr>
          <w:p w14:paraId="65D4FF4B">
            <w:pPr>
              <w:pStyle w:val="2"/>
            </w:pPr>
            <w:r>
              <w:rPr>
                <w:rFonts w:hint="eastAsia"/>
              </w:rPr>
              <w:t>投标报价评分标准（</w:t>
            </w:r>
            <w:r>
              <w:t>4</w:t>
            </w:r>
            <w:r>
              <w:rPr>
                <w:rFonts w:hint="eastAsia"/>
              </w:rPr>
              <w:t>0分）</w:t>
            </w:r>
          </w:p>
        </w:tc>
        <w:tc>
          <w:tcPr>
            <w:tcW w:w="6514" w:type="dxa"/>
            <w:gridSpan w:val="2"/>
            <w:tcBorders>
              <w:top w:val="single" w:color="auto" w:sz="4" w:space="0"/>
              <w:left w:val="single" w:color="auto" w:sz="4" w:space="0"/>
              <w:bottom w:val="single" w:color="auto" w:sz="4" w:space="0"/>
            </w:tcBorders>
            <w:vAlign w:val="center"/>
          </w:tcPr>
          <w:p w14:paraId="04A4AAA1">
            <w:pPr>
              <w:autoSpaceDE w:val="0"/>
              <w:autoSpaceDN w:val="0"/>
              <w:spacing w:line="320" w:lineRule="exact"/>
              <w:rPr>
                <w:rFonts w:ascii="宋体" w:hAnsi="宋体" w:cs="宋体"/>
                <w:kern w:val="0"/>
                <w:szCs w:val="21"/>
              </w:rPr>
            </w:pPr>
            <w:r>
              <w:rPr>
                <w:rFonts w:hint="eastAsia" w:ascii="宋体" w:hAnsi="宋体" w:cs="宋体"/>
                <w:kern w:val="0"/>
                <w:szCs w:val="21"/>
              </w:rPr>
              <w:t>以评标基准价为基准，</w:t>
            </w:r>
          </w:p>
          <w:p w14:paraId="74B65F0F">
            <w:pPr>
              <w:autoSpaceDE w:val="0"/>
              <w:autoSpaceDN w:val="0"/>
              <w:spacing w:line="320" w:lineRule="exact"/>
              <w:rPr>
                <w:rFonts w:ascii="宋体" w:hAnsi="宋体" w:cs="宋体"/>
                <w:kern w:val="0"/>
                <w:szCs w:val="21"/>
              </w:rPr>
            </w:pPr>
            <w:r>
              <w:rPr>
                <w:rFonts w:hint="eastAsia" w:ascii="宋体" w:hAnsi="宋体" w:cs="宋体"/>
                <w:kern w:val="0"/>
                <w:szCs w:val="21"/>
              </w:rPr>
              <w:t>投标人的投标报价与评标基准价相等者得满分（40分）；</w:t>
            </w:r>
          </w:p>
          <w:p w14:paraId="3C36F943">
            <w:pPr>
              <w:autoSpaceDE w:val="0"/>
              <w:autoSpaceDN w:val="0"/>
              <w:spacing w:line="320" w:lineRule="exact"/>
              <w:rPr>
                <w:rFonts w:ascii="宋体" w:hAnsi="宋体" w:cs="宋体"/>
                <w:kern w:val="0"/>
                <w:szCs w:val="21"/>
              </w:rPr>
            </w:pPr>
            <w:r>
              <w:rPr>
                <w:rFonts w:hint="eastAsia" w:ascii="宋体" w:hAnsi="宋体" w:cs="宋体"/>
                <w:kern w:val="0"/>
                <w:szCs w:val="21"/>
              </w:rPr>
              <w:t>投标报价低于评标基准价的，每低于评标基准价</w:t>
            </w:r>
            <w:r>
              <w:rPr>
                <w:rFonts w:ascii="宋体" w:hAnsi="宋体" w:cs="宋体"/>
                <w:kern w:val="0"/>
                <w:szCs w:val="21"/>
              </w:rPr>
              <w:t>1</w:t>
            </w:r>
            <w:r>
              <w:rPr>
                <w:rFonts w:hint="eastAsia" w:ascii="宋体" w:hAnsi="宋体" w:cs="宋体"/>
                <w:kern w:val="0"/>
                <w:szCs w:val="21"/>
              </w:rPr>
              <w:t>%在满分</w:t>
            </w:r>
            <w:r>
              <w:rPr>
                <w:rFonts w:ascii="宋体" w:hAnsi="宋体" w:cs="宋体"/>
                <w:kern w:val="0"/>
                <w:szCs w:val="21"/>
              </w:rPr>
              <w:t>(</w:t>
            </w:r>
            <w:r>
              <w:rPr>
                <w:rFonts w:hint="eastAsia" w:ascii="宋体" w:hAnsi="宋体" w:cs="宋体"/>
                <w:kern w:val="0"/>
                <w:szCs w:val="21"/>
              </w:rPr>
              <w:t>40分</w:t>
            </w:r>
            <w:r>
              <w:rPr>
                <w:rFonts w:ascii="宋体" w:hAnsi="宋体" w:cs="宋体"/>
                <w:kern w:val="0"/>
                <w:szCs w:val="21"/>
              </w:rPr>
              <w:t>)</w:t>
            </w:r>
            <w:r>
              <w:rPr>
                <w:rFonts w:hint="eastAsia" w:ascii="宋体" w:hAnsi="宋体" w:cs="宋体"/>
                <w:kern w:val="0"/>
                <w:szCs w:val="21"/>
              </w:rPr>
              <w:t>的基础上扣</w:t>
            </w:r>
            <w:r>
              <w:rPr>
                <w:rFonts w:ascii="宋体" w:hAnsi="宋体" w:cs="宋体"/>
                <w:kern w:val="0"/>
                <w:szCs w:val="21"/>
              </w:rPr>
              <w:t>0.75</w:t>
            </w:r>
            <w:r>
              <w:rPr>
                <w:rFonts w:hint="eastAsia" w:ascii="宋体" w:hAnsi="宋体" w:cs="宋体"/>
                <w:kern w:val="0"/>
                <w:szCs w:val="21"/>
              </w:rPr>
              <w:t>分，扣完为止。</w:t>
            </w:r>
          </w:p>
          <w:p w14:paraId="75D5289C">
            <w:pPr>
              <w:pStyle w:val="2"/>
            </w:pPr>
            <w:r>
              <w:rPr>
                <w:rFonts w:hint="eastAsia" w:ascii="宋体" w:hAnsi="宋体" w:cs="宋体"/>
                <w:kern w:val="0"/>
                <w:szCs w:val="21"/>
              </w:rPr>
              <w:t>投标报价高于评标基准价的，每高于评标基准价</w:t>
            </w:r>
            <w:r>
              <w:rPr>
                <w:rFonts w:ascii="宋体" w:hAnsi="宋体" w:cs="宋体"/>
                <w:kern w:val="0"/>
                <w:szCs w:val="21"/>
              </w:rPr>
              <w:t>1%</w:t>
            </w:r>
            <w:r>
              <w:rPr>
                <w:rFonts w:hint="eastAsia" w:ascii="宋体" w:hAnsi="宋体" w:cs="宋体"/>
                <w:kern w:val="0"/>
                <w:szCs w:val="21"/>
              </w:rPr>
              <w:t>在满分</w:t>
            </w:r>
            <w:r>
              <w:rPr>
                <w:rFonts w:ascii="宋体" w:hAnsi="宋体" w:cs="宋体"/>
                <w:kern w:val="0"/>
                <w:szCs w:val="21"/>
              </w:rPr>
              <w:t>(</w:t>
            </w:r>
            <w:r>
              <w:rPr>
                <w:rFonts w:hint="eastAsia" w:ascii="宋体" w:hAnsi="宋体" w:cs="宋体"/>
                <w:kern w:val="0"/>
                <w:szCs w:val="21"/>
              </w:rPr>
              <w:t>40分</w:t>
            </w:r>
            <w:r>
              <w:rPr>
                <w:rFonts w:ascii="宋体" w:hAnsi="宋体" w:cs="宋体"/>
                <w:kern w:val="0"/>
                <w:szCs w:val="21"/>
              </w:rPr>
              <w:t>)</w:t>
            </w:r>
            <w:r>
              <w:rPr>
                <w:rFonts w:hint="eastAsia" w:ascii="宋体" w:hAnsi="宋体" w:cs="宋体"/>
                <w:kern w:val="0"/>
                <w:szCs w:val="21"/>
              </w:rPr>
              <w:t>的基础上扣</w:t>
            </w:r>
            <w:r>
              <w:rPr>
                <w:rFonts w:ascii="宋体" w:hAnsi="宋体" w:cs="宋体"/>
                <w:kern w:val="0"/>
                <w:szCs w:val="21"/>
              </w:rPr>
              <w:t>1</w:t>
            </w:r>
            <w:r>
              <w:rPr>
                <w:rFonts w:hint="eastAsia" w:ascii="宋体" w:hAnsi="宋体" w:cs="宋体"/>
                <w:kern w:val="0"/>
                <w:szCs w:val="21"/>
              </w:rPr>
              <w:t>分，扣完为止。</w:t>
            </w:r>
          </w:p>
        </w:tc>
      </w:tr>
      <w:tr w14:paraId="5AEEE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581" w:type="dxa"/>
            <w:vMerge w:val="restart"/>
            <w:tcBorders>
              <w:top w:val="single" w:color="auto" w:sz="4" w:space="0"/>
              <w:right w:val="single" w:color="auto" w:sz="4" w:space="0"/>
            </w:tcBorders>
            <w:vAlign w:val="center"/>
          </w:tcPr>
          <w:p w14:paraId="594BFBBB">
            <w:pPr>
              <w:pStyle w:val="2"/>
            </w:pPr>
            <w:r>
              <w:rPr>
                <w:rFonts w:hint="eastAsia"/>
              </w:rPr>
              <w:t>2.2.4（2）</w:t>
            </w:r>
          </w:p>
        </w:tc>
        <w:tc>
          <w:tcPr>
            <w:tcW w:w="1102" w:type="dxa"/>
            <w:vMerge w:val="restart"/>
            <w:tcBorders>
              <w:top w:val="single" w:color="auto" w:sz="4" w:space="0"/>
              <w:right w:val="single" w:color="auto" w:sz="4" w:space="0"/>
            </w:tcBorders>
            <w:vAlign w:val="center"/>
          </w:tcPr>
          <w:p w14:paraId="0C289A15">
            <w:pPr>
              <w:pStyle w:val="2"/>
            </w:pPr>
            <w:r>
              <w:rPr>
                <w:rFonts w:hint="eastAsia"/>
              </w:rPr>
              <w:t>监理大纲（</w:t>
            </w:r>
            <w:r>
              <w:rPr>
                <w:rFonts w:hint="eastAsia" w:ascii="宋体" w:hAnsi="宋体"/>
                <w:b/>
                <w:szCs w:val="21"/>
              </w:rPr>
              <w:t>暗标，</w:t>
            </w:r>
            <w:r>
              <w:t>40</w:t>
            </w:r>
            <w:r>
              <w:rPr>
                <w:rFonts w:hint="eastAsia"/>
              </w:rPr>
              <w:t>分）</w:t>
            </w:r>
          </w:p>
        </w:tc>
        <w:tc>
          <w:tcPr>
            <w:tcW w:w="1777" w:type="dxa"/>
            <w:tcBorders>
              <w:top w:val="single" w:color="auto" w:sz="4" w:space="0"/>
              <w:left w:val="single" w:color="auto" w:sz="4" w:space="0"/>
              <w:bottom w:val="single" w:color="auto" w:sz="4" w:space="0"/>
            </w:tcBorders>
            <w:vAlign w:val="center"/>
          </w:tcPr>
          <w:p w14:paraId="2E56FA08">
            <w:pPr>
              <w:pStyle w:val="2"/>
              <w:numPr>
                <w:ilvl w:val="0"/>
                <w:numId w:val="3"/>
              </w:numPr>
            </w:pPr>
            <w:r>
              <w:rPr>
                <w:rFonts w:hint="eastAsia"/>
              </w:rPr>
              <w:t>监理目标、办法（4分）</w:t>
            </w:r>
          </w:p>
        </w:tc>
        <w:tc>
          <w:tcPr>
            <w:tcW w:w="4737" w:type="dxa"/>
            <w:tcBorders>
              <w:top w:val="single" w:color="auto" w:sz="4" w:space="0"/>
              <w:left w:val="single" w:color="auto" w:sz="4" w:space="0"/>
              <w:bottom w:val="single" w:color="auto" w:sz="4" w:space="0"/>
            </w:tcBorders>
            <w:vAlign w:val="center"/>
          </w:tcPr>
          <w:p w14:paraId="09668025">
            <w:pPr>
              <w:pStyle w:val="2"/>
            </w:pPr>
            <w:r>
              <w:rPr>
                <w:rFonts w:hint="eastAsia"/>
              </w:rPr>
              <w:t>综合评审，监理目标明确、方法得当得3-4分，一般得1-2分，否则得0分；</w:t>
            </w:r>
          </w:p>
        </w:tc>
      </w:tr>
      <w:tr w14:paraId="4E24A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jc w:val="center"/>
        </w:trPr>
        <w:tc>
          <w:tcPr>
            <w:tcW w:w="1581" w:type="dxa"/>
            <w:vMerge w:val="continue"/>
            <w:tcBorders>
              <w:right w:val="single" w:color="auto" w:sz="4" w:space="0"/>
            </w:tcBorders>
            <w:vAlign w:val="center"/>
          </w:tcPr>
          <w:p w14:paraId="7AFDD818">
            <w:pPr>
              <w:pStyle w:val="2"/>
            </w:pPr>
          </w:p>
        </w:tc>
        <w:tc>
          <w:tcPr>
            <w:tcW w:w="1102" w:type="dxa"/>
            <w:vMerge w:val="continue"/>
            <w:tcBorders>
              <w:right w:val="single" w:color="auto" w:sz="4" w:space="0"/>
            </w:tcBorders>
            <w:vAlign w:val="center"/>
          </w:tcPr>
          <w:p w14:paraId="44FBA02E">
            <w:pPr>
              <w:pStyle w:val="2"/>
            </w:pPr>
          </w:p>
        </w:tc>
        <w:tc>
          <w:tcPr>
            <w:tcW w:w="1777" w:type="dxa"/>
            <w:tcBorders>
              <w:top w:val="single" w:color="auto" w:sz="4" w:space="0"/>
              <w:left w:val="single" w:color="auto" w:sz="4" w:space="0"/>
              <w:bottom w:val="single" w:color="auto" w:sz="4" w:space="0"/>
            </w:tcBorders>
            <w:vAlign w:val="center"/>
          </w:tcPr>
          <w:p w14:paraId="0795CC47">
            <w:pPr>
              <w:pStyle w:val="2"/>
              <w:numPr>
                <w:ilvl w:val="0"/>
                <w:numId w:val="3"/>
              </w:numPr>
            </w:pPr>
            <w:r>
              <w:rPr>
                <w:rFonts w:hint="eastAsia"/>
              </w:rPr>
              <w:t>进度控制措施和方法（4分）</w:t>
            </w:r>
          </w:p>
        </w:tc>
        <w:tc>
          <w:tcPr>
            <w:tcW w:w="4737" w:type="dxa"/>
            <w:tcBorders>
              <w:top w:val="single" w:color="auto" w:sz="4" w:space="0"/>
              <w:left w:val="single" w:color="auto" w:sz="4" w:space="0"/>
              <w:bottom w:val="single" w:color="auto" w:sz="4" w:space="0"/>
            </w:tcBorders>
            <w:vAlign w:val="center"/>
          </w:tcPr>
          <w:p w14:paraId="61C4A9E3">
            <w:pPr>
              <w:pStyle w:val="2"/>
            </w:pPr>
            <w:r>
              <w:rPr>
                <w:rFonts w:hint="eastAsia"/>
              </w:rPr>
              <w:t>综合评审，合理者得3-4分，一般得1-2分，否则得0分；</w:t>
            </w:r>
          </w:p>
        </w:tc>
      </w:tr>
      <w:tr w14:paraId="3029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0E4E642A">
            <w:pPr>
              <w:pStyle w:val="2"/>
            </w:pPr>
          </w:p>
        </w:tc>
        <w:tc>
          <w:tcPr>
            <w:tcW w:w="1102" w:type="dxa"/>
            <w:vMerge w:val="continue"/>
            <w:tcBorders>
              <w:right w:val="single" w:color="auto" w:sz="4" w:space="0"/>
            </w:tcBorders>
            <w:vAlign w:val="center"/>
          </w:tcPr>
          <w:p w14:paraId="70505274">
            <w:pPr>
              <w:pStyle w:val="2"/>
            </w:pPr>
          </w:p>
        </w:tc>
        <w:tc>
          <w:tcPr>
            <w:tcW w:w="1777" w:type="dxa"/>
            <w:tcBorders>
              <w:top w:val="single" w:color="auto" w:sz="4" w:space="0"/>
              <w:left w:val="single" w:color="auto" w:sz="4" w:space="0"/>
              <w:bottom w:val="single" w:color="auto" w:sz="4" w:space="0"/>
            </w:tcBorders>
            <w:vAlign w:val="center"/>
          </w:tcPr>
          <w:p w14:paraId="0FD3A3A4">
            <w:pPr>
              <w:pStyle w:val="2"/>
              <w:numPr>
                <w:ilvl w:val="0"/>
                <w:numId w:val="3"/>
              </w:numPr>
            </w:pPr>
            <w:r>
              <w:rPr>
                <w:rFonts w:hint="eastAsia"/>
              </w:rPr>
              <w:t>质量控制措施和方法（4分）</w:t>
            </w:r>
          </w:p>
        </w:tc>
        <w:tc>
          <w:tcPr>
            <w:tcW w:w="4737" w:type="dxa"/>
            <w:tcBorders>
              <w:top w:val="single" w:color="auto" w:sz="4" w:space="0"/>
              <w:left w:val="single" w:color="auto" w:sz="4" w:space="0"/>
              <w:bottom w:val="single" w:color="auto" w:sz="4" w:space="0"/>
            </w:tcBorders>
            <w:vAlign w:val="center"/>
          </w:tcPr>
          <w:p w14:paraId="45AE3A22">
            <w:pPr>
              <w:pStyle w:val="2"/>
            </w:pPr>
            <w:r>
              <w:rPr>
                <w:rFonts w:hint="eastAsia"/>
              </w:rPr>
              <w:t>综合评审，合理者得3-4分，一般得1-2分，否则得0分；</w:t>
            </w:r>
          </w:p>
        </w:tc>
      </w:tr>
      <w:tr w14:paraId="7CAC8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2DDDE3FE">
            <w:pPr>
              <w:pStyle w:val="2"/>
            </w:pPr>
          </w:p>
        </w:tc>
        <w:tc>
          <w:tcPr>
            <w:tcW w:w="1102" w:type="dxa"/>
            <w:vMerge w:val="continue"/>
            <w:tcBorders>
              <w:right w:val="single" w:color="auto" w:sz="4" w:space="0"/>
            </w:tcBorders>
            <w:vAlign w:val="center"/>
          </w:tcPr>
          <w:p w14:paraId="225DFAC3">
            <w:pPr>
              <w:pStyle w:val="2"/>
            </w:pPr>
          </w:p>
        </w:tc>
        <w:tc>
          <w:tcPr>
            <w:tcW w:w="1777" w:type="dxa"/>
            <w:tcBorders>
              <w:top w:val="single" w:color="auto" w:sz="4" w:space="0"/>
              <w:left w:val="single" w:color="auto" w:sz="4" w:space="0"/>
              <w:bottom w:val="single" w:color="auto" w:sz="4" w:space="0"/>
            </w:tcBorders>
            <w:vAlign w:val="center"/>
          </w:tcPr>
          <w:p w14:paraId="5F51C590">
            <w:pPr>
              <w:pStyle w:val="2"/>
              <w:numPr>
                <w:ilvl w:val="0"/>
                <w:numId w:val="3"/>
              </w:numPr>
            </w:pPr>
            <w:r>
              <w:rPr>
                <w:rFonts w:hint="eastAsia"/>
              </w:rPr>
              <w:t>保证旁站监理措施和方法（4分）</w:t>
            </w:r>
          </w:p>
        </w:tc>
        <w:tc>
          <w:tcPr>
            <w:tcW w:w="4737" w:type="dxa"/>
            <w:tcBorders>
              <w:top w:val="single" w:color="auto" w:sz="4" w:space="0"/>
              <w:left w:val="single" w:color="auto" w:sz="4" w:space="0"/>
              <w:bottom w:val="single" w:color="auto" w:sz="4" w:space="0"/>
            </w:tcBorders>
            <w:vAlign w:val="center"/>
          </w:tcPr>
          <w:p w14:paraId="7F995CAC">
            <w:pPr>
              <w:pStyle w:val="2"/>
            </w:pPr>
            <w:r>
              <w:rPr>
                <w:rFonts w:hint="eastAsia"/>
              </w:rPr>
              <w:t>设置旁站监理且设置合理，保证旁站监理措施合理者得3-4分，一般得1-2分，否则得0分；</w:t>
            </w:r>
          </w:p>
        </w:tc>
      </w:tr>
      <w:tr w14:paraId="1049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6AA7606F">
            <w:pPr>
              <w:pStyle w:val="2"/>
            </w:pPr>
          </w:p>
        </w:tc>
        <w:tc>
          <w:tcPr>
            <w:tcW w:w="1102" w:type="dxa"/>
            <w:vMerge w:val="continue"/>
            <w:tcBorders>
              <w:right w:val="single" w:color="auto" w:sz="4" w:space="0"/>
            </w:tcBorders>
            <w:vAlign w:val="center"/>
          </w:tcPr>
          <w:p w14:paraId="531FA724">
            <w:pPr>
              <w:pStyle w:val="2"/>
            </w:pPr>
          </w:p>
        </w:tc>
        <w:tc>
          <w:tcPr>
            <w:tcW w:w="1777" w:type="dxa"/>
            <w:tcBorders>
              <w:top w:val="single" w:color="auto" w:sz="4" w:space="0"/>
              <w:left w:val="single" w:color="auto" w:sz="4" w:space="0"/>
              <w:bottom w:val="single" w:color="auto" w:sz="4" w:space="0"/>
            </w:tcBorders>
            <w:vAlign w:val="center"/>
          </w:tcPr>
          <w:p w14:paraId="41352EF9">
            <w:pPr>
              <w:pStyle w:val="2"/>
              <w:numPr>
                <w:ilvl w:val="0"/>
                <w:numId w:val="3"/>
              </w:numPr>
            </w:pPr>
            <w:r>
              <w:rPr>
                <w:rFonts w:hint="eastAsia"/>
              </w:rPr>
              <w:t>造价控制措施和方法（4分）</w:t>
            </w:r>
          </w:p>
        </w:tc>
        <w:tc>
          <w:tcPr>
            <w:tcW w:w="4737" w:type="dxa"/>
            <w:tcBorders>
              <w:top w:val="single" w:color="auto" w:sz="4" w:space="0"/>
              <w:left w:val="single" w:color="auto" w:sz="4" w:space="0"/>
              <w:bottom w:val="single" w:color="auto" w:sz="4" w:space="0"/>
            </w:tcBorders>
            <w:vAlign w:val="center"/>
          </w:tcPr>
          <w:p w14:paraId="09B10A09">
            <w:pPr>
              <w:pStyle w:val="2"/>
            </w:pPr>
            <w:r>
              <w:rPr>
                <w:rFonts w:hint="eastAsia"/>
              </w:rPr>
              <w:t>综合评审，造价控制措施和方法周密、及时、准确得3-4分，一般得1-2分，否则得0分；</w:t>
            </w:r>
          </w:p>
        </w:tc>
      </w:tr>
      <w:tr w14:paraId="2BC92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491F6BFE">
            <w:pPr>
              <w:pStyle w:val="2"/>
            </w:pPr>
          </w:p>
        </w:tc>
        <w:tc>
          <w:tcPr>
            <w:tcW w:w="1102" w:type="dxa"/>
            <w:vMerge w:val="continue"/>
            <w:tcBorders>
              <w:right w:val="single" w:color="auto" w:sz="4" w:space="0"/>
            </w:tcBorders>
            <w:vAlign w:val="center"/>
          </w:tcPr>
          <w:p w14:paraId="1C9B8209">
            <w:pPr>
              <w:pStyle w:val="2"/>
            </w:pPr>
          </w:p>
        </w:tc>
        <w:tc>
          <w:tcPr>
            <w:tcW w:w="1777" w:type="dxa"/>
            <w:tcBorders>
              <w:top w:val="single" w:color="auto" w:sz="4" w:space="0"/>
              <w:left w:val="single" w:color="auto" w:sz="4" w:space="0"/>
              <w:bottom w:val="single" w:color="auto" w:sz="4" w:space="0"/>
            </w:tcBorders>
            <w:vAlign w:val="center"/>
          </w:tcPr>
          <w:p w14:paraId="1694BECE">
            <w:pPr>
              <w:pStyle w:val="2"/>
              <w:numPr>
                <w:ilvl w:val="0"/>
                <w:numId w:val="3"/>
              </w:numPr>
            </w:pPr>
            <w:r>
              <w:rPr>
                <w:rFonts w:hint="eastAsia"/>
              </w:rPr>
              <w:t>文明、安全控制措施和方法（4分）</w:t>
            </w:r>
          </w:p>
        </w:tc>
        <w:tc>
          <w:tcPr>
            <w:tcW w:w="4737" w:type="dxa"/>
            <w:tcBorders>
              <w:top w:val="single" w:color="auto" w:sz="4" w:space="0"/>
              <w:left w:val="single" w:color="auto" w:sz="4" w:space="0"/>
              <w:bottom w:val="single" w:color="auto" w:sz="4" w:space="0"/>
            </w:tcBorders>
            <w:vAlign w:val="center"/>
          </w:tcPr>
          <w:p w14:paraId="3BCA1553">
            <w:pPr>
              <w:pStyle w:val="2"/>
            </w:pPr>
            <w:r>
              <w:rPr>
                <w:rFonts w:hint="eastAsia"/>
              </w:rPr>
              <w:t>综合评审，合理者得3-4分，一般得1-2分，否则得0分；</w:t>
            </w:r>
          </w:p>
        </w:tc>
      </w:tr>
      <w:tr w14:paraId="0B84A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29F1C489">
            <w:pPr>
              <w:pStyle w:val="2"/>
            </w:pPr>
          </w:p>
        </w:tc>
        <w:tc>
          <w:tcPr>
            <w:tcW w:w="1102" w:type="dxa"/>
            <w:vMerge w:val="continue"/>
            <w:tcBorders>
              <w:right w:val="single" w:color="auto" w:sz="4" w:space="0"/>
            </w:tcBorders>
            <w:vAlign w:val="center"/>
          </w:tcPr>
          <w:p w14:paraId="507AFA14">
            <w:pPr>
              <w:pStyle w:val="2"/>
            </w:pPr>
          </w:p>
        </w:tc>
        <w:tc>
          <w:tcPr>
            <w:tcW w:w="1777" w:type="dxa"/>
            <w:tcBorders>
              <w:top w:val="single" w:color="auto" w:sz="4" w:space="0"/>
              <w:left w:val="single" w:color="auto" w:sz="4" w:space="0"/>
              <w:bottom w:val="single" w:color="auto" w:sz="4" w:space="0"/>
            </w:tcBorders>
            <w:vAlign w:val="center"/>
          </w:tcPr>
          <w:p w14:paraId="45E09534">
            <w:pPr>
              <w:pStyle w:val="2"/>
              <w:numPr>
                <w:ilvl w:val="0"/>
                <w:numId w:val="3"/>
              </w:numPr>
            </w:pPr>
            <w:r>
              <w:rPr>
                <w:rFonts w:hint="eastAsia"/>
              </w:rPr>
              <w:t>工作协调措施和方法（4分）</w:t>
            </w:r>
          </w:p>
        </w:tc>
        <w:tc>
          <w:tcPr>
            <w:tcW w:w="4737" w:type="dxa"/>
            <w:tcBorders>
              <w:top w:val="single" w:color="auto" w:sz="4" w:space="0"/>
              <w:left w:val="single" w:color="auto" w:sz="4" w:space="0"/>
              <w:bottom w:val="single" w:color="auto" w:sz="4" w:space="0"/>
            </w:tcBorders>
            <w:vAlign w:val="center"/>
          </w:tcPr>
          <w:p w14:paraId="373F753F">
            <w:pPr>
              <w:pStyle w:val="2"/>
            </w:pPr>
            <w:r>
              <w:rPr>
                <w:rFonts w:hint="eastAsia"/>
              </w:rPr>
              <w:t>综合评审，合理者得3-4分，一般得1-2分，否则得0分；</w:t>
            </w:r>
          </w:p>
        </w:tc>
      </w:tr>
      <w:tr w14:paraId="4CB94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7B332A49">
            <w:pPr>
              <w:pStyle w:val="2"/>
            </w:pPr>
          </w:p>
        </w:tc>
        <w:tc>
          <w:tcPr>
            <w:tcW w:w="1102" w:type="dxa"/>
            <w:vMerge w:val="continue"/>
            <w:tcBorders>
              <w:right w:val="single" w:color="auto" w:sz="4" w:space="0"/>
            </w:tcBorders>
            <w:vAlign w:val="center"/>
          </w:tcPr>
          <w:p w14:paraId="3011D77B">
            <w:pPr>
              <w:pStyle w:val="2"/>
            </w:pPr>
          </w:p>
        </w:tc>
        <w:tc>
          <w:tcPr>
            <w:tcW w:w="1777" w:type="dxa"/>
            <w:tcBorders>
              <w:top w:val="single" w:color="auto" w:sz="4" w:space="0"/>
              <w:left w:val="single" w:color="auto" w:sz="4" w:space="0"/>
              <w:bottom w:val="single" w:color="auto" w:sz="4" w:space="0"/>
            </w:tcBorders>
            <w:vAlign w:val="center"/>
          </w:tcPr>
          <w:p w14:paraId="16338C53">
            <w:pPr>
              <w:pStyle w:val="2"/>
              <w:numPr>
                <w:ilvl w:val="0"/>
                <w:numId w:val="3"/>
              </w:numPr>
            </w:pPr>
            <w:r>
              <w:rPr>
                <w:rFonts w:hint="eastAsia"/>
              </w:rPr>
              <w:t>合同和信息管理和方法（4分）</w:t>
            </w:r>
          </w:p>
        </w:tc>
        <w:tc>
          <w:tcPr>
            <w:tcW w:w="4737" w:type="dxa"/>
            <w:tcBorders>
              <w:top w:val="single" w:color="auto" w:sz="4" w:space="0"/>
              <w:left w:val="single" w:color="auto" w:sz="4" w:space="0"/>
              <w:bottom w:val="single" w:color="auto" w:sz="4" w:space="0"/>
            </w:tcBorders>
            <w:vAlign w:val="center"/>
          </w:tcPr>
          <w:p w14:paraId="1AA5DDC1">
            <w:pPr>
              <w:pStyle w:val="2"/>
            </w:pPr>
            <w:r>
              <w:rPr>
                <w:rFonts w:hint="eastAsia"/>
              </w:rPr>
              <w:t>综合评审，合同和信息管理和方法有序、得当、合理得3-4分，一般得1-2分，否则得0分；</w:t>
            </w:r>
          </w:p>
        </w:tc>
      </w:tr>
      <w:tr w14:paraId="7C3F0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right w:val="single" w:color="auto" w:sz="4" w:space="0"/>
            </w:tcBorders>
            <w:vAlign w:val="center"/>
          </w:tcPr>
          <w:p w14:paraId="4E093AEB">
            <w:pPr>
              <w:pStyle w:val="2"/>
            </w:pPr>
          </w:p>
        </w:tc>
        <w:tc>
          <w:tcPr>
            <w:tcW w:w="1102" w:type="dxa"/>
            <w:vMerge w:val="continue"/>
            <w:tcBorders>
              <w:right w:val="single" w:color="auto" w:sz="4" w:space="0"/>
            </w:tcBorders>
            <w:vAlign w:val="center"/>
          </w:tcPr>
          <w:p w14:paraId="7850FE19">
            <w:pPr>
              <w:pStyle w:val="2"/>
            </w:pPr>
          </w:p>
        </w:tc>
        <w:tc>
          <w:tcPr>
            <w:tcW w:w="1777" w:type="dxa"/>
            <w:tcBorders>
              <w:top w:val="single" w:color="auto" w:sz="4" w:space="0"/>
              <w:left w:val="single" w:color="auto" w:sz="4" w:space="0"/>
              <w:bottom w:val="single" w:color="auto" w:sz="4" w:space="0"/>
            </w:tcBorders>
            <w:vAlign w:val="center"/>
          </w:tcPr>
          <w:p w14:paraId="1E4157F7">
            <w:pPr>
              <w:pStyle w:val="2"/>
              <w:numPr>
                <w:ilvl w:val="0"/>
                <w:numId w:val="3"/>
              </w:numPr>
            </w:pPr>
            <w:r>
              <w:rPr>
                <w:rFonts w:hint="eastAsia"/>
              </w:rPr>
              <w:t>重点与难点分析（4分）</w:t>
            </w:r>
          </w:p>
        </w:tc>
        <w:tc>
          <w:tcPr>
            <w:tcW w:w="4737" w:type="dxa"/>
            <w:tcBorders>
              <w:top w:val="single" w:color="auto" w:sz="4" w:space="0"/>
              <w:left w:val="single" w:color="auto" w:sz="4" w:space="0"/>
              <w:bottom w:val="single" w:color="auto" w:sz="4" w:space="0"/>
            </w:tcBorders>
            <w:vAlign w:val="center"/>
          </w:tcPr>
          <w:p w14:paraId="0AF53CD2">
            <w:pPr>
              <w:pStyle w:val="2"/>
            </w:pPr>
            <w:r>
              <w:rPr>
                <w:rFonts w:hint="eastAsia"/>
              </w:rPr>
              <w:t>综合评审，合理者得3-4分，一般得1-2分，否则得0分；</w:t>
            </w:r>
          </w:p>
        </w:tc>
      </w:tr>
      <w:tr w14:paraId="5F1D7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bottom w:val="single" w:color="auto" w:sz="4" w:space="0"/>
              <w:right w:val="single" w:color="auto" w:sz="4" w:space="0"/>
            </w:tcBorders>
            <w:vAlign w:val="center"/>
          </w:tcPr>
          <w:p w14:paraId="6843DAD3">
            <w:pPr>
              <w:pStyle w:val="2"/>
            </w:pPr>
          </w:p>
        </w:tc>
        <w:tc>
          <w:tcPr>
            <w:tcW w:w="1102" w:type="dxa"/>
            <w:vMerge w:val="continue"/>
            <w:tcBorders>
              <w:bottom w:val="single" w:color="auto" w:sz="4" w:space="0"/>
              <w:right w:val="single" w:color="auto" w:sz="4" w:space="0"/>
            </w:tcBorders>
            <w:vAlign w:val="center"/>
          </w:tcPr>
          <w:p w14:paraId="51208822">
            <w:pPr>
              <w:pStyle w:val="2"/>
            </w:pPr>
          </w:p>
        </w:tc>
        <w:tc>
          <w:tcPr>
            <w:tcW w:w="1777" w:type="dxa"/>
            <w:tcBorders>
              <w:top w:val="single" w:color="auto" w:sz="4" w:space="0"/>
              <w:left w:val="single" w:color="auto" w:sz="4" w:space="0"/>
              <w:bottom w:val="single" w:color="auto" w:sz="4" w:space="0"/>
            </w:tcBorders>
            <w:vAlign w:val="center"/>
          </w:tcPr>
          <w:p w14:paraId="73B33A54">
            <w:pPr>
              <w:pStyle w:val="2"/>
              <w:numPr>
                <w:ilvl w:val="0"/>
                <w:numId w:val="3"/>
              </w:numPr>
            </w:pPr>
            <w:r>
              <w:rPr>
                <w:rFonts w:hint="eastAsia"/>
              </w:rPr>
              <w:t>对本工程的建议（4分）</w:t>
            </w:r>
          </w:p>
        </w:tc>
        <w:tc>
          <w:tcPr>
            <w:tcW w:w="4737" w:type="dxa"/>
            <w:tcBorders>
              <w:top w:val="single" w:color="auto" w:sz="4" w:space="0"/>
              <w:left w:val="single" w:color="auto" w:sz="4" w:space="0"/>
              <w:bottom w:val="single" w:color="auto" w:sz="4" w:space="0"/>
            </w:tcBorders>
            <w:vAlign w:val="center"/>
          </w:tcPr>
          <w:p w14:paraId="079D09D9">
            <w:pPr>
              <w:pStyle w:val="2"/>
            </w:pPr>
            <w:r>
              <w:rPr>
                <w:rFonts w:hint="eastAsia"/>
              </w:rPr>
              <w:t>综合评审，合理者得3-4分，一般得1-2分，否则得0分。</w:t>
            </w:r>
          </w:p>
        </w:tc>
      </w:tr>
      <w:tr w14:paraId="71C5F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9197" w:type="dxa"/>
            <w:gridSpan w:val="4"/>
            <w:tcBorders>
              <w:bottom w:val="single" w:color="auto" w:sz="4" w:space="0"/>
            </w:tcBorders>
            <w:vAlign w:val="center"/>
          </w:tcPr>
          <w:p w14:paraId="00D6DDB3">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注：“暗标”应当以能够隐去投标人的身份为原则，施工组织设计采用“暗标”形式，未按要求编写施工组织设计（以下简称技术标）的，施工组织设计为0分。具体要求</w:t>
            </w:r>
            <w:r>
              <w:rPr>
                <w:rFonts w:asciiTheme="minorEastAsia" w:hAnsiTheme="minorEastAsia" w:eastAsiaTheme="minorEastAsia"/>
                <w:szCs w:val="21"/>
              </w:rPr>
              <w:t>如下：</w:t>
            </w:r>
          </w:p>
          <w:p w14:paraId="5038ABED">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1、编写软件及版本要求：Microsoft Word 2007或以上；</w:t>
            </w:r>
          </w:p>
          <w:p w14:paraId="3C81D15D">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2、任何情况下，技术暗标中不得出现任何行间插字或删除痕迹；</w:t>
            </w:r>
          </w:p>
          <w:p w14:paraId="125BB225">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3、除满足上述各项要求外，构成投标文件的“技术暗标”的正文中均不得出现投标人的名称和其它可识别投标人身份的字符、徽标、人员名称以及其他特殊标记等。</w:t>
            </w:r>
          </w:p>
          <w:p w14:paraId="5C153338">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4、技术标设封面，格式见附件。技术标正文应采用：“白底A4纸张，纵向排版”，“宋体”四号字(黑色)；不允许涂改或删除痕迹；不允许字体涂色、不允许字体加粗；不允许出现目录；不允许出现页码、页眉、页脚；对齐方式：左对齐；大纲级别：正文文本，行距为固定值25磅；页边距（上3厘米，下3厘米，左2厘米，右2厘米），段前0行0磅，段后0行0磅；左侧缩进0字符0厘米，右侧缩进0字符0厘米。大、小标题所用文字采用 “宋体” 四号字(黑色)；图表中字体为宋体、字号自拟。</w:t>
            </w:r>
          </w:p>
          <w:p w14:paraId="5E6EDEA4">
            <w:pPr>
              <w:pStyle w:val="2"/>
              <w:rPr>
                <w:rFonts w:asciiTheme="minorEastAsia" w:hAnsiTheme="minorEastAsia" w:eastAsiaTheme="minorEastAsia"/>
              </w:rPr>
            </w:pPr>
            <w:r>
              <w:rPr>
                <w:rFonts w:hint="eastAsia" w:asciiTheme="minorEastAsia" w:hAnsiTheme="minorEastAsia" w:eastAsiaTheme="minorEastAsia"/>
                <w:szCs w:val="21"/>
              </w:rPr>
              <w:t>5、技术标文件、内容、文字、标设图形均不得出现彩色文字；不得出现投标单位名称、相关人员姓名等能体现有关投标单位信息的提示性标记、文字、语句等。</w:t>
            </w:r>
          </w:p>
        </w:tc>
      </w:tr>
      <w:tr w14:paraId="7EC53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tcBorders>
              <w:top w:val="single" w:color="auto" w:sz="4" w:space="0"/>
              <w:bottom w:val="single" w:color="auto" w:sz="4" w:space="0"/>
              <w:right w:val="single" w:color="auto" w:sz="4" w:space="0"/>
            </w:tcBorders>
            <w:vAlign w:val="center"/>
          </w:tcPr>
          <w:p w14:paraId="3F2486FC">
            <w:pPr>
              <w:pStyle w:val="2"/>
            </w:pPr>
            <w:r>
              <w:rPr>
                <w:rFonts w:hint="eastAsia"/>
              </w:rPr>
              <w:t>2.2.4（3）</w:t>
            </w:r>
          </w:p>
        </w:tc>
        <w:tc>
          <w:tcPr>
            <w:tcW w:w="1102" w:type="dxa"/>
            <w:tcBorders>
              <w:top w:val="single" w:color="auto" w:sz="4" w:space="0"/>
              <w:bottom w:val="single" w:color="auto" w:sz="4" w:space="0"/>
              <w:right w:val="single" w:color="auto" w:sz="4" w:space="0"/>
            </w:tcBorders>
            <w:vAlign w:val="center"/>
          </w:tcPr>
          <w:p w14:paraId="037E24F8">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项目管理机构</w:t>
            </w:r>
          </w:p>
          <w:p w14:paraId="158FA215">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分)</w:t>
            </w:r>
          </w:p>
        </w:tc>
        <w:tc>
          <w:tcPr>
            <w:tcW w:w="6514" w:type="dxa"/>
            <w:gridSpan w:val="2"/>
            <w:tcBorders>
              <w:top w:val="single" w:color="auto" w:sz="4" w:space="0"/>
              <w:left w:val="single" w:color="auto" w:sz="4" w:space="0"/>
              <w:bottom w:val="single" w:color="auto" w:sz="4" w:space="0"/>
            </w:tcBorders>
            <w:vAlign w:val="center"/>
          </w:tcPr>
          <w:p w14:paraId="5DFDB77B">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1、监理机构设置：对人员配备进行综合评审，所需专业配备齐全合理，满足项目需求的得</w:t>
            </w:r>
            <w:r>
              <w:rPr>
                <w:rFonts w:asciiTheme="minorEastAsia" w:hAnsiTheme="minorEastAsia" w:eastAsiaTheme="minorEastAsia"/>
                <w:szCs w:val="21"/>
              </w:rPr>
              <w:t>2</w:t>
            </w:r>
            <w:r>
              <w:rPr>
                <w:rFonts w:hint="eastAsia" w:asciiTheme="minorEastAsia" w:hAnsiTheme="minorEastAsia" w:eastAsiaTheme="minorEastAsia"/>
                <w:szCs w:val="21"/>
              </w:rPr>
              <w:t>分。专业配备基本齐全，基本满足项目要求的得</w:t>
            </w:r>
            <w:r>
              <w:rPr>
                <w:rFonts w:asciiTheme="minorEastAsia" w:hAnsiTheme="minorEastAsia" w:eastAsiaTheme="minorEastAsia"/>
                <w:szCs w:val="21"/>
              </w:rPr>
              <w:t>1</w:t>
            </w:r>
            <w:r>
              <w:rPr>
                <w:rFonts w:hint="eastAsia" w:asciiTheme="minorEastAsia" w:hAnsiTheme="minorEastAsia" w:eastAsiaTheme="minorEastAsia"/>
                <w:szCs w:val="21"/>
              </w:rPr>
              <w:t>分。其他情况不得分；</w:t>
            </w:r>
          </w:p>
          <w:p w14:paraId="138B8841">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2、主要监理人员进场计划：合理得</w:t>
            </w:r>
            <w:r>
              <w:rPr>
                <w:rFonts w:asciiTheme="minorEastAsia" w:hAnsiTheme="minorEastAsia" w:eastAsiaTheme="minorEastAsia"/>
                <w:szCs w:val="21"/>
              </w:rPr>
              <w:t>2</w:t>
            </w:r>
            <w:r>
              <w:rPr>
                <w:rFonts w:hint="eastAsia" w:asciiTheme="minorEastAsia" w:hAnsiTheme="minorEastAsia" w:eastAsiaTheme="minorEastAsia"/>
                <w:szCs w:val="21"/>
              </w:rPr>
              <w:t>分，基本合理得1分，否则得0分；</w:t>
            </w:r>
          </w:p>
          <w:p w14:paraId="66A0094A">
            <w:pPr>
              <w:spacing w:line="4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、拟投入检测、办公设备：数量、品种、型号充分满足监理工作需要得</w:t>
            </w:r>
            <w:r>
              <w:rPr>
                <w:rFonts w:asciiTheme="minorEastAsia" w:hAnsiTheme="minorEastAsia" w:eastAsiaTheme="minorEastAsia"/>
                <w:szCs w:val="21"/>
              </w:rPr>
              <w:t>3</w:t>
            </w:r>
            <w:r>
              <w:rPr>
                <w:rFonts w:hint="eastAsia" w:asciiTheme="minorEastAsia" w:hAnsiTheme="minorEastAsia" w:eastAsiaTheme="minorEastAsia"/>
                <w:szCs w:val="21"/>
              </w:rPr>
              <w:t>分，基本满足得</w:t>
            </w:r>
            <w:r>
              <w:rPr>
                <w:rFonts w:asciiTheme="minorEastAsia" w:hAnsiTheme="minorEastAsia" w:eastAsiaTheme="minorEastAsia"/>
                <w:szCs w:val="21"/>
              </w:rPr>
              <w:t>2</w:t>
            </w:r>
            <w:r>
              <w:rPr>
                <w:rFonts w:hint="eastAsia" w:asciiTheme="minorEastAsia" w:hAnsiTheme="minorEastAsia" w:eastAsiaTheme="minorEastAsia"/>
                <w:szCs w:val="21"/>
              </w:rPr>
              <w:t>分，否则得0分。</w:t>
            </w:r>
          </w:p>
        </w:tc>
      </w:tr>
      <w:tr w14:paraId="785F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restart"/>
            <w:tcBorders>
              <w:top w:val="single" w:color="auto" w:sz="4" w:space="0"/>
              <w:right w:val="single" w:color="auto" w:sz="4" w:space="0"/>
            </w:tcBorders>
            <w:vAlign w:val="center"/>
          </w:tcPr>
          <w:p w14:paraId="02BF7D02">
            <w:pPr>
              <w:pStyle w:val="2"/>
            </w:pPr>
            <w:r>
              <w:rPr>
                <w:rFonts w:hint="eastAsia"/>
              </w:rPr>
              <w:t>2.2.4（4）</w:t>
            </w:r>
          </w:p>
        </w:tc>
        <w:tc>
          <w:tcPr>
            <w:tcW w:w="1102" w:type="dxa"/>
            <w:vMerge w:val="restart"/>
            <w:tcBorders>
              <w:top w:val="single" w:color="auto" w:sz="4" w:space="0"/>
              <w:right w:val="single" w:color="auto" w:sz="4" w:space="0"/>
            </w:tcBorders>
            <w:vAlign w:val="center"/>
          </w:tcPr>
          <w:p w14:paraId="0DBE543A">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企业综合实力（</w:t>
            </w:r>
            <w:r>
              <w:rPr>
                <w:rFonts w:asciiTheme="minorEastAsia" w:hAnsiTheme="minorEastAsia" w:eastAsiaTheme="minorEastAsia"/>
                <w:szCs w:val="21"/>
              </w:rPr>
              <w:t>13</w:t>
            </w:r>
            <w:r>
              <w:rPr>
                <w:rFonts w:hint="eastAsia" w:asciiTheme="minorEastAsia" w:hAnsiTheme="minorEastAsia" w:eastAsiaTheme="minorEastAsia"/>
                <w:szCs w:val="21"/>
              </w:rPr>
              <w:t>分）</w:t>
            </w:r>
          </w:p>
        </w:tc>
        <w:tc>
          <w:tcPr>
            <w:tcW w:w="6514" w:type="dxa"/>
            <w:gridSpan w:val="2"/>
            <w:tcBorders>
              <w:top w:val="single" w:color="auto" w:sz="4" w:space="0"/>
              <w:left w:val="single" w:color="auto" w:sz="4" w:space="0"/>
              <w:bottom w:val="single" w:color="auto" w:sz="4" w:space="0"/>
            </w:tcBorders>
            <w:vAlign w:val="center"/>
          </w:tcPr>
          <w:p w14:paraId="1E97EAC1">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1、20</w:t>
            </w:r>
            <w:r>
              <w:rPr>
                <w:rFonts w:asciiTheme="minorEastAsia" w:hAnsiTheme="minorEastAsia" w:eastAsiaTheme="minorEastAsia"/>
                <w:szCs w:val="21"/>
              </w:rPr>
              <w:t>21</w:t>
            </w:r>
            <w:r>
              <w:rPr>
                <w:rFonts w:hint="eastAsia" w:asciiTheme="minorEastAsia" w:hAnsiTheme="minorEastAsia" w:eastAsiaTheme="minorEastAsia"/>
                <w:szCs w:val="21"/>
              </w:rPr>
              <w:t>年1月1日以来（以合同协议书签订时间为准），企业已完成的类似项目监理业绩，每一项完整业绩得2分，最高得6分；</w:t>
            </w:r>
          </w:p>
          <w:p w14:paraId="38BB8078">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2、监理部成员中（不含总监）有公路或市政工程专业国家注册监理工程师执业资格的，每一个加1</w:t>
            </w:r>
            <w:r>
              <w:rPr>
                <w:rFonts w:asciiTheme="minorEastAsia" w:hAnsiTheme="minorEastAsia" w:eastAsiaTheme="minorEastAsia"/>
                <w:szCs w:val="21"/>
              </w:rPr>
              <w:t>.5</w:t>
            </w:r>
            <w:r>
              <w:rPr>
                <w:rFonts w:hint="eastAsia" w:asciiTheme="minorEastAsia" w:hAnsiTheme="minorEastAsia" w:eastAsiaTheme="minorEastAsia"/>
                <w:szCs w:val="21"/>
              </w:rPr>
              <w:t>分，最高得</w:t>
            </w:r>
            <w:r>
              <w:rPr>
                <w:rFonts w:asciiTheme="minorEastAsia" w:hAnsiTheme="minorEastAsia" w:eastAsiaTheme="minorEastAsia"/>
                <w:szCs w:val="21"/>
              </w:rPr>
              <w:t>3</w:t>
            </w:r>
            <w:r>
              <w:rPr>
                <w:rFonts w:hint="eastAsia" w:asciiTheme="minorEastAsia" w:hAnsiTheme="minorEastAsia" w:eastAsiaTheme="minorEastAsia"/>
                <w:szCs w:val="21"/>
              </w:rPr>
              <w:t>分。</w:t>
            </w:r>
          </w:p>
          <w:p w14:paraId="7524F8F0">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注：完整业绩提供：中标通知书和合同协议书</w:t>
            </w:r>
          </w:p>
        </w:tc>
      </w:tr>
      <w:tr w14:paraId="5DB37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581" w:type="dxa"/>
            <w:vMerge w:val="continue"/>
            <w:tcBorders>
              <w:bottom w:val="single" w:color="auto" w:sz="4" w:space="0"/>
              <w:right w:val="single" w:color="auto" w:sz="4" w:space="0"/>
            </w:tcBorders>
            <w:vAlign w:val="center"/>
          </w:tcPr>
          <w:p w14:paraId="2963D2EE">
            <w:pPr>
              <w:pStyle w:val="2"/>
            </w:pPr>
          </w:p>
        </w:tc>
        <w:tc>
          <w:tcPr>
            <w:tcW w:w="1102" w:type="dxa"/>
            <w:vMerge w:val="continue"/>
            <w:tcBorders>
              <w:bottom w:val="single" w:color="auto" w:sz="4" w:space="0"/>
              <w:right w:val="single" w:color="auto" w:sz="4" w:space="0"/>
            </w:tcBorders>
            <w:vAlign w:val="center"/>
          </w:tcPr>
          <w:p w14:paraId="71D7DA35">
            <w:pPr>
              <w:spacing w:line="460" w:lineRule="exact"/>
              <w:rPr>
                <w:rFonts w:asciiTheme="minorEastAsia" w:hAnsiTheme="minorEastAsia" w:eastAsiaTheme="minorEastAsia"/>
                <w:szCs w:val="21"/>
              </w:rPr>
            </w:pPr>
          </w:p>
        </w:tc>
        <w:tc>
          <w:tcPr>
            <w:tcW w:w="6514" w:type="dxa"/>
            <w:gridSpan w:val="2"/>
            <w:tcBorders>
              <w:top w:val="single" w:color="auto" w:sz="4" w:space="0"/>
              <w:left w:val="single" w:color="auto" w:sz="4" w:space="0"/>
              <w:bottom w:val="single" w:color="auto" w:sz="4" w:space="0"/>
            </w:tcBorders>
            <w:vAlign w:val="center"/>
          </w:tcPr>
          <w:p w14:paraId="1CF390BC">
            <w:pPr>
              <w:spacing w:line="460" w:lineRule="exact"/>
            </w:pPr>
            <w:r>
              <w:rPr>
                <w:rFonts w:asciiTheme="minorEastAsia" w:hAnsiTheme="minorEastAsia" w:eastAsiaTheme="minorEastAsia"/>
                <w:szCs w:val="21"/>
              </w:rPr>
              <w:t>应用</w:t>
            </w:r>
            <w:r>
              <w:rPr>
                <w:rFonts w:hint="eastAsia" w:asciiTheme="minorEastAsia" w:hAnsiTheme="minorEastAsia" w:eastAsiaTheme="minorEastAsia"/>
                <w:szCs w:val="21"/>
              </w:rPr>
              <w:t>有效期内的</w:t>
            </w:r>
            <w:r>
              <w:rPr>
                <w:rFonts w:asciiTheme="minorEastAsia" w:hAnsiTheme="minorEastAsia" w:eastAsiaTheme="minorEastAsia"/>
                <w:szCs w:val="21"/>
              </w:rPr>
              <w:t>“南阳市建筑业企业信用等级结果”，信用等级对应的分值为: AAA为</w:t>
            </w:r>
            <w:r>
              <w:rPr>
                <w:rFonts w:hint="eastAsia" w:asciiTheme="minorEastAsia" w:hAnsiTheme="minorEastAsia" w:eastAsiaTheme="minorEastAsia"/>
                <w:szCs w:val="21"/>
              </w:rPr>
              <w:t>4</w:t>
            </w:r>
            <w:r>
              <w:rPr>
                <w:rFonts w:asciiTheme="minorEastAsia" w:hAnsiTheme="minorEastAsia" w:eastAsiaTheme="minorEastAsia"/>
                <w:szCs w:val="21"/>
              </w:rPr>
              <w:t>分；AA为</w:t>
            </w:r>
            <w:r>
              <w:rPr>
                <w:rFonts w:hint="eastAsia" w:asciiTheme="minorEastAsia" w:hAnsiTheme="minorEastAsia" w:eastAsiaTheme="minorEastAsia"/>
                <w:szCs w:val="21"/>
              </w:rPr>
              <w:t>3</w:t>
            </w:r>
            <w:r>
              <w:rPr>
                <w:rFonts w:asciiTheme="minorEastAsia" w:hAnsiTheme="minorEastAsia" w:eastAsiaTheme="minorEastAsia"/>
                <w:szCs w:val="21"/>
              </w:rPr>
              <w:t>分； A为</w:t>
            </w:r>
            <w:r>
              <w:rPr>
                <w:rFonts w:hint="eastAsia" w:asciiTheme="minorEastAsia" w:hAnsiTheme="minorEastAsia" w:eastAsiaTheme="minorEastAsia"/>
                <w:szCs w:val="21"/>
              </w:rPr>
              <w:t>2</w:t>
            </w:r>
            <w:r>
              <w:rPr>
                <w:rFonts w:asciiTheme="minorEastAsia" w:hAnsiTheme="minorEastAsia" w:eastAsiaTheme="minorEastAsia"/>
                <w:szCs w:val="21"/>
              </w:rPr>
              <w:t>分；B为</w:t>
            </w:r>
            <w:r>
              <w:rPr>
                <w:rFonts w:hint="eastAsia" w:asciiTheme="minorEastAsia" w:hAnsiTheme="minorEastAsia" w:eastAsiaTheme="minorEastAsia"/>
                <w:szCs w:val="21"/>
              </w:rPr>
              <w:t>0</w:t>
            </w:r>
            <w:r>
              <w:rPr>
                <w:rFonts w:asciiTheme="minorEastAsia" w:hAnsiTheme="minorEastAsia" w:eastAsiaTheme="minorEastAsia"/>
                <w:szCs w:val="21"/>
              </w:rPr>
              <w:t>分，无信用评价结果为0分，外地新进入我市的企业为A级。</w:t>
            </w:r>
          </w:p>
        </w:tc>
      </w:tr>
    </w:tbl>
    <w:p w14:paraId="46451982">
      <w:pPr>
        <w:widowControl/>
        <w:shd w:val="clear" w:color="auto" w:fill="FFFFFF"/>
        <w:spacing w:line="480" w:lineRule="atLeast"/>
        <w:ind w:firstLine="420" w:firstLineChars="200"/>
        <w:jc w:val="left"/>
        <w:rPr>
          <w:rFonts w:ascii="宋体" w:hAnsi="宋体" w:cs="宋体"/>
          <w:kern w:val="0"/>
          <w:szCs w:val="21"/>
        </w:rPr>
      </w:pPr>
    </w:p>
    <w:p w14:paraId="06A6B676">
      <w:pPr>
        <w:ind w:firstLine="422" w:firstLineChars="201"/>
        <w:rPr>
          <w:rFonts w:ascii="宋体" w:hAnsi="宋体"/>
          <w:b/>
        </w:rPr>
      </w:pPr>
      <w:r>
        <w:rPr>
          <w:rFonts w:hint="eastAsia" w:ascii="宋体" w:hAnsi="宋体"/>
          <w:b/>
        </w:rPr>
        <w:t>1. 评标方法</w:t>
      </w:r>
      <w:bookmarkEnd w:id="464"/>
      <w:bookmarkEnd w:id="465"/>
      <w:bookmarkEnd w:id="466"/>
      <w:bookmarkEnd w:id="467"/>
      <w:bookmarkEnd w:id="468"/>
      <w:bookmarkEnd w:id="469"/>
      <w:bookmarkEnd w:id="470"/>
      <w:bookmarkEnd w:id="471"/>
      <w:bookmarkEnd w:id="472"/>
    </w:p>
    <w:p w14:paraId="33B23B9D">
      <w:pPr>
        <w:ind w:firstLine="422" w:firstLineChars="201"/>
        <w:rPr>
          <w:rFonts w:ascii="宋体" w:hAnsi="宋体"/>
        </w:rPr>
      </w:pPr>
      <w:r>
        <w:rPr>
          <w:rFonts w:hint="eastAsia" w:ascii="宋体" w:hAnsi="宋体"/>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监理大纲得分高的优先；监理大纲得分也相等的，由招标人自行确定。</w:t>
      </w:r>
    </w:p>
    <w:p w14:paraId="6CEEEE59">
      <w:pPr>
        <w:ind w:firstLine="422" w:firstLineChars="201"/>
        <w:rPr>
          <w:rFonts w:ascii="宋体" w:hAnsi="宋体"/>
          <w:b/>
        </w:rPr>
      </w:pPr>
      <w:r>
        <w:rPr>
          <w:rFonts w:hint="eastAsia" w:ascii="宋体" w:hAnsi="宋体"/>
          <w:b/>
        </w:rPr>
        <w:t>2. 评审标准</w:t>
      </w:r>
      <w:bookmarkEnd w:id="455"/>
      <w:bookmarkEnd w:id="456"/>
      <w:bookmarkEnd w:id="457"/>
      <w:bookmarkEnd w:id="458"/>
      <w:bookmarkEnd w:id="459"/>
      <w:bookmarkEnd w:id="460"/>
      <w:bookmarkEnd w:id="461"/>
      <w:bookmarkEnd w:id="462"/>
      <w:bookmarkEnd w:id="463"/>
    </w:p>
    <w:p w14:paraId="36676AFF">
      <w:pPr>
        <w:ind w:firstLine="422" w:firstLineChars="201"/>
        <w:rPr>
          <w:rFonts w:ascii="宋体" w:hAnsi="宋体"/>
          <w:b/>
        </w:rPr>
      </w:pPr>
      <w:bookmarkStart w:id="473" w:name="_Toc14222"/>
      <w:bookmarkStart w:id="474" w:name="_Toc152045602"/>
      <w:bookmarkStart w:id="475" w:name="_Toc246996988"/>
      <w:bookmarkStart w:id="476" w:name="_Toc144974569"/>
      <w:bookmarkStart w:id="477" w:name="_Toc247085760"/>
      <w:bookmarkStart w:id="478" w:name="_Toc246996245"/>
      <w:bookmarkStart w:id="479" w:name="_Toc399596210"/>
      <w:bookmarkStart w:id="480" w:name="_Toc152042379"/>
      <w:bookmarkStart w:id="481" w:name="_Toc179632620"/>
      <w:r>
        <w:rPr>
          <w:rFonts w:hint="eastAsia" w:ascii="宋体" w:hAnsi="宋体"/>
          <w:b/>
        </w:rPr>
        <w:t>2.1 初步评审标准</w:t>
      </w:r>
      <w:bookmarkEnd w:id="473"/>
      <w:bookmarkEnd w:id="474"/>
      <w:bookmarkEnd w:id="475"/>
      <w:bookmarkEnd w:id="476"/>
      <w:bookmarkEnd w:id="477"/>
      <w:bookmarkEnd w:id="478"/>
      <w:bookmarkEnd w:id="479"/>
      <w:bookmarkEnd w:id="480"/>
      <w:bookmarkEnd w:id="481"/>
    </w:p>
    <w:p w14:paraId="59346C7A">
      <w:pPr>
        <w:spacing w:line="400" w:lineRule="exact"/>
        <w:ind w:firstLine="420" w:firstLineChars="200"/>
        <w:rPr>
          <w:rFonts w:ascii="宋体" w:hAnsi="宋体"/>
        </w:rPr>
      </w:pPr>
      <w:r>
        <w:rPr>
          <w:rFonts w:hint="eastAsia" w:ascii="宋体" w:hAnsi="宋体"/>
        </w:rPr>
        <w:t>2.1.1 形式评审标准：见评标办法前附表。</w:t>
      </w:r>
    </w:p>
    <w:p w14:paraId="32DC4478">
      <w:pPr>
        <w:spacing w:line="400" w:lineRule="exact"/>
        <w:ind w:firstLine="420" w:firstLineChars="200"/>
        <w:rPr>
          <w:rFonts w:ascii="宋体" w:hAnsi="宋体"/>
        </w:rPr>
      </w:pPr>
      <w:r>
        <w:rPr>
          <w:rFonts w:hint="eastAsia" w:ascii="宋体" w:hAnsi="宋体"/>
        </w:rPr>
        <w:t>2.1.2 资格评审标准：见评标办法前附表。</w:t>
      </w:r>
    </w:p>
    <w:p w14:paraId="5D9862AA">
      <w:pPr>
        <w:spacing w:line="400" w:lineRule="exact"/>
        <w:ind w:firstLine="420" w:firstLineChars="200"/>
        <w:rPr>
          <w:rFonts w:ascii="宋体" w:hAnsi="宋体"/>
        </w:rPr>
      </w:pPr>
      <w:r>
        <w:rPr>
          <w:rFonts w:hint="eastAsia" w:ascii="宋体" w:hAnsi="宋体"/>
        </w:rPr>
        <w:t>2.1.3 响应性评审标准：见评标办法前附表。</w:t>
      </w:r>
    </w:p>
    <w:p w14:paraId="28B30FCA">
      <w:pPr>
        <w:ind w:firstLine="422" w:firstLineChars="201"/>
        <w:rPr>
          <w:rFonts w:ascii="宋体" w:hAnsi="宋体"/>
          <w:b/>
        </w:rPr>
      </w:pPr>
      <w:bookmarkStart w:id="482" w:name="_Toc246996246"/>
      <w:bookmarkStart w:id="483" w:name="_Toc9792"/>
      <w:bookmarkStart w:id="484" w:name="_Toc247085761"/>
      <w:bookmarkStart w:id="485" w:name="_Toc144974570"/>
      <w:bookmarkStart w:id="486" w:name="_Toc152042380"/>
      <w:bookmarkStart w:id="487" w:name="_Toc246996989"/>
      <w:bookmarkStart w:id="488" w:name="_Toc399596211"/>
      <w:bookmarkStart w:id="489" w:name="_Toc179632621"/>
      <w:bookmarkStart w:id="490" w:name="_Toc152045603"/>
      <w:r>
        <w:rPr>
          <w:rFonts w:hint="eastAsia" w:ascii="宋体" w:hAnsi="宋体"/>
          <w:b/>
        </w:rPr>
        <w:t>2.2 分值构成与评分标准</w:t>
      </w:r>
      <w:bookmarkEnd w:id="482"/>
      <w:bookmarkEnd w:id="483"/>
      <w:bookmarkEnd w:id="484"/>
      <w:bookmarkEnd w:id="485"/>
      <w:bookmarkEnd w:id="486"/>
      <w:bookmarkEnd w:id="487"/>
      <w:bookmarkEnd w:id="488"/>
      <w:bookmarkEnd w:id="489"/>
      <w:bookmarkEnd w:id="490"/>
    </w:p>
    <w:p w14:paraId="210EC4E6">
      <w:pPr>
        <w:spacing w:line="400" w:lineRule="exact"/>
        <w:ind w:firstLine="420" w:firstLineChars="200"/>
        <w:rPr>
          <w:rFonts w:ascii="宋体" w:hAnsi="宋体"/>
        </w:rPr>
      </w:pPr>
      <w:r>
        <w:rPr>
          <w:rFonts w:hint="eastAsia" w:ascii="宋体" w:hAnsi="宋体"/>
        </w:rPr>
        <w:t>2.2.1 分值构成</w:t>
      </w:r>
    </w:p>
    <w:p w14:paraId="61FD87E1">
      <w:pPr>
        <w:spacing w:line="400" w:lineRule="exact"/>
        <w:ind w:firstLine="420" w:firstLineChars="200"/>
        <w:rPr>
          <w:rFonts w:ascii="宋体" w:hAnsi="宋体"/>
        </w:rPr>
      </w:pPr>
      <w:r>
        <w:rPr>
          <w:rFonts w:hint="eastAsia" w:ascii="宋体" w:hAnsi="宋体"/>
        </w:rPr>
        <w:t>见评标办法前附表；</w:t>
      </w:r>
    </w:p>
    <w:p w14:paraId="16F3CC29">
      <w:pPr>
        <w:spacing w:line="400" w:lineRule="exact"/>
        <w:ind w:firstLine="420" w:firstLineChars="200"/>
        <w:rPr>
          <w:rFonts w:ascii="宋体" w:hAnsi="宋体"/>
        </w:rPr>
      </w:pPr>
      <w:r>
        <w:rPr>
          <w:rFonts w:hint="eastAsia" w:ascii="宋体" w:hAnsi="宋体"/>
        </w:rPr>
        <w:t>2.2.2 评标基准价计算</w:t>
      </w:r>
    </w:p>
    <w:p w14:paraId="0943925E">
      <w:pPr>
        <w:spacing w:line="400" w:lineRule="exact"/>
        <w:ind w:firstLine="420" w:firstLineChars="200"/>
        <w:rPr>
          <w:rFonts w:ascii="宋体" w:hAnsi="宋体"/>
        </w:rPr>
      </w:pPr>
      <w:r>
        <w:rPr>
          <w:rFonts w:hint="eastAsia" w:ascii="宋体" w:hAnsi="宋体"/>
        </w:rPr>
        <w:t>评标基准价计算方法：见评标办法前附表。</w:t>
      </w:r>
    </w:p>
    <w:p w14:paraId="48F1FA20">
      <w:pPr>
        <w:spacing w:line="400" w:lineRule="exact"/>
        <w:ind w:firstLine="420" w:firstLineChars="200"/>
        <w:rPr>
          <w:rFonts w:ascii="宋体" w:hAnsi="宋体"/>
        </w:rPr>
      </w:pPr>
      <w:r>
        <w:rPr>
          <w:rFonts w:hint="eastAsia" w:ascii="宋体" w:hAnsi="宋体"/>
        </w:rPr>
        <w:t>2.2.3 投标报价的偏差率计算</w:t>
      </w:r>
    </w:p>
    <w:p w14:paraId="0739B4FF">
      <w:pPr>
        <w:spacing w:line="400" w:lineRule="exact"/>
        <w:ind w:firstLine="420" w:firstLineChars="200"/>
        <w:rPr>
          <w:rFonts w:ascii="宋体" w:hAnsi="宋体"/>
        </w:rPr>
      </w:pPr>
      <w:r>
        <w:rPr>
          <w:rFonts w:hint="eastAsia" w:ascii="宋体" w:hAnsi="宋体"/>
        </w:rPr>
        <w:t>投标报价的偏差率计算公式：见评标办法前附表。</w:t>
      </w:r>
    </w:p>
    <w:p w14:paraId="02281B93">
      <w:pPr>
        <w:spacing w:line="400" w:lineRule="exact"/>
        <w:ind w:firstLine="420" w:firstLineChars="200"/>
        <w:rPr>
          <w:rFonts w:ascii="宋体" w:hAnsi="宋体"/>
        </w:rPr>
      </w:pPr>
      <w:r>
        <w:rPr>
          <w:rFonts w:hint="eastAsia" w:ascii="宋体" w:hAnsi="宋体"/>
        </w:rPr>
        <w:t>2.2.4 评分标准</w:t>
      </w:r>
    </w:p>
    <w:p w14:paraId="700DC7D6">
      <w:pPr>
        <w:spacing w:line="400" w:lineRule="exact"/>
        <w:ind w:firstLine="420" w:firstLineChars="200"/>
        <w:rPr>
          <w:rFonts w:ascii="宋体" w:hAnsi="宋体"/>
        </w:rPr>
      </w:pPr>
      <w:r>
        <w:rPr>
          <w:rFonts w:hint="eastAsia" w:ascii="宋体" w:hAnsi="宋体"/>
        </w:rPr>
        <w:t>见评标办法前附表。</w:t>
      </w:r>
    </w:p>
    <w:p w14:paraId="07F96C92">
      <w:pPr>
        <w:ind w:firstLine="422" w:firstLineChars="201"/>
        <w:rPr>
          <w:rFonts w:ascii="宋体" w:hAnsi="宋体"/>
          <w:b/>
        </w:rPr>
      </w:pPr>
      <w:bookmarkStart w:id="491" w:name="_Toc152045604"/>
      <w:bookmarkStart w:id="492" w:name="_Toc247085762"/>
      <w:bookmarkStart w:id="493" w:name="_Toc179632622"/>
      <w:bookmarkStart w:id="494" w:name="_Toc246996990"/>
      <w:bookmarkStart w:id="495" w:name="_Toc144974571"/>
      <w:bookmarkStart w:id="496" w:name="_Toc17227"/>
      <w:bookmarkStart w:id="497" w:name="_Toc246996247"/>
      <w:bookmarkStart w:id="498" w:name="_Toc399596212"/>
      <w:bookmarkStart w:id="499" w:name="_Toc152042381"/>
      <w:r>
        <w:rPr>
          <w:rFonts w:hint="eastAsia" w:ascii="宋体" w:hAnsi="宋体"/>
          <w:b/>
        </w:rPr>
        <w:t>3. 评标程序</w:t>
      </w:r>
      <w:bookmarkEnd w:id="491"/>
      <w:bookmarkEnd w:id="492"/>
      <w:bookmarkEnd w:id="493"/>
      <w:bookmarkEnd w:id="494"/>
      <w:bookmarkEnd w:id="495"/>
      <w:bookmarkEnd w:id="496"/>
      <w:bookmarkEnd w:id="497"/>
      <w:bookmarkEnd w:id="498"/>
      <w:bookmarkEnd w:id="499"/>
    </w:p>
    <w:p w14:paraId="3992F7A5">
      <w:pPr>
        <w:ind w:firstLine="422" w:firstLineChars="201"/>
        <w:rPr>
          <w:rFonts w:ascii="宋体" w:hAnsi="宋体"/>
          <w:b/>
        </w:rPr>
      </w:pPr>
      <w:bookmarkStart w:id="500" w:name="_Toc9203"/>
      <w:bookmarkStart w:id="501" w:name="_Toc152042382"/>
      <w:bookmarkStart w:id="502" w:name="_Toc179632623"/>
      <w:bookmarkStart w:id="503" w:name="_Toc399596213"/>
      <w:bookmarkStart w:id="504" w:name="_Toc144974572"/>
      <w:bookmarkStart w:id="505" w:name="_Toc246996991"/>
      <w:bookmarkStart w:id="506" w:name="_Toc152045605"/>
      <w:bookmarkStart w:id="507" w:name="_Toc246996248"/>
      <w:bookmarkStart w:id="508" w:name="_Toc247085763"/>
      <w:r>
        <w:rPr>
          <w:rFonts w:hint="eastAsia" w:ascii="宋体" w:hAnsi="宋体"/>
          <w:b/>
        </w:rPr>
        <w:t>3.1 初步评审</w:t>
      </w:r>
      <w:bookmarkEnd w:id="500"/>
      <w:bookmarkEnd w:id="501"/>
      <w:bookmarkEnd w:id="502"/>
      <w:bookmarkEnd w:id="503"/>
      <w:bookmarkEnd w:id="504"/>
      <w:bookmarkEnd w:id="505"/>
      <w:bookmarkEnd w:id="506"/>
      <w:bookmarkEnd w:id="507"/>
      <w:bookmarkEnd w:id="508"/>
    </w:p>
    <w:p w14:paraId="5CFBB921">
      <w:pPr>
        <w:spacing w:line="400" w:lineRule="exact"/>
        <w:ind w:firstLine="420" w:firstLineChars="200"/>
        <w:rPr>
          <w:rFonts w:ascii="宋体" w:hAnsi="宋体"/>
        </w:rPr>
      </w:pPr>
      <w:r>
        <w:rPr>
          <w:rFonts w:hint="eastAsia" w:ascii="宋体" w:hAnsi="宋体"/>
        </w:rPr>
        <w:t>3.1.1评标委员会依据本章第2.1款规定的评审标准对投标文件进行初步评审。有一项不符合评审标准的，作无效标处理。</w:t>
      </w:r>
    </w:p>
    <w:p w14:paraId="5A5AE173">
      <w:pPr>
        <w:spacing w:line="400" w:lineRule="exact"/>
        <w:ind w:firstLine="420" w:firstLineChars="200"/>
        <w:rPr>
          <w:rFonts w:ascii="宋体" w:hAnsi="宋体"/>
        </w:rPr>
      </w:pPr>
      <w:r>
        <w:rPr>
          <w:rFonts w:hint="eastAsia" w:ascii="宋体" w:hAnsi="宋体"/>
        </w:rPr>
        <w:t>3.1.2 投标人有以下情形之一的，评标委员会应当否决其投标：</w:t>
      </w:r>
    </w:p>
    <w:p w14:paraId="1071D31E">
      <w:pPr>
        <w:spacing w:line="400" w:lineRule="exact"/>
        <w:ind w:firstLine="420" w:firstLineChars="200"/>
        <w:rPr>
          <w:rFonts w:ascii="宋体" w:hAnsi="宋体"/>
        </w:rPr>
      </w:pPr>
      <w:r>
        <w:rPr>
          <w:rFonts w:hint="eastAsia" w:ascii="宋体" w:hAnsi="宋体"/>
        </w:rPr>
        <w:t>（1）第二章“投标人须知”第1.4.2项、第1.4.3项规定的任何一种情形的；</w:t>
      </w:r>
    </w:p>
    <w:p w14:paraId="0F481116">
      <w:pPr>
        <w:spacing w:line="400" w:lineRule="exact"/>
        <w:ind w:firstLine="420" w:firstLineChars="200"/>
        <w:rPr>
          <w:rFonts w:ascii="宋体" w:hAnsi="宋体"/>
        </w:rPr>
      </w:pPr>
      <w:r>
        <w:rPr>
          <w:rFonts w:hint="eastAsia" w:ascii="宋体" w:hAnsi="宋体"/>
        </w:rPr>
        <w:t>（2）串通投标或弄虚作假或有其他违法行为的；</w:t>
      </w:r>
    </w:p>
    <w:p w14:paraId="7BBC003F">
      <w:pPr>
        <w:spacing w:line="400" w:lineRule="exact"/>
        <w:ind w:firstLine="420" w:firstLineChars="200"/>
        <w:rPr>
          <w:rFonts w:ascii="宋体" w:hAnsi="宋体"/>
        </w:rPr>
      </w:pPr>
      <w:r>
        <w:rPr>
          <w:rFonts w:hint="eastAsia" w:ascii="宋体" w:hAnsi="宋体"/>
        </w:rPr>
        <w:t>（3）不按评标委员会要求澄清、说明或补正的；</w:t>
      </w:r>
    </w:p>
    <w:p w14:paraId="733195CB">
      <w:pPr>
        <w:spacing w:line="400" w:lineRule="exact"/>
        <w:ind w:firstLine="420" w:firstLineChars="200"/>
      </w:pPr>
      <w:r>
        <w:rPr>
          <w:rFonts w:hint="eastAsia" w:ascii="宋体" w:hAnsi="宋体"/>
        </w:rPr>
        <w:t>（4）投标文件制作机器码一致的。</w:t>
      </w:r>
    </w:p>
    <w:p w14:paraId="47268593">
      <w:pPr>
        <w:spacing w:line="400" w:lineRule="exact"/>
        <w:ind w:firstLine="420" w:firstLineChars="200"/>
        <w:rPr>
          <w:rFonts w:ascii="宋体" w:hAnsi="宋体"/>
        </w:rPr>
      </w:pPr>
      <w:r>
        <w:rPr>
          <w:rFonts w:hint="eastAsia" w:ascii="宋体" w:hAnsi="宋体"/>
        </w:rPr>
        <w:t>3.1.3投标报价有算术错误的，评标委员会按以下原则对投标报价进行修正，修正的价格经投标人书面确认后具有约束力。投标人不接受修正价格的，评标委员会应当否决其投标。</w:t>
      </w:r>
      <w:bookmarkStart w:id="509" w:name="_Toc152042383"/>
    </w:p>
    <w:p w14:paraId="2F49BE2C">
      <w:pPr>
        <w:spacing w:line="400" w:lineRule="exact"/>
        <w:ind w:firstLine="420" w:firstLineChars="200"/>
        <w:rPr>
          <w:rFonts w:ascii="宋体" w:hAnsi="宋体"/>
        </w:rPr>
      </w:pPr>
      <w:r>
        <w:rPr>
          <w:rFonts w:hint="eastAsia" w:ascii="宋体" w:hAnsi="宋体"/>
        </w:rPr>
        <w:t>（1）投标文件中的大写金额与小写金额不一致的，以大写金额为准；</w:t>
      </w:r>
      <w:bookmarkEnd w:id="509"/>
    </w:p>
    <w:p w14:paraId="35CC46D7">
      <w:pPr>
        <w:spacing w:line="400" w:lineRule="exact"/>
        <w:ind w:firstLine="420" w:firstLineChars="200"/>
        <w:rPr>
          <w:rFonts w:ascii="宋体" w:hAnsi="宋体"/>
        </w:rPr>
      </w:pPr>
      <w:r>
        <w:rPr>
          <w:rFonts w:hint="eastAsia" w:ascii="宋体" w:hAnsi="宋体"/>
        </w:rPr>
        <w:t>（2）总价金额与依据单价计算出的结果不一致的，以单价金额为准修正总价，但单价金额小数点有明显错误的除外。</w:t>
      </w:r>
    </w:p>
    <w:p w14:paraId="5BE37B06">
      <w:pPr>
        <w:ind w:firstLine="422" w:firstLineChars="201"/>
        <w:rPr>
          <w:rFonts w:ascii="宋体" w:hAnsi="宋体"/>
          <w:b/>
        </w:rPr>
      </w:pPr>
      <w:bookmarkStart w:id="510" w:name="_Toc247085764"/>
      <w:bookmarkStart w:id="511" w:name="_Toc152042384"/>
      <w:bookmarkStart w:id="512" w:name="_Toc16661"/>
      <w:bookmarkStart w:id="513" w:name="_Toc144974573"/>
      <w:bookmarkStart w:id="514" w:name="_Toc399596214"/>
      <w:bookmarkStart w:id="515" w:name="_Toc152045606"/>
      <w:bookmarkStart w:id="516" w:name="_Toc179632624"/>
      <w:bookmarkStart w:id="517" w:name="_Toc246996249"/>
      <w:bookmarkStart w:id="518" w:name="_Toc246996992"/>
      <w:r>
        <w:rPr>
          <w:rFonts w:hint="eastAsia" w:ascii="宋体" w:hAnsi="宋体"/>
          <w:b/>
        </w:rPr>
        <w:t>3.2 详细评审</w:t>
      </w:r>
      <w:bookmarkEnd w:id="510"/>
      <w:bookmarkEnd w:id="511"/>
      <w:bookmarkEnd w:id="512"/>
      <w:bookmarkEnd w:id="513"/>
      <w:bookmarkEnd w:id="514"/>
      <w:bookmarkEnd w:id="515"/>
      <w:bookmarkEnd w:id="516"/>
      <w:bookmarkEnd w:id="517"/>
      <w:bookmarkEnd w:id="518"/>
    </w:p>
    <w:p w14:paraId="29B15416">
      <w:pPr>
        <w:spacing w:line="400" w:lineRule="exact"/>
        <w:ind w:firstLine="420" w:firstLineChars="200"/>
        <w:rPr>
          <w:rFonts w:ascii="宋体" w:hAnsi="宋体"/>
        </w:rPr>
      </w:pPr>
      <w:r>
        <w:rPr>
          <w:rFonts w:hint="eastAsia" w:ascii="宋体" w:hAnsi="宋体"/>
        </w:rPr>
        <w:t>3.2.1 评标委员会按本章第2.2款规定的量化因素和分值进行打分，并计算出综合评估得分。</w:t>
      </w:r>
    </w:p>
    <w:p w14:paraId="4FD6FE50">
      <w:pPr>
        <w:spacing w:line="400" w:lineRule="exact"/>
        <w:ind w:firstLine="420" w:firstLineChars="200"/>
        <w:rPr>
          <w:rFonts w:ascii="宋体" w:hAnsi="宋体"/>
        </w:rPr>
      </w:pPr>
      <w:r>
        <w:rPr>
          <w:rFonts w:hint="eastAsia" w:ascii="宋体" w:hAnsi="宋体"/>
        </w:rPr>
        <w:t>（1）按本章第2.2.4（1）目规定的评审因素和分值对投标报价计算出得分A；</w:t>
      </w:r>
    </w:p>
    <w:p w14:paraId="70C1FE30">
      <w:pPr>
        <w:spacing w:line="400" w:lineRule="exact"/>
        <w:ind w:firstLine="420" w:firstLineChars="200"/>
        <w:rPr>
          <w:rFonts w:ascii="宋体" w:hAnsi="宋体"/>
        </w:rPr>
      </w:pPr>
      <w:r>
        <w:rPr>
          <w:rFonts w:hint="eastAsia" w:ascii="宋体" w:hAnsi="宋体"/>
        </w:rPr>
        <w:t>（2）按本章第2.2.4（2）目规定的评审因素和分值对监理大纲计算出得分B；</w:t>
      </w:r>
    </w:p>
    <w:p w14:paraId="50564EC9">
      <w:pPr>
        <w:spacing w:line="400" w:lineRule="exact"/>
        <w:ind w:firstLine="420" w:firstLineChars="200"/>
        <w:rPr>
          <w:rFonts w:ascii="宋体" w:hAnsi="宋体"/>
        </w:rPr>
      </w:pPr>
      <w:r>
        <w:rPr>
          <w:rFonts w:hint="eastAsia" w:ascii="宋体" w:hAnsi="宋体"/>
        </w:rPr>
        <w:t>（3）按本章第2.2.4（3）目规定的评审因素和分值对项目管理机构计算出得分C；</w:t>
      </w:r>
    </w:p>
    <w:p w14:paraId="5A302D1D">
      <w:pPr>
        <w:spacing w:line="400" w:lineRule="exact"/>
        <w:ind w:firstLine="420" w:firstLineChars="200"/>
        <w:rPr>
          <w:rFonts w:ascii="宋体" w:hAnsi="宋体"/>
        </w:rPr>
      </w:pPr>
      <w:r>
        <w:rPr>
          <w:rFonts w:hint="eastAsia" w:ascii="宋体" w:hAnsi="宋体"/>
        </w:rPr>
        <w:t>（4）按本章第2.2.4（4）目规定的评审因素和分值对企业综合实力计算出得分D。</w:t>
      </w:r>
    </w:p>
    <w:p w14:paraId="7658E8C6">
      <w:pPr>
        <w:spacing w:line="400" w:lineRule="exact"/>
        <w:ind w:firstLine="420" w:firstLineChars="200"/>
        <w:rPr>
          <w:rFonts w:ascii="宋体" w:hAnsi="宋体"/>
        </w:rPr>
      </w:pPr>
      <w:r>
        <w:rPr>
          <w:rFonts w:hint="eastAsia" w:ascii="宋体" w:hAnsi="宋体"/>
        </w:rPr>
        <w:t>3.2.2 评分分值计算保留小数点后两位，小数点后第三位“四舍五入”。</w:t>
      </w:r>
    </w:p>
    <w:p w14:paraId="232A0136">
      <w:pPr>
        <w:spacing w:line="400" w:lineRule="exact"/>
        <w:ind w:firstLine="420" w:firstLineChars="200"/>
        <w:rPr>
          <w:rFonts w:ascii="宋体" w:hAnsi="宋体"/>
        </w:rPr>
      </w:pPr>
      <w:r>
        <w:rPr>
          <w:rFonts w:hint="eastAsia" w:ascii="宋体" w:hAnsi="宋体"/>
        </w:rPr>
        <w:t>3.2.3 投标人得分=A+B+C+D。</w:t>
      </w:r>
    </w:p>
    <w:p w14:paraId="2E8E100E">
      <w:pPr>
        <w:spacing w:line="400" w:lineRule="exact"/>
        <w:ind w:firstLine="420" w:firstLineChars="200"/>
        <w:rPr>
          <w:rFonts w:ascii="宋体" w:hAnsi="宋体"/>
        </w:rPr>
      </w:pPr>
      <w:r>
        <w:rPr>
          <w:rFonts w:hint="eastAsia" w:ascii="宋体" w:hAnsi="宋体"/>
        </w:rPr>
        <w:t>3.2.4 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1CDFA451">
      <w:pPr>
        <w:ind w:firstLine="422" w:firstLineChars="201"/>
        <w:rPr>
          <w:rFonts w:ascii="宋体" w:hAnsi="宋体"/>
          <w:b/>
        </w:rPr>
      </w:pPr>
      <w:bookmarkStart w:id="519" w:name="_Toc144974575"/>
      <w:bookmarkStart w:id="520" w:name="_Toc247085765"/>
      <w:bookmarkStart w:id="521" w:name="_Toc399596215"/>
      <w:bookmarkStart w:id="522" w:name="_Toc246996993"/>
      <w:bookmarkStart w:id="523" w:name="_Toc179632625"/>
      <w:bookmarkStart w:id="524" w:name="_Toc152045607"/>
      <w:bookmarkStart w:id="525" w:name="_Toc14604"/>
      <w:bookmarkStart w:id="526" w:name="_Toc246996250"/>
      <w:bookmarkStart w:id="527" w:name="_Toc152042385"/>
      <w:r>
        <w:rPr>
          <w:rFonts w:hint="eastAsia" w:ascii="宋体" w:hAnsi="宋体"/>
          <w:b/>
        </w:rPr>
        <w:t>3.3 投标文件的澄清</w:t>
      </w:r>
      <w:bookmarkEnd w:id="519"/>
      <w:r>
        <w:rPr>
          <w:rFonts w:hint="eastAsia" w:ascii="宋体" w:hAnsi="宋体"/>
          <w:b/>
        </w:rPr>
        <w:t>和补正</w:t>
      </w:r>
      <w:bookmarkEnd w:id="520"/>
      <w:bookmarkEnd w:id="521"/>
      <w:bookmarkEnd w:id="522"/>
      <w:bookmarkEnd w:id="523"/>
      <w:bookmarkEnd w:id="524"/>
      <w:bookmarkEnd w:id="525"/>
      <w:bookmarkEnd w:id="526"/>
      <w:bookmarkEnd w:id="527"/>
    </w:p>
    <w:p w14:paraId="651DE55D">
      <w:pPr>
        <w:spacing w:line="400" w:lineRule="exact"/>
        <w:ind w:firstLine="420" w:firstLineChars="200"/>
        <w:rPr>
          <w:rFonts w:ascii="宋体" w:hAnsi="宋体"/>
        </w:rPr>
      </w:pPr>
      <w:r>
        <w:rPr>
          <w:rFonts w:hint="eastAsia" w:ascii="宋体" w:hAnsi="宋体"/>
        </w:rPr>
        <w:t>3.3.1在评标过程中，评标委员会可以书面形式要求投标人对所提交投标文件中不明确的内容进行书面澄清或说明，或者对细微偏差进行补正。评标委员会不接受投标人主动提出的澄清、说明或补正。</w:t>
      </w:r>
    </w:p>
    <w:p w14:paraId="13BEC2EA">
      <w:pPr>
        <w:spacing w:line="400" w:lineRule="exact"/>
        <w:ind w:firstLine="420" w:firstLineChars="200"/>
        <w:rPr>
          <w:rFonts w:ascii="宋体" w:hAnsi="宋体"/>
        </w:rPr>
      </w:pPr>
      <w:r>
        <w:rPr>
          <w:rFonts w:hint="eastAsia" w:ascii="宋体" w:hAnsi="宋体"/>
        </w:rPr>
        <w:t>3.3.2 澄清、说明和补正不得改变投标文件的实质性内容。投标人的书面澄清、说明和补正属于投标文件的组成部分。</w:t>
      </w:r>
    </w:p>
    <w:p w14:paraId="3B410962">
      <w:pPr>
        <w:spacing w:line="400" w:lineRule="exact"/>
        <w:ind w:firstLine="420"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14:paraId="233F8A74">
      <w:pPr>
        <w:ind w:firstLine="422" w:firstLineChars="201"/>
        <w:rPr>
          <w:rFonts w:ascii="宋体" w:hAnsi="宋体"/>
          <w:b/>
        </w:rPr>
      </w:pPr>
      <w:bookmarkStart w:id="528" w:name="_Toc144974576"/>
      <w:bookmarkStart w:id="529" w:name="_Toc246996994"/>
      <w:bookmarkStart w:id="530" w:name="_Toc31999"/>
      <w:bookmarkStart w:id="531" w:name="_Toc247085766"/>
      <w:bookmarkStart w:id="532" w:name="_Toc152042386"/>
      <w:bookmarkStart w:id="533" w:name="_Toc152045608"/>
      <w:bookmarkStart w:id="534" w:name="_Toc179632626"/>
      <w:bookmarkStart w:id="535" w:name="_Toc399596216"/>
      <w:bookmarkStart w:id="536" w:name="_Toc246996251"/>
      <w:r>
        <w:rPr>
          <w:rFonts w:hint="eastAsia" w:ascii="宋体" w:hAnsi="宋体"/>
          <w:b/>
        </w:rPr>
        <w:t>3.4 评标结果</w:t>
      </w:r>
      <w:bookmarkEnd w:id="528"/>
      <w:bookmarkEnd w:id="529"/>
      <w:bookmarkEnd w:id="530"/>
      <w:bookmarkEnd w:id="531"/>
      <w:bookmarkEnd w:id="532"/>
      <w:bookmarkEnd w:id="533"/>
      <w:bookmarkEnd w:id="534"/>
      <w:bookmarkEnd w:id="535"/>
      <w:bookmarkEnd w:id="536"/>
    </w:p>
    <w:p w14:paraId="51B505CB">
      <w:pPr>
        <w:spacing w:line="400" w:lineRule="exact"/>
        <w:ind w:firstLine="420" w:firstLineChars="200"/>
        <w:rPr>
          <w:rFonts w:ascii="宋体" w:hAnsi="宋体"/>
        </w:rPr>
      </w:pPr>
      <w:r>
        <w:rPr>
          <w:rFonts w:hint="eastAsia" w:ascii="宋体" w:hAnsi="宋体"/>
        </w:rPr>
        <w:t>3.4.1除第二章“投标人须知”前附表授权直接确定中标人外，评标委员会按照得分高到低的顺序推荐中标候选人。若通过初步评审或详细评审后的投标人少于3家时，评标委员会认为其具有明显竞争性的，则按优先排序推荐为中标候选人。</w:t>
      </w:r>
    </w:p>
    <w:p w14:paraId="0BC6B3F9">
      <w:pPr>
        <w:spacing w:line="400" w:lineRule="exact"/>
        <w:ind w:firstLine="420" w:firstLineChars="200"/>
        <w:rPr>
          <w:rFonts w:ascii="宋体" w:hAnsi="宋体"/>
        </w:rPr>
      </w:pPr>
      <w:r>
        <w:rPr>
          <w:rFonts w:hint="eastAsia" w:ascii="宋体" w:hAnsi="宋体"/>
        </w:rPr>
        <w:t>3.4.2 评标委员会完成评标后，应当向招标人提交书面评标报告。</w:t>
      </w:r>
    </w:p>
    <w:p w14:paraId="1761A142">
      <w:pPr>
        <w:adjustRightInd w:val="0"/>
        <w:snapToGrid w:val="0"/>
        <w:spacing w:before="312" w:beforeLines="100" w:after="312" w:afterLines="100" w:line="440" w:lineRule="exact"/>
        <w:jc w:val="left"/>
        <w:rPr>
          <w:rFonts w:ascii="黑体" w:hAnsi="宋体" w:eastAsia="黑体"/>
          <w:sz w:val="28"/>
          <w:szCs w:val="28"/>
        </w:rPr>
      </w:pPr>
      <w:bookmarkStart w:id="537" w:name="_Toc246996252"/>
      <w:bookmarkStart w:id="538" w:name="_Toc246996995"/>
      <w:bookmarkStart w:id="539" w:name="_Toc152042387"/>
      <w:bookmarkStart w:id="540" w:name="_Toc152045609"/>
      <w:bookmarkStart w:id="541" w:name="_Toc8145"/>
      <w:bookmarkStart w:id="542" w:name="_Toc247085767"/>
      <w:bookmarkStart w:id="543" w:name="_Toc179632627"/>
      <w:bookmarkStart w:id="544" w:name="_Toc399596217"/>
      <w:bookmarkStart w:id="545" w:name="_Toc144974577"/>
      <w:r>
        <w:rPr>
          <w:rFonts w:hint="eastAsia" w:ascii="黑体" w:hAnsi="黑体" w:eastAsia="黑体"/>
          <w:sz w:val="28"/>
          <w:szCs w:val="28"/>
        </w:rPr>
        <w:t>附件</w:t>
      </w:r>
      <w:r>
        <w:rPr>
          <w:rFonts w:hint="eastAsia" w:ascii="黑体" w:hAnsi="宋体" w:eastAsia="黑体"/>
          <w:sz w:val="28"/>
          <w:szCs w:val="28"/>
        </w:rPr>
        <w:t>B：废标条件</w:t>
      </w:r>
    </w:p>
    <w:p w14:paraId="719D544F">
      <w:pPr>
        <w:adjustRightInd w:val="0"/>
        <w:snapToGrid w:val="0"/>
        <w:spacing w:line="440" w:lineRule="exact"/>
        <w:rPr>
          <w:rFonts w:ascii="宋体" w:hAnsi="宋体"/>
          <w:b/>
          <w:bCs/>
          <w:szCs w:val="21"/>
        </w:rPr>
      </w:pPr>
      <w:r>
        <w:rPr>
          <w:b/>
          <w:bCs/>
        </w:rPr>
        <w:t>B0</w:t>
      </w:r>
      <w:r>
        <w:rPr>
          <w:rFonts w:hint="eastAsia" w:ascii="宋体" w:hAnsi="宋体"/>
          <w:b/>
          <w:bCs/>
        </w:rPr>
        <w:t>.总  则</w:t>
      </w:r>
    </w:p>
    <w:p w14:paraId="3ACBF3A5">
      <w:pPr>
        <w:adjustRightInd w:val="0"/>
        <w:snapToGrid w:val="0"/>
        <w:spacing w:line="440" w:lineRule="exact"/>
        <w:ind w:firstLine="420" w:firstLineChars="200"/>
        <w:rPr>
          <w:rFonts w:ascii="宋体" w:hAnsi="宋体"/>
        </w:rPr>
      </w:pPr>
      <w:r>
        <w:rPr>
          <w:rFonts w:hint="eastAsia" w:ascii="宋体" w:hAnsi="宋体"/>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7CDE1660">
      <w:pPr>
        <w:adjustRightInd w:val="0"/>
        <w:snapToGrid w:val="0"/>
        <w:spacing w:line="440" w:lineRule="exact"/>
        <w:rPr>
          <w:b/>
          <w:bCs/>
        </w:rPr>
      </w:pPr>
      <w:r>
        <w:rPr>
          <w:b/>
          <w:bCs/>
        </w:rPr>
        <w:t>B</w:t>
      </w:r>
      <w:r>
        <w:rPr>
          <w:rFonts w:hint="eastAsia"/>
          <w:b/>
          <w:bCs/>
        </w:rPr>
        <w:t>1</w:t>
      </w:r>
      <w:r>
        <w:rPr>
          <w:rFonts w:ascii="宋体" w:hAnsi="宋体"/>
          <w:b/>
          <w:bCs/>
        </w:rPr>
        <w:t>．废标条件</w:t>
      </w:r>
    </w:p>
    <w:p w14:paraId="13D7A435">
      <w:pPr>
        <w:adjustRightInd w:val="0"/>
        <w:snapToGrid w:val="0"/>
        <w:spacing w:line="440" w:lineRule="exact"/>
        <w:ind w:firstLine="420" w:firstLineChars="200"/>
        <w:rPr>
          <w:rFonts w:ascii="宋体" w:hAnsi="宋体"/>
        </w:rPr>
      </w:pPr>
      <w:r>
        <w:rPr>
          <w:rFonts w:hint="eastAsia" w:ascii="宋体" w:hAnsi="宋体"/>
        </w:rPr>
        <w:t>投标人或其投标文件有下列情形之一的，其投标作废标处理：</w:t>
      </w:r>
    </w:p>
    <w:p w14:paraId="0C335B43">
      <w:pPr>
        <w:adjustRightInd w:val="0"/>
        <w:snapToGrid w:val="0"/>
        <w:spacing w:line="440" w:lineRule="exact"/>
        <w:ind w:firstLine="420" w:firstLineChars="200"/>
        <w:rPr>
          <w:rFonts w:ascii="宋体" w:hAnsi="宋体"/>
        </w:rPr>
      </w:pPr>
      <w:r>
        <w:rPr>
          <w:rFonts w:hint="eastAsia" w:ascii="宋体" w:hAnsi="宋体"/>
          <w:b/>
          <w:bCs/>
        </w:rPr>
        <w:t>B1.1</w:t>
      </w:r>
      <w:r>
        <w:rPr>
          <w:rFonts w:hint="eastAsia" w:ascii="宋体" w:hAnsi="宋体"/>
        </w:rPr>
        <w:t xml:space="preserve">  第二章“投标人须知”第1.4.2项、第1.4.3项规定的任何一种情形的。</w:t>
      </w:r>
    </w:p>
    <w:p w14:paraId="3565B933">
      <w:pPr>
        <w:adjustRightInd w:val="0"/>
        <w:snapToGrid w:val="0"/>
        <w:spacing w:line="440" w:lineRule="exact"/>
        <w:ind w:firstLine="420" w:firstLineChars="200"/>
        <w:rPr>
          <w:rFonts w:ascii="宋体" w:hAnsi="宋体"/>
        </w:rPr>
      </w:pPr>
      <w:r>
        <w:rPr>
          <w:rFonts w:hint="eastAsia" w:ascii="宋体" w:hAnsi="宋体"/>
          <w:b/>
          <w:bCs/>
        </w:rPr>
        <w:t>B1.2</w:t>
      </w:r>
      <w:r>
        <w:rPr>
          <w:rFonts w:hint="eastAsia" w:ascii="宋体" w:hAnsi="宋体"/>
        </w:rPr>
        <w:t xml:space="preserve">  有串通投标或弄虚作假或有其他违法行为的。</w:t>
      </w:r>
    </w:p>
    <w:p w14:paraId="739577E0">
      <w:pPr>
        <w:adjustRightInd w:val="0"/>
        <w:snapToGrid w:val="0"/>
        <w:spacing w:line="440" w:lineRule="exact"/>
        <w:ind w:firstLine="420" w:firstLineChars="200"/>
      </w:pPr>
      <w:r>
        <w:rPr>
          <w:rFonts w:hint="eastAsia" w:ascii="宋体" w:hAnsi="宋体"/>
          <w:b/>
          <w:bCs/>
        </w:rPr>
        <w:t>B</w:t>
      </w:r>
      <w:r>
        <w:rPr>
          <w:rFonts w:ascii="宋体" w:hAnsi="宋体"/>
          <w:b/>
          <w:bCs/>
        </w:rPr>
        <w:t>1.3</w:t>
      </w:r>
      <w:r>
        <w:rPr>
          <w:rFonts w:hint="eastAsia" w:ascii="宋体" w:hAnsi="宋体"/>
          <w:b/>
        </w:rPr>
        <w:t>投标文件制作机器码一致的</w:t>
      </w:r>
      <w:r>
        <w:rPr>
          <w:rFonts w:hint="eastAsia" w:ascii="宋体" w:hAnsi="宋体"/>
        </w:rPr>
        <w:t>。</w:t>
      </w:r>
    </w:p>
    <w:p w14:paraId="0ACE9FA3">
      <w:pPr>
        <w:adjustRightInd w:val="0"/>
        <w:snapToGrid w:val="0"/>
        <w:spacing w:line="440" w:lineRule="exact"/>
        <w:ind w:firstLine="420" w:firstLineChars="200"/>
      </w:pPr>
      <w:r>
        <w:rPr>
          <w:rFonts w:hint="eastAsia" w:ascii="宋体" w:hAnsi="宋体"/>
          <w:b/>
          <w:bCs/>
        </w:rPr>
        <w:t>B1.4</w:t>
      </w:r>
      <w:r>
        <w:rPr>
          <w:rFonts w:hint="eastAsia" w:ascii="宋体" w:hAnsi="宋体"/>
        </w:rPr>
        <w:t xml:space="preserve">  在形式评审、资格评审(适用于未进行资格预审的)、响应性评审中，评标委员会认定投标人的投标不符合评标办法前附表中规定的评审标准的。</w:t>
      </w:r>
    </w:p>
    <w:p w14:paraId="5AECED93">
      <w:pPr>
        <w:pStyle w:val="64"/>
        <w:rPr>
          <w:color w:val="auto"/>
        </w:rPr>
        <w:sectPr>
          <w:pgSz w:w="11906" w:h="16838"/>
          <w:pgMar w:top="1440" w:right="1247" w:bottom="1440" w:left="1701" w:header="1077" w:footer="1021" w:gutter="0"/>
          <w:cols w:space="720" w:num="1"/>
          <w:docGrid w:type="linesAndChars" w:linePitch="312" w:charSpace="0"/>
        </w:sectPr>
      </w:pPr>
    </w:p>
    <w:p w14:paraId="6086AE32">
      <w:pPr>
        <w:pStyle w:val="3"/>
        <w:numPr>
          <w:ilvl w:val="0"/>
          <w:numId w:val="4"/>
        </w:numPr>
        <w:spacing w:line="240" w:lineRule="auto"/>
        <w:jc w:val="center"/>
        <w:rPr>
          <w:rFonts w:ascii="宋体" w:hAnsi="宋体"/>
          <w:sz w:val="32"/>
          <w:szCs w:val="32"/>
        </w:rPr>
      </w:pPr>
      <w:bookmarkStart w:id="546" w:name="_Toc14579"/>
      <w:bookmarkStart w:id="547" w:name="_Toc167311826"/>
      <w:r>
        <w:rPr>
          <w:rFonts w:hint="eastAsia" w:ascii="宋体" w:hAnsi="宋体"/>
          <w:sz w:val="32"/>
          <w:szCs w:val="32"/>
        </w:rPr>
        <w:t>合同条款及格式</w:t>
      </w:r>
      <w:bookmarkEnd w:id="537"/>
      <w:bookmarkEnd w:id="538"/>
      <w:bookmarkEnd w:id="539"/>
      <w:bookmarkEnd w:id="540"/>
      <w:bookmarkEnd w:id="541"/>
      <w:bookmarkEnd w:id="542"/>
      <w:bookmarkEnd w:id="543"/>
      <w:bookmarkEnd w:id="544"/>
      <w:bookmarkEnd w:id="545"/>
      <w:bookmarkEnd w:id="546"/>
      <w:bookmarkEnd w:id="547"/>
    </w:p>
    <w:p w14:paraId="262109F0">
      <w:pPr>
        <w:pStyle w:val="2"/>
        <w:spacing w:before="37"/>
        <w:ind w:right="108"/>
        <w:jc w:val="left"/>
        <w:rPr>
          <w:b/>
          <w:sz w:val="18"/>
        </w:rPr>
      </w:pPr>
      <w:r>
        <w:rPr>
          <w:b/>
        </w:rPr>
        <w:t>说明：</w:t>
      </w:r>
    </w:p>
    <w:p w14:paraId="50FF57C3">
      <w:pPr>
        <w:pStyle w:val="2"/>
        <w:ind w:left="520" w:right="21"/>
      </w:pPr>
      <w:r>
        <w:rPr>
          <w:spacing w:val="11"/>
        </w:rPr>
        <w:t>房屋</w:t>
      </w:r>
      <w:r>
        <w:rPr>
          <w:spacing w:val="9"/>
        </w:rPr>
        <w:t>建</w:t>
      </w:r>
      <w:r>
        <w:rPr>
          <w:spacing w:val="11"/>
        </w:rPr>
        <w:t>筑</w:t>
      </w:r>
      <w:r>
        <w:rPr>
          <w:spacing w:val="9"/>
        </w:rPr>
        <w:t>和</w:t>
      </w:r>
      <w:r>
        <w:rPr>
          <w:spacing w:val="11"/>
        </w:rPr>
        <w:t>市政</w:t>
      </w:r>
      <w:r>
        <w:rPr>
          <w:spacing w:val="9"/>
        </w:rPr>
        <w:t>工</w:t>
      </w:r>
      <w:r>
        <w:rPr>
          <w:spacing w:val="14"/>
        </w:rPr>
        <w:t>程</w:t>
      </w:r>
      <w:r>
        <w:rPr>
          <w:spacing w:val="9"/>
        </w:rPr>
        <w:t>等工</w:t>
      </w:r>
      <w:r>
        <w:rPr>
          <w:spacing w:val="11"/>
        </w:rPr>
        <w:t>程监</w:t>
      </w:r>
      <w:r>
        <w:rPr>
          <w:spacing w:val="9"/>
        </w:rPr>
        <w:t>理</w:t>
      </w:r>
      <w:r>
        <w:rPr>
          <w:spacing w:val="11"/>
        </w:rPr>
        <w:t>项</w:t>
      </w:r>
      <w:r>
        <w:rPr>
          <w:spacing w:val="9"/>
        </w:rPr>
        <w:t>目</w:t>
      </w:r>
      <w:r>
        <w:rPr>
          <w:spacing w:val="11"/>
        </w:rPr>
        <w:t>招标</w:t>
      </w:r>
      <w:r>
        <w:rPr>
          <w:spacing w:val="9"/>
        </w:rPr>
        <w:t>可</w:t>
      </w:r>
      <w:r>
        <w:rPr>
          <w:spacing w:val="11"/>
        </w:rPr>
        <w:t>以</w:t>
      </w:r>
      <w:r>
        <w:rPr>
          <w:spacing w:val="9"/>
        </w:rPr>
        <w:t>使用</w:t>
      </w:r>
      <w:r>
        <w:rPr>
          <w:spacing w:val="11"/>
        </w:rPr>
        <w:t>《建</w:t>
      </w:r>
      <w:r>
        <w:rPr>
          <w:spacing w:val="9"/>
        </w:rPr>
        <w:t>设</w:t>
      </w:r>
      <w:r>
        <w:rPr>
          <w:spacing w:val="11"/>
        </w:rPr>
        <w:t>工</w:t>
      </w:r>
      <w:r>
        <w:rPr>
          <w:spacing w:val="9"/>
        </w:rPr>
        <w:t>程</w:t>
      </w:r>
      <w:r>
        <w:rPr>
          <w:spacing w:val="11"/>
        </w:rPr>
        <w:t>监理</w:t>
      </w:r>
      <w:r>
        <w:rPr>
          <w:spacing w:val="9"/>
        </w:rPr>
        <w:t>合</w:t>
      </w:r>
      <w:r>
        <w:rPr>
          <w:spacing w:val="11"/>
        </w:rPr>
        <w:t>同</w:t>
      </w:r>
      <w:r>
        <w:rPr>
          <w:spacing w:val="9"/>
        </w:rPr>
        <w:t>（示</w:t>
      </w:r>
      <w:r>
        <w:rPr>
          <w:spacing w:val="11"/>
        </w:rPr>
        <w:t>范文本</w:t>
      </w:r>
      <w:r>
        <w:rPr>
          <w:spacing w:val="-97"/>
        </w:rPr>
        <w:t>）</w:t>
      </w:r>
      <w:r>
        <w:t>》</w:t>
      </w:r>
    </w:p>
    <w:p w14:paraId="466331C1">
      <w:pPr>
        <w:pStyle w:val="2"/>
        <w:spacing w:before="123"/>
        <w:ind w:left="100" w:right="108"/>
      </w:pPr>
      <w:r>
        <w:rPr>
          <w:spacing w:val="-1"/>
        </w:rPr>
        <w:t>（</w:t>
      </w:r>
      <w:r>
        <w:rPr>
          <w:rFonts w:eastAsia="Times New Roman"/>
          <w:spacing w:val="1"/>
        </w:rPr>
        <w:t>G</w:t>
      </w:r>
      <w:r>
        <w:rPr>
          <w:rFonts w:eastAsia="Times New Roman"/>
          <w:spacing w:val="-3"/>
        </w:rPr>
        <w:t>F</w:t>
      </w:r>
      <w:r>
        <w:rPr>
          <w:rFonts w:eastAsia="Times New Roman"/>
          <w:spacing w:val="-4"/>
        </w:rPr>
        <w:t>-</w:t>
      </w:r>
      <w:r>
        <w:rPr>
          <w:rFonts w:eastAsia="Times New Roman"/>
        </w:rPr>
        <w:t>2012</w:t>
      </w:r>
      <w:r>
        <w:rPr>
          <w:rFonts w:eastAsia="Times New Roman"/>
          <w:spacing w:val="-4"/>
        </w:rPr>
        <w:t>-</w:t>
      </w:r>
      <w:r>
        <w:rPr>
          <w:rFonts w:eastAsia="Times New Roman"/>
        </w:rPr>
        <w:t>0202</w:t>
      </w:r>
      <w:r>
        <w:rPr>
          <w:spacing w:val="-106"/>
        </w:rPr>
        <w:t>）。</w:t>
      </w:r>
    </w:p>
    <w:p w14:paraId="38EC9F10">
      <w:pPr>
        <w:sectPr>
          <w:pgSz w:w="12240" w:h="15840"/>
          <w:pgMar w:top="720" w:right="1134" w:bottom="720" w:left="1134" w:header="1077" w:footer="1021" w:gutter="0"/>
          <w:cols w:space="720" w:num="1"/>
          <w:docGrid w:linePitch="286" w:charSpace="0"/>
        </w:sectPr>
      </w:pPr>
    </w:p>
    <w:p w14:paraId="01DA4DCC">
      <w:pPr>
        <w:jc w:val="center"/>
        <w:rPr>
          <w:b/>
          <w:sz w:val="28"/>
          <w:szCs w:val="28"/>
        </w:rPr>
      </w:pPr>
      <w:bookmarkStart w:id="548" w:name="_bookmark94"/>
      <w:bookmarkEnd w:id="548"/>
      <w:bookmarkStart w:id="549" w:name="_Toc84236919"/>
      <w:r>
        <w:rPr>
          <w:b/>
          <w:sz w:val="28"/>
          <w:szCs w:val="28"/>
        </w:rPr>
        <w:t>第一节</w:t>
      </w:r>
      <w:r>
        <w:rPr>
          <w:rFonts w:hint="eastAsia"/>
          <w:b/>
          <w:sz w:val="28"/>
          <w:szCs w:val="28"/>
        </w:rPr>
        <w:t xml:space="preserve">  </w:t>
      </w:r>
      <w:r>
        <w:rPr>
          <w:b/>
          <w:sz w:val="28"/>
          <w:szCs w:val="28"/>
        </w:rPr>
        <w:t>通用合同条款</w:t>
      </w:r>
      <w:bookmarkEnd w:id="549"/>
    </w:p>
    <w:p w14:paraId="4E0684DA">
      <w:pPr>
        <w:pStyle w:val="2"/>
        <w:spacing w:before="11"/>
        <w:rPr>
          <w:rFonts w:ascii="宋体" w:hAnsi="宋体"/>
          <w:b/>
          <w:szCs w:val="21"/>
        </w:rPr>
      </w:pPr>
    </w:p>
    <w:p w14:paraId="276BB7D5">
      <w:pPr>
        <w:rPr>
          <w:rFonts w:ascii="宋体" w:hAnsi="宋体"/>
          <w:b/>
        </w:rPr>
      </w:pPr>
      <w:bookmarkStart w:id="550" w:name="_bookmark95"/>
      <w:bookmarkEnd w:id="550"/>
      <w:bookmarkStart w:id="551" w:name="_Toc84236920"/>
      <w:r>
        <w:rPr>
          <w:rFonts w:ascii="宋体" w:hAnsi="宋体"/>
          <w:b/>
        </w:rPr>
        <w:t>1.  一般约定</w:t>
      </w:r>
      <w:bookmarkEnd w:id="551"/>
    </w:p>
    <w:p w14:paraId="370E3F59">
      <w:pPr>
        <w:pStyle w:val="2"/>
        <w:rPr>
          <w:rFonts w:ascii="宋体" w:hAnsi="宋体"/>
          <w:b/>
          <w:szCs w:val="21"/>
        </w:rPr>
      </w:pPr>
    </w:p>
    <w:p w14:paraId="208D89E3">
      <w:pPr>
        <w:pStyle w:val="269"/>
        <w:ind w:right="108"/>
        <w:rPr>
          <w:sz w:val="21"/>
          <w:szCs w:val="21"/>
          <w:lang w:eastAsia="zh-CN"/>
        </w:rPr>
      </w:pPr>
      <w:bookmarkStart w:id="552" w:name="_bookmark96"/>
      <w:bookmarkEnd w:id="552"/>
      <w:r>
        <w:rPr>
          <w:sz w:val="21"/>
          <w:szCs w:val="21"/>
          <w:lang w:eastAsia="zh-CN"/>
        </w:rPr>
        <w:t>1.1  词语定义</w:t>
      </w:r>
    </w:p>
    <w:p w14:paraId="1E4E66A9">
      <w:pPr>
        <w:pStyle w:val="2"/>
        <w:spacing w:before="248"/>
        <w:ind w:left="520" w:right="108"/>
        <w:rPr>
          <w:rFonts w:ascii="宋体" w:hAnsi="宋体"/>
          <w:szCs w:val="21"/>
        </w:rPr>
      </w:pPr>
      <w:r>
        <w:rPr>
          <w:rFonts w:ascii="宋体" w:hAnsi="宋体"/>
          <w:szCs w:val="21"/>
        </w:rPr>
        <w:t>通用合同条款、专用合同条款中的下列词语应具有本款所赋予的含义。</w:t>
      </w:r>
    </w:p>
    <w:p w14:paraId="56BC2293">
      <w:pPr>
        <w:pStyle w:val="270"/>
        <w:spacing w:before="67" w:line="240" w:lineRule="auto"/>
        <w:ind w:right="108" w:firstLine="210"/>
        <w:rPr>
          <w:rFonts w:ascii="宋体" w:hAnsi="宋体" w:eastAsia="宋体"/>
          <w:lang w:eastAsia="zh-CN"/>
        </w:rPr>
      </w:pPr>
      <w:r>
        <w:rPr>
          <w:rFonts w:ascii="宋体" w:hAnsi="宋体" w:eastAsia="宋体"/>
          <w:lang w:eastAsia="zh-CN"/>
        </w:rPr>
        <w:t xml:space="preserve">1.1.1  </w:t>
      </w:r>
      <w:r>
        <w:rPr>
          <w:rFonts w:hint="eastAsia" w:ascii="宋体" w:hAnsi="宋体" w:eastAsia="宋体"/>
          <w:lang w:eastAsia="zh-CN"/>
        </w:rPr>
        <w:t>合同</w:t>
      </w:r>
    </w:p>
    <w:p w14:paraId="7C96D11A">
      <w:pPr>
        <w:pStyle w:val="2"/>
        <w:spacing w:before="109" w:line="348" w:lineRule="auto"/>
        <w:ind w:left="100" w:right="214" w:firstLine="419"/>
        <w:rPr>
          <w:rFonts w:ascii="宋体" w:hAnsi="宋体"/>
          <w:szCs w:val="21"/>
        </w:rPr>
      </w:pPr>
      <w:r>
        <w:rPr>
          <w:rFonts w:ascii="宋体" w:hAnsi="宋体"/>
          <w:szCs w:val="21"/>
        </w:rPr>
        <w:t>1.1.1.1  合</w:t>
      </w:r>
      <w:r>
        <w:rPr>
          <w:rFonts w:ascii="宋体" w:hAnsi="宋体"/>
          <w:spacing w:val="2"/>
          <w:szCs w:val="21"/>
        </w:rPr>
        <w:t>同</w:t>
      </w:r>
      <w:r>
        <w:rPr>
          <w:rFonts w:ascii="宋体" w:hAnsi="宋体"/>
          <w:szCs w:val="21"/>
        </w:rPr>
        <w:t>文</w:t>
      </w:r>
      <w:r>
        <w:rPr>
          <w:rFonts w:ascii="宋体" w:hAnsi="宋体"/>
          <w:spacing w:val="2"/>
          <w:szCs w:val="21"/>
        </w:rPr>
        <w:t>件</w:t>
      </w:r>
      <w:r>
        <w:rPr>
          <w:rFonts w:ascii="宋体" w:hAnsi="宋体"/>
          <w:szCs w:val="21"/>
        </w:rPr>
        <w:t>（</w:t>
      </w:r>
      <w:r>
        <w:rPr>
          <w:rFonts w:ascii="宋体" w:hAnsi="宋体"/>
          <w:spacing w:val="2"/>
          <w:szCs w:val="21"/>
        </w:rPr>
        <w:t>或</w:t>
      </w:r>
      <w:r>
        <w:rPr>
          <w:rFonts w:ascii="宋体" w:hAnsi="宋体"/>
          <w:szCs w:val="21"/>
        </w:rPr>
        <w:t>称合</w:t>
      </w:r>
      <w:r>
        <w:rPr>
          <w:rFonts w:ascii="宋体" w:hAnsi="宋体"/>
          <w:spacing w:val="2"/>
          <w:szCs w:val="21"/>
        </w:rPr>
        <w:t>同</w:t>
      </w:r>
      <w:r>
        <w:rPr>
          <w:rFonts w:ascii="宋体" w:hAnsi="宋体"/>
          <w:spacing w:val="-104"/>
          <w:szCs w:val="21"/>
        </w:rPr>
        <w:t>）</w:t>
      </w:r>
      <w:r>
        <w:rPr>
          <w:rFonts w:ascii="宋体" w:hAnsi="宋体"/>
          <w:szCs w:val="21"/>
        </w:rPr>
        <w:t>：</w:t>
      </w:r>
      <w:r>
        <w:rPr>
          <w:rFonts w:ascii="宋体" w:hAnsi="宋体"/>
          <w:spacing w:val="2"/>
          <w:szCs w:val="21"/>
        </w:rPr>
        <w:t>指</w:t>
      </w:r>
      <w:r>
        <w:rPr>
          <w:rFonts w:ascii="宋体" w:hAnsi="宋体"/>
          <w:szCs w:val="21"/>
        </w:rPr>
        <w:t>合同</w:t>
      </w:r>
      <w:r>
        <w:rPr>
          <w:rFonts w:ascii="宋体" w:hAnsi="宋体"/>
          <w:spacing w:val="2"/>
          <w:szCs w:val="21"/>
        </w:rPr>
        <w:t>协</w:t>
      </w:r>
      <w:r>
        <w:rPr>
          <w:rFonts w:ascii="宋体" w:hAnsi="宋体"/>
          <w:szCs w:val="21"/>
        </w:rPr>
        <w:t>议</w:t>
      </w:r>
      <w:r>
        <w:rPr>
          <w:rFonts w:ascii="宋体" w:hAnsi="宋体"/>
          <w:spacing w:val="2"/>
          <w:szCs w:val="21"/>
        </w:rPr>
        <w:t>书</w:t>
      </w:r>
      <w:r>
        <w:rPr>
          <w:rFonts w:ascii="宋体" w:hAnsi="宋体"/>
          <w:szCs w:val="21"/>
        </w:rPr>
        <w:t>、</w:t>
      </w:r>
      <w:r>
        <w:rPr>
          <w:rFonts w:ascii="宋体" w:hAnsi="宋体"/>
          <w:spacing w:val="2"/>
          <w:szCs w:val="21"/>
        </w:rPr>
        <w:t>中</w:t>
      </w:r>
      <w:r>
        <w:rPr>
          <w:rFonts w:ascii="宋体" w:hAnsi="宋体"/>
          <w:szCs w:val="21"/>
        </w:rPr>
        <w:t>标</w:t>
      </w:r>
      <w:r>
        <w:rPr>
          <w:rFonts w:ascii="宋体" w:hAnsi="宋体"/>
          <w:spacing w:val="2"/>
          <w:szCs w:val="21"/>
        </w:rPr>
        <w:t>通</w:t>
      </w:r>
      <w:r>
        <w:rPr>
          <w:rFonts w:ascii="宋体" w:hAnsi="宋体"/>
          <w:szCs w:val="21"/>
        </w:rPr>
        <w:t>知</w:t>
      </w:r>
      <w:r>
        <w:rPr>
          <w:rFonts w:ascii="宋体" w:hAnsi="宋体"/>
          <w:spacing w:val="2"/>
          <w:szCs w:val="21"/>
        </w:rPr>
        <w:t>书</w:t>
      </w:r>
      <w:r>
        <w:rPr>
          <w:rFonts w:ascii="宋体" w:hAnsi="宋体"/>
          <w:szCs w:val="21"/>
        </w:rPr>
        <w:t>、</w:t>
      </w:r>
      <w:r>
        <w:rPr>
          <w:rFonts w:ascii="宋体" w:hAnsi="宋体"/>
          <w:spacing w:val="2"/>
          <w:szCs w:val="21"/>
        </w:rPr>
        <w:t>投</w:t>
      </w:r>
      <w:r>
        <w:rPr>
          <w:rFonts w:ascii="宋体" w:hAnsi="宋体"/>
          <w:szCs w:val="21"/>
        </w:rPr>
        <w:t>标</w:t>
      </w:r>
      <w:r>
        <w:rPr>
          <w:rFonts w:ascii="宋体" w:hAnsi="宋体"/>
          <w:spacing w:val="2"/>
          <w:szCs w:val="21"/>
        </w:rPr>
        <w:t>函</w:t>
      </w:r>
      <w:r>
        <w:rPr>
          <w:rFonts w:ascii="宋体" w:hAnsi="宋体"/>
          <w:szCs w:val="21"/>
        </w:rPr>
        <w:t>和</w:t>
      </w:r>
      <w:r>
        <w:rPr>
          <w:rFonts w:ascii="宋体" w:hAnsi="宋体"/>
          <w:spacing w:val="2"/>
          <w:szCs w:val="21"/>
        </w:rPr>
        <w:t>投</w:t>
      </w:r>
      <w:r>
        <w:rPr>
          <w:rFonts w:ascii="宋体" w:hAnsi="宋体"/>
          <w:szCs w:val="21"/>
        </w:rPr>
        <w:t>标函</w:t>
      </w:r>
      <w:r>
        <w:rPr>
          <w:rFonts w:ascii="宋体" w:hAnsi="宋体"/>
          <w:spacing w:val="2"/>
          <w:szCs w:val="21"/>
        </w:rPr>
        <w:t>附</w:t>
      </w:r>
      <w:r>
        <w:rPr>
          <w:rFonts w:ascii="宋体" w:hAnsi="宋体"/>
          <w:szCs w:val="21"/>
        </w:rPr>
        <w:t>录</w:t>
      </w:r>
      <w:r>
        <w:rPr>
          <w:rFonts w:ascii="宋体" w:hAnsi="宋体"/>
          <w:spacing w:val="2"/>
          <w:szCs w:val="21"/>
        </w:rPr>
        <w:t>、</w:t>
      </w:r>
      <w:r>
        <w:rPr>
          <w:rFonts w:ascii="宋体" w:hAnsi="宋体"/>
          <w:szCs w:val="21"/>
        </w:rPr>
        <w:t xml:space="preserve">专用 </w:t>
      </w:r>
      <w:r>
        <w:rPr>
          <w:rFonts w:ascii="宋体" w:hAnsi="宋体"/>
          <w:spacing w:val="-1"/>
          <w:szCs w:val="21"/>
        </w:rPr>
        <w:t xml:space="preserve">合同条款、通用合同条款、委托人要求、监理报酬清单、监理大纲，以及其他构成合同组成部 </w:t>
      </w:r>
      <w:r>
        <w:rPr>
          <w:rFonts w:ascii="宋体" w:hAnsi="宋体"/>
          <w:szCs w:val="21"/>
        </w:rPr>
        <w:t>分的文件。</w:t>
      </w:r>
    </w:p>
    <w:p w14:paraId="5A9CBF52">
      <w:pPr>
        <w:pStyle w:val="2"/>
        <w:spacing w:before="38"/>
        <w:ind w:left="520" w:right="108"/>
        <w:rPr>
          <w:rFonts w:ascii="宋体" w:hAnsi="宋体"/>
          <w:szCs w:val="21"/>
        </w:rPr>
      </w:pPr>
      <w:r>
        <w:rPr>
          <w:rFonts w:ascii="宋体" w:hAnsi="宋体"/>
          <w:szCs w:val="21"/>
        </w:rPr>
        <w:t>1.1.1.2 合同协议书：指委托人和监理人共同签署的合同协议书。</w:t>
      </w:r>
    </w:p>
    <w:p w14:paraId="28650AA3">
      <w:pPr>
        <w:pStyle w:val="2"/>
        <w:spacing w:before="117"/>
        <w:ind w:left="520" w:right="108"/>
        <w:rPr>
          <w:rFonts w:ascii="宋体" w:hAnsi="宋体"/>
          <w:szCs w:val="21"/>
        </w:rPr>
      </w:pPr>
      <w:r>
        <w:rPr>
          <w:rFonts w:ascii="宋体" w:hAnsi="宋体"/>
          <w:szCs w:val="21"/>
        </w:rPr>
        <w:t>1.1.1.3 中标通知书：指委托人通知监理人中标的函件。</w:t>
      </w:r>
    </w:p>
    <w:p w14:paraId="5712E0DA">
      <w:pPr>
        <w:pStyle w:val="2"/>
        <w:spacing w:before="117"/>
        <w:ind w:left="520" w:right="108"/>
        <w:rPr>
          <w:rFonts w:ascii="宋体" w:hAnsi="宋体"/>
          <w:szCs w:val="21"/>
        </w:rPr>
      </w:pPr>
      <w:r>
        <w:rPr>
          <w:rFonts w:ascii="宋体" w:hAnsi="宋体"/>
          <w:szCs w:val="21"/>
        </w:rPr>
        <w:t>1.1.1.4 投标函：指由监理人填写并签署的，名为“投标函”的函件。</w:t>
      </w:r>
    </w:p>
    <w:p w14:paraId="42C5887F">
      <w:pPr>
        <w:pStyle w:val="2"/>
        <w:spacing w:before="119"/>
        <w:ind w:left="520" w:right="108"/>
        <w:rPr>
          <w:rFonts w:ascii="宋体" w:hAnsi="宋体"/>
          <w:szCs w:val="21"/>
        </w:rPr>
      </w:pPr>
      <w:r>
        <w:rPr>
          <w:rFonts w:ascii="宋体" w:hAnsi="宋体"/>
          <w:szCs w:val="21"/>
        </w:rPr>
        <w:t xml:space="preserve">1.1.1.5   </w:t>
      </w:r>
      <w:r>
        <w:rPr>
          <w:rFonts w:ascii="宋体" w:hAnsi="宋体"/>
          <w:spacing w:val="-8"/>
          <w:szCs w:val="21"/>
        </w:rPr>
        <w:t>投标函附录：指由监理人填写并签署的、附在投标函后，名为“投标函附录”的函件。</w:t>
      </w:r>
    </w:p>
    <w:p w14:paraId="28452054">
      <w:pPr>
        <w:pStyle w:val="2"/>
        <w:spacing w:before="117"/>
        <w:ind w:left="520" w:right="108"/>
        <w:rPr>
          <w:rFonts w:ascii="宋体" w:hAnsi="宋体"/>
          <w:szCs w:val="21"/>
        </w:rPr>
      </w:pPr>
      <w:r>
        <w:rPr>
          <w:rFonts w:ascii="宋体" w:hAnsi="宋体"/>
          <w:szCs w:val="21"/>
        </w:rPr>
        <w:t>1.1.1.6 委托人要求：指合同文件中名为“委托人要求”的文件。</w:t>
      </w:r>
    </w:p>
    <w:p w14:paraId="40D9A02C">
      <w:pPr>
        <w:pStyle w:val="2"/>
        <w:spacing w:before="117"/>
        <w:ind w:left="520" w:right="108"/>
        <w:rPr>
          <w:rFonts w:ascii="宋体" w:hAnsi="宋体"/>
          <w:szCs w:val="21"/>
        </w:rPr>
      </w:pPr>
      <w:r>
        <w:rPr>
          <w:rFonts w:ascii="宋体" w:hAnsi="宋体"/>
          <w:szCs w:val="21"/>
        </w:rPr>
        <w:t>1.1.1.7 监理大纲：指监理人在投标文件中的监理大纲。</w:t>
      </w:r>
    </w:p>
    <w:p w14:paraId="1ED40B9E">
      <w:pPr>
        <w:pStyle w:val="2"/>
        <w:spacing w:before="117"/>
        <w:ind w:left="520" w:right="108"/>
        <w:rPr>
          <w:rFonts w:ascii="宋体" w:hAnsi="宋体"/>
          <w:szCs w:val="21"/>
        </w:rPr>
      </w:pPr>
      <w:r>
        <w:rPr>
          <w:rFonts w:ascii="宋体" w:hAnsi="宋体"/>
          <w:szCs w:val="21"/>
        </w:rPr>
        <w:t>1.1.1.8 监理报酬清单：指监理人投标文件中的监理报酬清单。</w:t>
      </w:r>
    </w:p>
    <w:p w14:paraId="5DD4AF69">
      <w:pPr>
        <w:pStyle w:val="2"/>
        <w:spacing w:before="119"/>
        <w:ind w:left="520" w:right="108"/>
        <w:rPr>
          <w:rFonts w:ascii="宋体" w:hAnsi="宋体"/>
          <w:szCs w:val="21"/>
        </w:rPr>
      </w:pPr>
      <w:r>
        <w:rPr>
          <w:rFonts w:ascii="宋体" w:hAnsi="宋体"/>
          <w:szCs w:val="21"/>
        </w:rPr>
        <w:t>1.1.1.9 其他合同文件：指经合同双方当事人确认构成合同文件的其他文件。</w:t>
      </w:r>
    </w:p>
    <w:p w14:paraId="46147F89">
      <w:pPr>
        <w:pStyle w:val="270"/>
        <w:spacing w:before="50" w:line="240" w:lineRule="auto"/>
        <w:ind w:right="108" w:firstLine="210"/>
        <w:rPr>
          <w:rFonts w:ascii="宋体" w:hAnsi="宋体" w:eastAsia="宋体"/>
          <w:lang w:eastAsia="zh-CN"/>
        </w:rPr>
      </w:pPr>
      <w:r>
        <w:rPr>
          <w:rFonts w:ascii="宋体" w:hAnsi="宋体" w:eastAsia="宋体"/>
          <w:lang w:eastAsia="zh-CN"/>
        </w:rPr>
        <w:t xml:space="preserve">1.1.2  </w:t>
      </w:r>
      <w:r>
        <w:rPr>
          <w:rFonts w:hint="eastAsia" w:ascii="宋体" w:hAnsi="宋体" w:eastAsia="宋体"/>
          <w:lang w:eastAsia="zh-CN"/>
        </w:rPr>
        <w:t>合同当事人和人员</w:t>
      </w:r>
    </w:p>
    <w:p w14:paraId="29154676">
      <w:pPr>
        <w:pStyle w:val="2"/>
        <w:spacing w:before="109"/>
        <w:ind w:left="520" w:right="108"/>
        <w:rPr>
          <w:rFonts w:ascii="宋体" w:hAnsi="宋体"/>
          <w:szCs w:val="21"/>
        </w:rPr>
      </w:pPr>
      <w:r>
        <w:rPr>
          <w:rFonts w:ascii="宋体" w:hAnsi="宋体"/>
          <w:szCs w:val="21"/>
        </w:rPr>
        <w:t>1.1.2.1 合同当事人：指委托人和（或）监理人。</w:t>
      </w:r>
    </w:p>
    <w:p w14:paraId="7244DC00">
      <w:pPr>
        <w:pStyle w:val="2"/>
        <w:spacing w:before="117"/>
        <w:ind w:left="520" w:right="108"/>
        <w:rPr>
          <w:rFonts w:ascii="宋体" w:hAnsi="宋体"/>
          <w:szCs w:val="21"/>
        </w:rPr>
      </w:pPr>
      <w:r>
        <w:rPr>
          <w:rFonts w:ascii="宋体" w:hAnsi="宋体"/>
          <w:szCs w:val="21"/>
        </w:rPr>
        <w:t>1.1.2.2 委托人：指与监理人签订合同协议书的当事人，及其合法继承人。</w:t>
      </w:r>
    </w:p>
    <w:p w14:paraId="7E876A29">
      <w:pPr>
        <w:pStyle w:val="2"/>
        <w:spacing w:before="118"/>
        <w:ind w:left="520" w:right="108"/>
        <w:rPr>
          <w:rFonts w:ascii="宋体" w:hAnsi="宋体"/>
          <w:szCs w:val="21"/>
        </w:rPr>
      </w:pPr>
      <w:r>
        <w:rPr>
          <w:rFonts w:ascii="宋体" w:hAnsi="宋体"/>
          <w:szCs w:val="21"/>
        </w:rPr>
        <w:t>1.1.2.3 监理人：指与委托人签订合同协议书的当事人，及其合法继承人。</w:t>
      </w:r>
    </w:p>
    <w:p w14:paraId="3EDFE6B6">
      <w:pPr>
        <w:pStyle w:val="2"/>
        <w:spacing w:before="119" w:line="336" w:lineRule="auto"/>
        <w:ind w:left="100" w:right="108" w:firstLine="419"/>
        <w:rPr>
          <w:rFonts w:ascii="宋体" w:hAnsi="宋体"/>
          <w:szCs w:val="21"/>
        </w:rPr>
      </w:pPr>
      <w:r>
        <w:rPr>
          <w:rFonts w:ascii="宋体" w:hAnsi="宋体"/>
          <w:szCs w:val="21"/>
        </w:rPr>
        <w:t>1.1.2.4 委托人代表：指由委托人任命，并在授权范围和期限内代表委托人行使权利和履行 义务的全权负责人。</w:t>
      </w:r>
    </w:p>
    <w:p w14:paraId="2C0CA6F3">
      <w:pPr>
        <w:pStyle w:val="2"/>
        <w:spacing w:before="49"/>
        <w:ind w:left="520" w:right="21"/>
        <w:rPr>
          <w:rFonts w:ascii="宋体" w:hAnsi="宋体"/>
          <w:szCs w:val="21"/>
        </w:rPr>
      </w:pPr>
      <w:r>
        <w:rPr>
          <w:rFonts w:ascii="宋体" w:hAnsi="宋体"/>
          <w:szCs w:val="21"/>
        </w:rPr>
        <w:t>1.1.2.5   总监理工程师：指由监理人任命，代表监理人行使权利和履行义务的全权负责人。</w:t>
      </w:r>
    </w:p>
    <w:p w14:paraId="2C431DE2">
      <w:pPr>
        <w:pStyle w:val="2"/>
        <w:spacing w:before="117" w:line="336" w:lineRule="auto"/>
        <w:ind w:left="100" w:right="108" w:firstLine="419"/>
        <w:rPr>
          <w:rFonts w:ascii="宋体" w:hAnsi="宋体"/>
          <w:szCs w:val="21"/>
        </w:rPr>
      </w:pPr>
      <w:r>
        <w:rPr>
          <w:rFonts w:ascii="宋体" w:hAnsi="宋体"/>
          <w:szCs w:val="21"/>
        </w:rPr>
        <w:t>1.1.2.6 承包人：指在本工程监理范围内，与委托人签订勘察、设计、施工承包合同的当事 人。</w:t>
      </w:r>
    </w:p>
    <w:p w14:paraId="703E1DB1">
      <w:pPr>
        <w:pStyle w:val="270"/>
        <w:spacing w:line="350" w:lineRule="exact"/>
        <w:ind w:left="522" w:right="108" w:firstLine="210"/>
        <w:rPr>
          <w:rFonts w:ascii="宋体" w:hAnsi="宋体" w:eastAsia="宋体"/>
          <w:lang w:eastAsia="zh-CN"/>
        </w:rPr>
      </w:pPr>
      <w:r>
        <w:rPr>
          <w:rFonts w:ascii="宋体" w:hAnsi="宋体" w:eastAsia="宋体"/>
          <w:lang w:eastAsia="zh-CN"/>
        </w:rPr>
        <w:t xml:space="preserve">1.1.3  </w:t>
      </w:r>
      <w:r>
        <w:rPr>
          <w:rFonts w:hint="eastAsia" w:ascii="宋体" w:hAnsi="宋体" w:eastAsia="宋体"/>
          <w:lang w:eastAsia="zh-CN"/>
        </w:rPr>
        <w:t>工程和监理</w:t>
      </w:r>
    </w:p>
    <w:p w14:paraId="578A115B">
      <w:pPr>
        <w:pStyle w:val="2"/>
        <w:spacing w:before="109"/>
        <w:ind w:left="520" w:right="108"/>
        <w:rPr>
          <w:rFonts w:ascii="宋体" w:hAnsi="宋体"/>
          <w:szCs w:val="21"/>
        </w:rPr>
      </w:pPr>
      <w:r>
        <w:rPr>
          <w:rFonts w:ascii="宋体" w:hAnsi="宋体"/>
          <w:szCs w:val="21"/>
        </w:rPr>
        <w:t>1.1.3.1</w:t>
      </w:r>
      <w:r>
        <w:rPr>
          <w:rFonts w:ascii="宋体" w:hAnsi="宋体"/>
          <w:spacing w:val="50"/>
          <w:szCs w:val="21"/>
        </w:rPr>
        <w:t xml:space="preserve"> </w:t>
      </w:r>
      <w:r>
        <w:rPr>
          <w:rFonts w:ascii="宋体" w:hAnsi="宋体"/>
          <w:szCs w:val="21"/>
        </w:rPr>
        <w:t>工程：指永久工程和（或）临时工程。</w:t>
      </w:r>
    </w:p>
    <w:p w14:paraId="13624EAA">
      <w:pPr>
        <w:pStyle w:val="2"/>
        <w:spacing w:before="117"/>
        <w:ind w:left="520" w:right="21"/>
        <w:rPr>
          <w:rFonts w:ascii="宋体" w:hAnsi="宋体"/>
          <w:szCs w:val="21"/>
        </w:rPr>
      </w:pPr>
      <w:r>
        <w:rPr>
          <w:rFonts w:ascii="宋体" w:hAnsi="宋体"/>
          <w:szCs w:val="21"/>
        </w:rPr>
        <w:t>1.1.3.2   监理服务：指监理人接受委托人的委托，依照法律、规范标准和监理合同等，对建</w:t>
      </w:r>
    </w:p>
    <w:p w14:paraId="4E31203C">
      <w:pPr>
        <w:rPr>
          <w:rFonts w:ascii="宋体" w:hAnsi="宋体"/>
          <w:szCs w:val="21"/>
        </w:rPr>
        <w:sectPr>
          <w:pgSz w:w="12240" w:h="15840"/>
          <w:pgMar w:top="720" w:right="1134" w:bottom="720" w:left="1134" w:header="1077" w:footer="1021" w:gutter="0"/>
          <w:cols w:space="720" w:num="1"/>
        </w:sectPr>
      </w:pPr>
    </w:p>
    <w:p w14:paraId="6BBE3EC3">
      <w:pPr>
        <w:pStyle w:val="2"/>
        <w:spacing w:before="6" w:line="355" w:lineRule="auto"/>
        <w:ind w:left="100" w:right="113"/>
        <w:rPr>
          <w:rFonts w:ascii="宋体" w:hAnsi="宋体"/>
          <w:szCs w:val="21"/>
        </w:rPr>
      </w:pPr>
      <w:r>
        <w:rPr>
          <w:rFonts w:ascii="宋体" w:hAnsi="宋体"/>
          <w:szCs w:val="21"/>
        </w:rPr>
        <w:t>设工程勘察、设计或施工等阶段进行质量控制、进度控制、投资控制、合同管理、信息管理、 组织协调和安全监理、环保监理的服务活动。</w:t>
      </w:r>
    </w:p>
    <w:p w14:paraId="08905D09">
      <w:pPr>
        <w:pStyle w:val="2"/>
        <w:spacing w:before="32" w:line="338" w:lineRule="auto"/>
        <w:ind w:left="100" w:right="108" w:firstLine="419"/>
        <w:rPr>
          <w:rFonts w:ascii="宋体" w:hAnsi="宋体"/>
          <w:szCs w:val="21"/>
        </w:rPr>
      </w:pPr>
      <w:r>
        <w:rPr>
          <w:rFonts w:ascii="宋体" w:hAnsi="宋体"/>
          <w:szCs w:val="21"/>
        </w:rPr>
        <w:t>1.1.3.3 监理资料：是委托人按合同约定向监理人提供的，用于完成监理范围与内容所需要 的资料。</w:t>
      </w:r>
    </w:p>
    <w:p w14:paraId="68FF5FAD">
      <w:pPr>
        <w:pStyle w:val="2"/>
        <w:spacing w:before="47" w:line="345" w:lineRule="auto"/>
        <w:ind w:left="100" w:right="113" w:firstLine="419"/>
        <w:rPr>
          <w:rFonts w:ascii="宋体" w:hAnsi="宋体"/>
          <w:szCs w:val="21"/>
        </w:rPr>
      </w:pPr>
      <w:r>
        <w:rPr>
          <w:rFonts w:ascii="宋体" w:hAnsi="宋体"/>
          <w:szCs w:val="21"/>
        </w:rPr>
        <w:t>1.1.3.4 监理文件：指监理人按合同约定向委托人提交的监理大纲、监理规划、监理实施细 则、监理日志、监理报告、工程质量评估报告、事故处理文件、监理工作总结和其他文件等， 包括阶段性文件和最终文件，且应当采用合同中双方约定的格式和载体。</w:t>
      </w:r>
    </w:p>
    <w:p w14:paraId="18AD1F3C">
      <w:pPr>
        <w:pStyle w:val="270"/>
        <w:spacing w:line="342" w:lineRule="exact"/>
        <w:ind w:firstLine="210"/>
        <w:rPr>
          <w:rFonts w:ascii="宋体" w:hAnsi="宋体" w:eastAsia="宋体"/>
          <w:lang w:eastAsia="zh-CN"/>
        </w:rPr>
      </w:pPr>
      <w:r>
        <w:rPr>
          <w:rFonts w:ascii="宋体" w:hAnsi="宋体" w:eastAsia="宋体"/>
          <w:lang w:eastAsia="zh-CN"/>
        </w:rPr>
        <w:t xml:space="preserve">1.1.4  </w:t>
      </w:r>
      <w:r>
        <w:rPr>
          <w:rFonts w:hint="eastAsia" w:ascii="宋体" w:hAnsi="宋体" w:eastAsia="宋体"/>
          <w:lang w:eastAsia="zh-CN"/>
        </w:rPr>
        <w:t>日期</w:t>
      </w:r>
    </w:p>
    <w:p w14:paraId="4AC6605A">
      <w:pPr>
        <w:pStyle w:val="2"/>
        <w:spacing w:before="109"/>
        <w:ind w:left="520" w:right="113"/>
        <w:rPr>
          <w:rFonts w:ascii="宋体" w:hAnsi="宋体"/>
          <w:szCs w:val="21"/>
        </w:rPr>
      </w:pPr>
      <w:r>
        <w:rPr>
          <w:rFonts w:ascii="宋体" w:hAnsi="宋体"/>
          <w:szCs w:val="21"/>
        </w:rPr>
        <w:t>1.1.4.1 开始监理通知：指委托人按第 6.1 款通知监理人开始监理的函件。</w:t>
      </w:r>
    </w:p>
    <w:p w14:paraId="72C442AA">
      <w:pPr>
        <w:pStyle w:val="2"/>
        <w:spacing w:before="117"/>
        <w:ind w:left="520" w:right="108"/>
        <w:rPr>
          <w:rFonts w:ascii="宋体" w:hAnsi="宋体"/>
          <w:szCs w:val="21"/>
        </w:rPr>
      </w:pPr>
      <w:r>
        <w:rPr>
          <w:rFonts w:ascii="宋体" w:hAnsi="宋体"/>
          <w:szCs w:val="21"/>
        </w:rPr>
        <w:t>1.1.4.2 开始监理日期：指委托人按第 6.1 款发出的开始监理通知中写明的开始监理日期。</w:t>
      </w:r>
    </w:p>
    <w:p w14:paraId="6EF92BFE">
      <w:pPr>
        <w:pStyle w:val="2"/>
        <w:spacing w:before="117"/>
        <w:ind w:left="520"/>
        <w:rPr>
          <w:rFonts w:ascii="宋体" w:hAnsi="宋体"/>
          <w:szCs w:val="21"/>
        </w:rPr>
      </w:pPr>
      <w:r>
        <w:rPr>
          <w:rFonts w:ascii="宋体" w:hAnsi="宋体"/>
          <w:szCs w:val="21"/>
        </w:rPr>
        <w:t>1.1.4.3   监理服务期限：指监理人在投标函中承诺的完成合同监理服务所需的期限，包括按</w:t>
      </w:r>
    </w:p>
    <w:p w14:paraId="30F85696">
      <w:pPr>
        <w:pStyle w:val="2"/>
        <w:spacing w:before="117"/>
        <w:ind w:left="100" w:right="113"/>
        <w:rPr>
          <w:rFonts w:ascii="宋体" w:hAnsi="宋体"/>
          <w:szCs w:val="21"/>
        </w:rPr>
      </w:pPr>
      <w:r>
        <w:rPr>
          <w:rFonts w:ascii="宋体" w:hAnsi="宋体"/>
          <w:szCs w:val="21"/>
        </w:rPr>
        <w:t>第</w:t>
      </w:r>
      <w:r>
        <w:rPr>
          <w:rFonts w:ascii="宋体" w:hAnsi="宋体"/>
          <w:spacing w:val="-53"/>
          <w:szCs w:val="21"/>
        </w:rPr>
        <w:t xml:space="preserve"> </w:t>
      </w:r>
      <w:r>
        <w:rPr>
          <w:rFonts w:ascii="宋体" w:hAnsi="宋体"/>
          <w:szCs w:val="21"/>
        </w:rPr>
        <w:t>6.2 款和第</w:t>
      </w:r>
      <w:r>
        <w:rPr>
          <w:rFonts w:ascii="宋体" w:hAnsi="宋体"/>
          <w:spacing w:val="-53"/>
          <w:szCs w:val="21"/>
        </w:rPr>
        <w:t xml:space="preserve"> </w:t>
      </w:r>
      <w:r>
        <w:rPr>
          <w:rFonts w:ascii="宋体" w:hAnsi="宋体"/>
          <w:szCs w:val="21"/>
        </w:rPr>
        <w:t>6.3.2 项约定所作的调整。</w:t>
      </w:r>
    </w:p>
    <w:p w14:paraId="2C33DD76">
      <w:pPr>
        <w:pStyle w:val="2"/>
        <w:spacing w:before="119"/>
        <w:ind w:left="520" w:right="113"/>
        <w:rPr>
          <w:rFonts w:ascii="宋体" w:hAnsi="宋体"/>
          <w:szCs w:val="21"/>
        </w:rPr>
      </w:pPr>
      <w:r>
        <w:rPr>
          <w:rFonts w:ascii="宋体" w:hAnsi="宋体"/>
          <w:szCs w:val="21"/>
        </w:rPr>
        <w:t>1.1.4.4 完成监理日期：指第 1.1.4.3 目约定监理服务期限届满时的日期。</w:t>
      </w:r>
    </w:p>
    <w:p w14:paraId="65F1CB9C">
      <w:pPr>
        <w:pStyle w:val="2"/>
        <w:spacing w:before="117"/>
        <w:ind w:left="520" w:right="113"/>
        <w:rPr>
          <w:rFonts w:ascii="宋体" w:hAnsi="宋体"/>
          <w:szCs w:val="21"/>
        </w:rPr>
      </w:pPr>
      <w:r>
        <w:rPr>
          <w:rFonts w:ascii="宋体" w:hAnsi="宋体"/>
          <w:szCs w:val="21"/>
        </w:rPr>
        <w:t>1.1.4.5 基准日：指投标截止时间前 28 天的日期。</w:t>
      </w:r>
    </w:p>
    <w:p w14:paraId="79A868B3">
      <w:pPr>
        <w:pStyle w:val="2"/>
        <w:spacing w:before="117" w:line="336" w:lineRule="auto"/>
        <w:ind w:left="100" w:right="113" w:firstLine="419"/>
        <w:rPr>
          <w:rFonts w:ascii="宋体" w:hAnsi="宋体"/>
          <w:szCs w:val="21"/>
        </w:rPr>
      </w:pPr>
      <w:r>
        <w:rPr>
          <w:rFonts w:ascii="宋体" w:hAnsi="宋体"/>
          <w:szCs w:val="21"/>
        </w:rPr>
        <w:t xml:space="preserve">1.1.4.6 </w:t>
      </w:r>
      <w:r>
        <w:rPr>
          <w:rFonts w:ascii="宋体" w:hAnsi="宋体"/>
          <w:spacing w:val="-3"/>
          <w:szCs w:val="21"/>
        </w:rPr>
        <w:t xml:space="preserve">天：除特别指明外，指日历天。合同中按天计算时间的，开始当天不计入，从次日 </w:t>
      </w:r>
      <w:r>
        <w:rPr>
          <w:rFonts w:ascii="宋体" w:hAnsi="宋体"/>
          <w:szCs w:val="21"/>
        </w:rPr>
        <w:t>开始计算。期限最后一天的截止时间为当天</w:t>
      </w:r>
      <w:r>
        <w:rPr>
          <w:rFonts w:ascii="宋体" w:hAnsi="宋体"/>
          <w:spacing w:val="-57"/>
          <w:szCs w:val="21"/>
        </w:rPr>
        <w:t xml:space="preserve"> </w:t>
      </w:r>
      <w:r>
        <w:rPr>
          <w:rFonts w:ascii="宋体" w:hAnsi="宋体"/>
          <w:szCs w:val="21"/>
        </w:rPr>
        <w:t>24:00。</w:t>
      </w:r>
    </w:p>
    <w:p w14:paraId="50649298">
      <w:pPr>
        <w:pStyle w:val="270"/>
        <w:spacing w:line="323" w:lineRule="exact"/>
        <w:ind w:firstLine="210"/>
        <w:rPr>
          <w:rFonts w:ascii="宋体" w:hAnsi="宋体" w:eastAsia="宋体"/>
          <w:lang w:eastAsia="zh-CN"/>
        </w:rPr>
      </w:pPr>
      <w:r>
        <w:rPr>
          <w:rFonts w:ascii="宋体" w:hAnsi="宋体" w:eastAsia="宋体"/>
          <w:lang w:eastAsia="zh-CN"/>
        </w:rPr>
        <w:t xml:space="preserve">1.1.5  </w:t>
      </w:r>
      <w:r>
        <w:rPr>
          <w:rFonts w:hint="eastAsia" w:ascii="宋体" w:hAnsi="宋体" w:eastAsia="宋体"/>
          <w:lang w:eastAsia="zh-CN"/>
        </w:rPr>
        <w:t>合同价格和费用</w:t>
      </w:r>
    </w:p>
    <w:p w14:paraId="7403BC3F">
      <w:pPr>
        <w:pStyle w:val="2"/>
        <w:spacing w:before="111"/>
        <w:ind w:left="520" w:right="113"/>
        <w:rPr>
          <w:rFonts w:ascii="宋体" w:hAnsi="宋体"/>
          <w:szCs w:val="21"/>
        </w:rPr>
      </w:pPr>
      <w:r>
        <w:rPr>
          <w:rFonts w:ascii="宋体" w:hAnsi="宋体"/>
          <w:szCs w:val="21"/>
        </w:rPr>
        <w:t>1.1.5.1 签约合同价：指签订合同时合同协议书中写明的监理报酬总金额。</w:t>
      </w:r>
    </w:p>
    <w:p w14:paraId="3EF845F4">
      <w:pPr>
        <w:pStyle w:val="2"/>
        <w:spacing w:before="117" w:line="336" w:lineRule="auto"/>
        <w:ind w:left="100" w:right="108" w:firstLine="419"/>
        <w:rPr>
          <w:rFonts w:ascii="宋体" w:hAnsi="宋体"/>
          <w:szCs w:val="21"/>
        </w:rPr>
      </w:pPr>
      <w:r>
        <w:rPr>
          <w:rFonts w:ascii="宋体" w:hAnsi="宋体"/>
          <w:szCs w:val="21"/>
        </w:rPr>
        <w:t>1.1.5.2 合同价格：指监理人按合同约定完成了全部监理工作后，委托人应付给监理人的金 额，包括在履行合同过程中按合同约定进行的变更和调整。</w:t>
      </w:r>
    </w:p>
    <w:p w14:paraId="03049D11">
      <w:pPr>
        <w:pStyle w:val="2"/>
        <w:spacing w:before="49" w:line="338" w:lineRule="auto"/>
        <w:ind w:left="100" w:right="108" w:firstLine="419"/>
        <w:rPr>
          <w:rFonts w:ascii="宋体" w:hAnsi="宋体"/>
          <w:szCs w:val="21"/>
        </w:rPr>
      </w:pPr>
      <w:r>
        <w:rPr>
          <w:rFonts w:ascii="宋体" w:hAnsi="宋体"/>
          <w:szCs w:val="21"/>
        </w:rPr>
        <w:t>1.1.5.3 费用：指为履行合同所发生的或将要发生的所有合理开支，包括管理费和应分摊的 其他费用，但不包括利润。</w:t>
      </w:r>
    </w:p>
    <w:p w14:paraId="65C3F143">
      <w:pPr>
        <w:pStyle w:val="270"/>
        <w:spacing w:line="346" w:lineRule="exact"/>
        <w:ind w:firstLine="210"/>
        <w:rPr>
          <w:rFonts w:ascii="宋体" w:hAnsi="宋体" w:eastAsia="宋体"/>
          <w:lang w:eastAsia="zh-CN"/>
        </w:rPr>
      </w:pPr>
      <w:r>
        <w:rPr>
          <w:rFonts w:ascii="宋体" w:hAnsi="宋体" w:eastAsia="宋体"/>
          <w:lang w:eastAsia="zh-CN"/>
        </w:rPr>
        <w:t xml:space="preserve">1.1.6  </w:t>
      </w:r>
      <w:r>
        <w:rPr>
          <w:rFonts w:hint="eastAsia" w:ascii="宋体" w:hAnsi="宋体" w:eastAsia="宋体"/>
          <w:lang w:eastAsia="zh-CN"/>
        </w:rPr>
        <w:t>其他</w:t>
      </w:r>
    </w:p>
    <w:p w14:paraId="45AC2BEA">
      <w:pPr>
        <w:pStyle w:val="2"/>
        <w:spacing w:before="109" w:line="336" w:lineRule="auto"/>
        <w:ind w:left="100" w:right="113" w:firstLine="419"/>
        <w:rPr>
          <w:rFonts w:ascii="宋体" w:hAnsi="宋体"/>
          <w:szCs w:val="21"/>
        </w:rPr>
      </w:pPr>
      <w:r>
        <w:rPr>
          <w:rFonts w:ascii="宋体" w:hAnsi="宋体"/>
          <w:szCs w:val="21"/>
        </w:rPr>
        <w:t>1.1.6.1 书面形式：指合同文件、信件和数据电文（包括电报、电传、传真、电子数据交换 和电子邮件）等可以有形地表现所载内容的形式。</w:t>
      </w:r>
    </w:p>
    <w:p w14:paraId="106A00BB">
      <w:pPr>
        <w:pStyle w:val="2"/>
        <w:spacing w:before="8"/>
        <w:rPr>
          <w:rFonts w:ascii="宋体" w:hAnsi="宋体"/>
          <w:szCs w:val="21"/>
        </w:rPr>
      </w:pPr>
    </w:p>
    <w:p w14:paraId="69FAC1F4">
      <w:pPr>
        <w:pStyle w:val="269"/>
        <w:rPr>
          <w:sz w:val="21"/>
          <w:szCs w:val="21"/>
          <w:lang w:eastAsia="zh-CN"/>
        </w:rPr>
      </w:pPr>
      <w:bookmarkStart w:id="553" w:name="_bookmark97"/>
      <w:bookmarkEnd w:id="553"/>
      <w:r>
        <w:rPr>
          <w:sz w:val="21"/>
          <w:szCs w:val="21"/>
          <w:lang w:eastAsia="zh-CN"/>
        </w:rPr>
        <w:t>1.2  语言文字</w:t>
      </w:r>
    </w:p>
    <w:p w14:paraId="09FE3DE6">
      <w:pPr>
        <w:pStyle w:val="2"/>
        <w:spacing w:before="248"/>
        <w:ind w:left="520" w:right="113"/>
        <w:rPr>
          <w:rFonts w:ascii="宋体" w:hAnsi="宋体"/>
          <w:szCs w:val="21"/>
        </w:rPr>
      </w:pPr>
      <w:r>
        <w:rPr>
          <w:rFonts w:ascii="宋体" w:hAnsi="宋体"/>
          <w:szCs w:val="21"/>
        </w:rPr>
        <w:t>合同使用的语言文字为中文。专用术语使用外文的，应附有中文注释。</w:t>
      </w:r>
    </w:p>
    <w:p w14:paraId="08EB5899">
      <w:pPr>
        <w:pStyle w:val="2"/>
        <w:spacing w:before="3"/>
        <w:rPr>
          <w:rFonts w:ascii="宋体" w:hAnsi="宋体"/>
          <w:szCs w:val="21"/>
        </w:rPr>
      </w:pPr>
    </w:p>
    <w:p w14:paraId="20768A0F">
      <w:pPr>
        <w:pStyle w:val="269"/>
        <w:rPr>
          <w:sz w:val="21"/>
          <w:szCs w:val="21"/>
          <w:lang w:eastAsia="zh-CN"/>
        </w:rPr>
      </w:pPr>
      <w:bookmarkStart w:id="554" w:name="_bookmark98"/>
      <w:bookmarkEnd w:id="554"/>
      <w:r>
        <w:rPr>
          <w:sz w:val="21"/>
          <w:szCs w:val="21"/>
          <w:lang w:eastAsia="zh-CN"/>
        </w:rPr>
        <w:t>1.3  适用法律</w:t>
      </w:r>
    </w:p>
    <w:p w14:paraId="3553947E">
      <w:pPr>
        <w:pStyle w:val="2"/>
        <w:spacing w:before="248" w:line="357" w:lineRule="auto"/>
        <w:ind w:left="100" w:right="113" w:firstLine="419"/>
        <w:rPr>
          <w:rFonts w:ascii="宋体" w:hAnsi="宋体"/>
          <w:szCs w:val="21"/>
        </w:rPr>
      </w:pPr>
      <w:r>
        <w:rPr>
          <w:rFonts w:ascii="宋体" w:hAnsi="宋体"/>
          <w:szCs w:val="21"/>
        </w:rPr>
        <w:t>适用于合同的法律包括中华人民共和国法律、行政法规、部门规章，以及工程所在地的地方法规、自治条例、单行条例和地方政府规章。 本合同适用的其他规范性文件，可在专用合同条款中约定。</w:t>
      </w:r>
    </w:p>
    <w:p w14:paraId="3DDCFA8D">
      <w:pPr>
        <w:pStyle w:val="2"/>
        <w:spacing w:before="4"/>
        <w:rPr>
          <w:rFonts w:ascii="宋体" w:hAnsi="宋体"/>
          <w:szCs w:val="21"/>
        </w:rPr>
      </w:pPr>
    </w:p>
    <w:p w14:paraId="25442448">
      <w:pPr>
        <w:pStyle w:val="269"/>
        <w:rPr>
          <w:sz w:val="21"/>
          <w:szCs w:val="21"/>
          <w:lang w:eastAsia="zh-CN"/>
        </w:rPr>
      </w:pPr>
      <w:bookmarkStart w:id="555" w:name="_bookmark99"/>
      <w:bookmarkEnd w:id="555"/>
      <w:r>
        <w:rPr>
          <w:sz w:val="21"/>
          <w:szCs w:val="21"/>
          <w:lang w:eastAsia="zh-CN"/>
        </w:rPr>
        <w:t>1.4</w:t>
      </w:r>
      <w:r>
        <w:rPr>
          <w:spacing w:val="69"/>
          <w:sz w:val="21"/>
          <w:szCs w:val="21"/>
          <w:lang w:eastAsia="zh-CN"/>
        </w:rPr>
        <w:t xml:space="preserve"> </w:t>
      </w:r>
      <w:r>
        <w:rPr>
          <w:sz w:val="21"/>
          <w:szCs w:val="21"/>
          <w:lang w:eastAsia="zh-CN"/>
        </w:rPr>
        <w:t>合同文件的优先顺序</w:t>
      </w:r>
    </w:p>
    <w:p w14:paraId="550CAAD1">
      <w:pPr>
        <w:pStyle w:val="2"/>
        <w:spacing w:before="248" w:line="357" w:lineRule="auto"/>
        <w:ind w:left="100" w:right="113" w:firstLine="419"/>
        <w:rPr>
          <w:rFonts w:ascii="宋体" w:hAnsi="宋体"/>
          <w:szCs w:val="21"/>
        </w:rPr>
      </w:pPr>
      <w:r>
        <w:rPr>
          <w:rFonts w:ascii="宋体" w:hAnsi="宋体"/>
          <w:szCs w:val="21"/>
        </w:rPr>
        <w:t>组成合同的各项文件应互相解释，互为说明。除专用合同条款另有约定外，解释合同文件 的优先顺序如下：</w:t>
      </w:r>
    </w:p>
    <w:p w14:paraId="1BDB532E">
      <w:pPr>
        <w:pStyle w:val="2"/>
        <w:spacing w:before="30"/>
        <w:ind w:left="520" w:right="113"/>
        <w:rPr>
          <w:rFonts w:ascii="宋体" w:hAnsi="宋体"/>
          <w:szCs w:val="21"/>
        </w:rPr>
      </w:pPr>
      <w:r>
        <w:rPr>
          <w:rFonts w:ascii="宋体" w:hAnsi="宋体"/>
          <w:szCs w:val="21"/>
        </w:rPr>
        <w:t>（1）合同协议书；</w:t>
      </w:r>
    </w:p>
    <w:p w14:paraId="1AB3CD6A">
      <w:pPr>
        <w:pStyle w:val="2"/>
        <w:spacing w:before="118"/>
        <w:ind w:left="520" w:right="113"/>
        <w:rPr>
          <w:rFonts w:ascii="宋体" w:hAnsi="宋体"/>
          <w:szCs w:val="21"/>
        </w:rPr>
      </w:pPr>
      <w:r>
        <w:rPr>
          <w:rFonts w:ascii="宋体" w:hAnsi="宋体"/>
          <w:szCs w:val="21"/>
        </w:rPr>
        <w:t>（2）中标通知书；</w:t>
      </w:r>
    </w:p>
    <w:p w14:paraId="6CDEB471">
      <w:pPr>
        <w:pStyle w:val="2"/>
        <w:spacing w:before="117"/>
        <w:ind w:left="520" w:right="113"/>
        <w:rPr>
          <w:rFonts w:ascii="宋体" w:hAnsi="宋体"/>
          <w:szCs w:val="21"/>
        </w:rPr>
      </w:pPr>
      <w:r>
        <w:rPr>
          <w:rFonts w:ascii="宋体" w:hAnsi="宋体"/>
          <w:szCs w:val="21"/>
        </w:rPr>
        <w:t>（3）投标函及投标函附录；</w:t>
      </w:r>
    </w:p>
    <w:p w14:paraId="31E188FC">
      <w:pPr>
        <w:pStyle w:val="2"/>
        <w:spacing w:before="117"/>
        <w:ind w:left="520" w:right="113"/>
        <w:rPr>
          <w:rFonts w:ascii="宋体" w:hAnsi="宋体"/>
          <w:szCs w:val="21"/>
        </w:rPr>
      </w:pPr>
      <w:r>
        <w:rPr>
          <w:rFonts w:ascii="宋体" w:hAnsi="宋体"/>
          <w:szCs w:val="21"/>
        </w:rPr>
        <w:t>（4）专用合同条款；</w:t>
      </w:r>
    </w:p>
    <w:p w14:paraId="4175F682">
      <w:pPr>
        <w:pStyle w:val="2"/>
        <w:spacing w:before="119"/>
        <w:ind w:left="520" w:right="113"/>
        <w:rPr>
          <w:rFonts w:ascii="宋体" w:hAnsi="宋体"/>
          <w:szCs w:val="21"/>
        </w:rPr>
      </w:pPr>
      <w:r>
        <w:rPr>
          <w:rFonts w:ascii="宋体" w:hAnsi="宋体"/>
          <w:szCs w:val="21"/>
        </w:rPr>
        <w:t>（5）通用合同条款；</w:t>
      </w:r>
    </w:p>
    <w:p w14:paraId="1805E47F">
      <w:pPr>
        <w:pStyle w:val="2"/>
        <w:spacing w:before="117"/>
        <w:ind w:left="520" w:right="113"/>
        <w:rPr>
          <w:rFonts w:ascii="宋体" w:hAnsi="宋体"/>
          <w:szCs w:val="21"/>
        </w:rPr>
      </w:pPr>
      <w:r>
        <w:rPr>
          <w:rFonts w:ascii="宋体" w:hAnsi="宋体"/>
          <w:szCs w:val="21"/>
        </w:rPr>
        <w:t>（6）委托人要求；</w:t>
      </w:r>
    </w:p>
    <w:p w14:paraId="508F0C0F">
      <w:pPr>
        <w:pStyle w:val="2"/>
        <w:spacing w:before="117"/>
        <w:ind w:left="520" w:right="113"/>
        <w:rPr>
          <w:rFonts w:ascii="宋体" w:hAnsi="宋体"/>
          <w:szCs w:val="21"/>
        </w:rPr>
      </w:pPr>
      <w:r>
        <w:rPr>
          <w:rFonts w:ascii="宋体" w:hAnsi="宋体"/>
          <w:szCs w:val="21"/>
        </w:rPr>
        <w:t>（7）监理报酬清单；</w:t>
      </w:r>
    </w:p>
    <w:p w14:paraId="0942B87B">
      <w:pPr>
        <w:pStyle w:val="2"/>
        <w:spacing w:before="117"/>
        <w:ind w:left="520" w:right="113"/>
        <w:rPr>
          <w:rFonts w:ascii="宋体" w:hAnsi="宋体"/>
          <w:szCs w:val="21"/>
        </w:rPr>
      </w:pPr>
      <w:r>
        <w:rPr>
          <w:rFonts w:ascii="宋体" w:hAnsi="宋体"/>
          <w:szCs w:val="21"/>
        </w:rPr>
        <w:t>（8）监理大纲；</w:t>
      </w:r>
    </w:p>
    <w:p w14:paraId="02849472">
      <w:pPr>
        <w:pStyle w:val="2"/>
        <w:spacing w:before="119"/>
        <w:ind w:left="520" w:right="113"/>
        <w:rPr>
          <w:rFonts w:ascii="宋体" w:hAnsi="宋体"/>
          <w:szCs w:val="21"/>
        </w:rPr>
      </w:pPr>
      <w:r>
        <w:rPr>
          <w:rFonts w:ascii="宋体" w:hAnsi="宋体"/>
          <w:szCs w:val="21"/>
        </w:rPr>
        <w:t>（9）其他合同文件。</w:t>
      </w:r>
    </w:p>
    <w:p w14:paraId="4619D9A1">
      <w:pPr>
        <w:pStyle w:val="2"/>
        <w:spacing w:before="11"/>
        <w:rPr>
          <w:rFonts w:ascii="宋体" w:hAnsi="宋体"/>
          <w:szCs w:val="21"/>
        </w:rPr>
      </w:pPr>
    </w:p>
    <w:p w14:paraId="2D5877A7">
      <w:pPr>
        <w:pStyle w:val="269"/>
        <w:rPr>
          <w:sz w:val="21"/>
          <w:szCs w:val="21"/>
          <w:lang w:eastAsia="zh-CN"/>
        </w:rPr>
      </w:pPr>
      <w:bookmarkStart w:id="556" w:name="_bookmark100"/>
      <w:bookmarkEnd w:id="556"/>
      <w:r>
        <w:rPr>
          <w:sz w:val="21"/>
          <w:szCs w:val="21"/>
          <w:lang w:eastAsia="zh-CN"/>
        </w:rPr>
        <w:t>1.5  合同协议书</w:t>
      </w:r>
    </w:p>
    <w:p w14:paraId="271F1A00">
      <w:pPr>
        <w:pStyle w:val="2"/>
        <w:spacing w:before="248" w:line="355" w:lineRule="auto"/>
        <w:ind w:left="100" w:right="114" w:firstLine="419"/>
        <w:rPr>
          <w:rFonts w:ascii="宋体" w:hAnsi="宋体"/>
          <w:szCs w:val="21"/>
        </w:rPr>
      </w:pPr>
      <w:r>
        <w:rPr>
          <w:rFonts w:ascii="宋体" w:hAnsi="宋体"/>
          <w:szCs w:val="21"/>
        </w:rPr>
        <w:t>监理人按中标通知书规定的时间与委托人签订合同协议书。除法律另有规定或合同另有约 定外，委托人和监理人的法定代表人或其委托代理人在合同协议书上签字并盖单位章后，合同 生效。</w:t>
      </w:r>
    </w:p>
    <w:p w14:paraId="0FF608B0">
      <w:pPr>
        <w:pStyle w:val="269"/>
        <w:ind w:right="5652"/>
        <w:rPr>
          <w:sz w:val="21"/>
          <w:szCs w:val="21"/>
          <w:lang w:eastAsia="zh-CN"/>
        </w:rPr>
      </w:pPr>
      <w:bookmarkStart w:id="557" w:name="_bookmark101"/>
      <w:bookmarkEnd w:id="557"/>
      <w:r>
        <w:rPr>
          <w:sz w:val="21"/>
          <w:szCs w:val="21"/>
          <w:lang w:eastAsia="zh-CN"/>
        </w:rPr>
        <w:t>1.6</w:t>
      </w:r>
      <w:r>
        <w:rPr>
          <w:spacing w:val="68"/>
          <w:sz w:val="21"/>
          <w:szCs w:val="21"/>
          <w:lang w:eastAsia="zh-CN"/>
        </w:rPr>
        <w:t xml:space="preserve"> </w:t>
      </w:r>
      <w:r>
        <w:rPr>
          <w:sz w:val="21"/>
          <w:szCs w:val="21"/>
          <w:lang w:eastAsia="zh-CN"/>
        </w:rPr>
        <w:t>文件的提供和照管</w:t>
      </w:r>
    </w:p>
    <w:p w14:paraId="1C1533B2">
      <w:pPr>
        <w:spacing w:before="182" w:line="314" w:lineRule="auto"/>
        <w:ind w:left="520" w:right="113" w:firstLine="2"/>
        <w:rPr>
          <w:rFonts w:ascii="宋体" w:hAnsi="宋体"/>
          <w:szCs w:val="21"/>
        </w:rPr>
      </w:pPr>
      <w:r>
        <w:rPr>
          <w:rFonts w:ascii="宋体" w:hAnsi="宋体"/>
          <w:b/>
          <w:szCs w:val="21"/>
        </w:rPr>
        <w:t xml:space="preserve">1.6.1 </w:t>
      </w:r>
      <w:r>
        <w:rPr>
          <w:rFonts w:hint="eastAsia" w:ascii="宋体" w:hAnsi="宋体"/>
          <w:b/>
          <w:szCs w:val="21"/>
        </w:rPr>
        <w:t xml:space="preserve">监理文件的提供 </w:t>
      </w:r>
      <w:r>
        <w:rPr>
          <w:rFonts w:ascii="宋体" w:hAnsi="宋体"/>
          <w:szCs w:val="21"/>
        </w:rPr>
        <w:t>除专用合同条款另有约定外，监理人应在合理的期限内按照合同约定的数量向委托人提供</w:t>
      </w:r>
    </w:p>
    <w:p w14:paraId="688831AA">
      <w:pPr>
        <w:pStyle w:val="2"/>
        <w:spacing w:before="68" w:line="355" w:lineRule="auto"/>
        <w:ind w:left="100" w:right="113"/>
        <w:rPr>
          <w:rFonts w:ascii="宋体" w:hAnsi="宋体"/>
          <w:szCs w:val="21"/>
        </w:rPr>
      </w:pPr>
      <w:r>
        <w:rPr>
          <w:rFonts w:ascii="宋体" w:hAnsi="宋体"/>
          <w:szCs w:val="21"/>
        </w:rPr>
        <w:t>监理文件。合同约定监理文件应经委托人批复的，委托人应当在合同约定的期限内批复或提出 修改意见。</w:t>
      </w:r>
    </w:p>
    <w:p w14:paraId="6985FDAB">
      <w:pPr>
        <w:pStyle w:val="270"/>
        <w:ind w:left="522" w:firstLine="210"/>
        <w:rPr>
          <w:rFonts w:ascii="宋体" w:hAnsi="宋体" w:eastAsia="宋体"/>
          <w:lang w:eastAsia="zh-CN"/>
        </w:rPr>
      </w:pPr>
      <w:r>
        <w:rPr>
          <w:rFonts w:ascii="宋体" w:hAnsi="宋体" w:eastAsia="宋体"/>
          <w:lang w:eastAsia="zh-CN"/>
        </w:rPr>
        <w:t xml:space="preserve">1.6.2  </w:t>
      </w:r>
      <w:r>
        <w:rPr>
          <w:rFonts w:hint="eastAsia" w:ascii="宋体" w:hAnsi="宋体" w:eastAsia="宋体"/>
          <w:lang w:eastAsia="zh-CN"/>
        </w:rPr>
        <w:t>委托人提供的文件</w:t>
      </w:r>
    </w:p>
    <w:p w14:paraId="6009D237">
      <w:pPr>
        <w:pStyle w:val="2"/>
        <w:spacing w:before="109" w:line="357" w:lineRule="auto"/>
        <w:ind w:left="100" w:right="113" w:firstLine="419"/>
        <w:rPr>
          <w:rFonts w:ascii="宋体" w:hAnsi="宋体"/>
          <w:szCs w:val="21"/>
        </w:rPr>
      </w:pPr>
      <w:r>
        <w:rPr>
          <w:rFonts w:ascii="宋体" w:hAnsi="宋体"/>
          <w:spacing w:val="-1"/>
          <w:szCs w:val="21"/>
        </w:rPr>
        <w:t xml:space="preserve">按专用合同条款约定由委托人提供的文件，包括规范标准、承包合同、勘察文件、设计文 件等，委托人应按约定的数量和期限交给监理人。由于委托人未按时提供文件造成监理服务期 </w:t>
      </w:r>
      <w:r>
        <w:rPr>
          <w:rFonts w:ascii="宋体" w:hAnsi="宋体"/>
          <w:szCs w:val="21"/>
        </w:rPr>
        <w:t>限延误的，按第</w:t>
      </w:r>
      <w:r>
        <w:rPr>
          <w:rFonts w:ascii="宋体" w:hAnsi="宋体"/>
          <w:spacing w:val="-54"/>
          <w:szCs w:val="21"/>
        </w:rPr>
        <w:t xml:space="preserve"> </w:t>
      </w:r>
      <w:r>
        <w:rPr>
          <w:rFonts w:ascii="宋体" w:hAnsi="宋体"/>
          <w:szCs w:val="21"/>
        </w:rPr>
        <w:t>6.2 款约定执行。</w:t>
      </w:r>
    </w:p>
    <w:p w14:paraId="3D134717">
      <w:pPr>
        <w:pStyle w:val="270"/>
        <w:spacing w:line="302" w:lineRule="exact"/>
        <w:ind w:left="522" w:firstLine="210"/>
        <w:rPr>
          <w:rFonts w:ascii="宋体" w:hAnsi="宋体" w:eastAsia="宋体"/>
          <w:lang w:eastAsia="zh-CN"/>
        </w:rPr>
      </w:pPr>
      <w:r>
        <w:rPr>
          <w:rFonts w:ascii="宋体" w:hAnsi="宋体" w:eastAsia="宋体"/>
          <w:lang w:eastAsia="zh-CN"/>
        </w:rPr>
        <w:t xml:space="preserve">1.6.3  </w:t>
      </w:r>
      <w:r>
        <w:rPr>
          <w:rFonts w:hint="eastAsia" w:ascii="宋体" w:hAnsi="宋体" w:eastAsia="宋体"/>
          <w:lang w:eastAsia="zh-CN"/>
        </w:rPr>
        <w:t>文件错误的通知</w:t>
      </w:r>
    </w:p>
    <w:p w14:paraId="044F4435">
      <w:pPr>
        <w:pStyle w:val="2"/>
        <w:spacing w:before="6" w:line="355" w:lineRule="auto"/>
        <w:ind w:left="100" w:right="113" w:firstLine="419"/>
        <w:rPr>
          <w:rFonts w:ascii="宋体" w:hAnsi="宋体"/>
          <w:szCs w:val="21"/>
        </w:rPr>
      </w:pPr>
      <w:r>
        <w:rPr>
          <w:rFonts w:ascii="宋体" w:hAnsi="宋体"/>
          <w:szCs w:val="21"/>
        </w:rPr>
        <w:t>任何一方当事人发现文件中存在的明显错误或疏忽，均应及时通知对方当事人，并应立即 采取适当的措施防止损失扩大。</w:t>
      </w:r>
    </w:p>
    <w:p w14:paraId="42628445">
      <w:pPr>
        <w:pStyle w:val="270"/>
        <w:ind w:left="522" w:firstLine="210"/>
        <w:rPr>
          <w:rFonts w:ascii="宋体" w:hAnsi="宋体" w:eastAsia="宋体"/>
          <w:lang w:eastAsia="zh-CN"/>
        </w:rPr>
      </w:pPr>
      <w:r>
        <w:rPr>
          <w:rFonts w:ascii="宋体" w:hAnsi="宋体" w:eastAsia="宋体"/>
          <w:lang w:eastAsia="zh-CN"/>
        </w:rPr>
        <w:t xml:space="preserve">1.6.4  </w:t>
      </w:r>
      <w:r>
        <w:rPr>
          <w:rFonts w:hint="eastAsia" w:ascii="宋体" w:hAnsi="宋体" w:eastAsia="宋体"/>
          <w:lang w:eastAsia="zh-CN"/>
        </w:rPr>
        <w:t>文件的照管</w:t>
      </w:r>
    </w:p>
    <w:p w14:paraId="1AB4C2A4">
      <w:pPr>
        <w:pStyle w:val="2"/>
        <w:spacing w:before="111" w:line="355" w:lineRule="auto"/>
        <w:ind w:left="100" w:right="113" w:firstLine="419"/>
        <w:rPr>
          <w:rFonts w:ascii="宋体" w:hAnsi="宋体"/>
          <w:szCs w:val="21"/>
        </w:rPr>
      </w:pPr>
      <w:r>
        <w:rPr>
          <w:rFonts w:ascii="宋体" w:hAnsi="宋体"/>
          <w:szCs w:val="21"/>
        </w:rPr>
        <w:t>监理人应在现场保留一份合同文件、监理文件、委托人要求中的所列文件、以及其他根据 合同收发的往来信函，以备委托人和行政管理部门查阅使用。</w:t>
      </w:r>
    </w:p>
    <w:p w14:paraId="49725018">
      <w:pPr>
        <w:pStyle w:val="2"/>
        <w:spacing w:before="4"/>
        <w:rPr>
          <w:rFonts w:ascii="宋体" w:hAnsi="宋体"/>
          <w:szCs w:val="21"/>
        </w:rPr>
      </w:pPr>
    </w:p>
    <w:p w14:paraId="1C3F6CAE">
      <w:pPr>
        <w:pStyle w:val="269"/>
        <w:rPr>
          <w:sz w:val="21"/>
          <w:szCs w:val="21"/>
          <w:lang w:eastAsia="zh-CN"/>
        </w:rPr>
      </w:pPr>
      <w:bookmarkStart w:id="558" w:name="_bookmark102"/>
      <w:bookmarkEnd w:id="558"/>
      <w:r>
        <w:rPr>
          <w:sz w:val="21"/>
          <w:szCs w:val="21"/>
          <w:lang w:eastAsia="zh-CN"/>
        </w:rPr>
        <w:t>1.7</w:t>
      </w:r>
      <w:r>
        <w:rPr>
          <w:spacing w:val="69"/>
          <w:sz w:val="21"/>
          <w:szCs w:val="21"/>
          <w:lang w:eastAsia="zh-CN"/>
        </w:rPr>
        <w:t xml:space="preserve"> </w:t>
      </w:r>
      <w:r>
        <w:rPr>
          <w:sz w:val="21"/>
          <w:szCs w:val="21"/>
          <w:lang w:eastAsia="zh-CN"/>
        </w:rPr>
        <w:t>联络</w:t>
      </w:r>
    </w:p>
    <w:p w14:paraId="4EF102D5">
      <w:pPr>
        <w:pStyle w:val="2"/>
        <w:spacing w:before="249" w:line="336" w:lineRule="auto"/>
        <w:ind w:left="100" w:right="26" w:firstLine="419"/>
        <w:rPr>
          <w:rFonts w:ascii="宋体" w:hAnsi="宋体"/>
          <w:szCs w:val="21"/>
        </w:rPr>
      </w:pPr>
      <w:r>
        <w:rPr>
          <w:rFonts w:ascii="宋体" w:hAnsi="宋体"/>
          <w:szCs w:val="21"/>
        </w:rPr>
        <w:t>1.7.1 与合同有关的通知、批准、证明、证书、指示、要求、请求、同意、意见、确定和决 定等，均应采用书面形式。</w:t>
      </w:r>
    </w:p>
    <w:p w14:paraId="12986D3E">
      <w:pPr>
        <w:pStyle w:val="2"/>
        <w:spacing w:before="49" w:line="338" w:lineRule="auto"/>
        <w:ind w:left="100" w:right="26" w:firstLine="419"/>
        <w:rPr>
          <w:rFonts w:ascii="宋体" w:hAnsi="宋体"/>
          <w:szCs w:val="21"/>
        </w:rPr>
      </w:pPr>
      <w:r>
        <w:rPr>
          <w:rFonts w:ascii="宋体" w:hAnsi="宋体"/>
          <w:szCs w:val="21"/>
        </w:rPr>
        <w:t>1.7.2 上述通知、批准、证明、证书、指示、要求、请求、同意、意见、确定和决定等来往 函件，均应在合同约定的期限内送达指定的地点和指定的接收人，并办理签收手续。</w:t>
      </w:r>
    </w:p>
    <w:p w14:paraId="3FC8C936">
      <w:pPr>
        <w:pStyle w:val="2"/>
        <w:spacing w:before="6"/>
        <w:rPr>
          <w:rFonts w:ascii="宋体" w:hAnsi="宋体"/>
          <w:szCs w:val="21"/>
        </w:rPr>
      </w:pPr>
    </w:p>
    <w:p w14:paraId="681CA813">
      <w:pPr>
        <w:pStyle w:val="269"/>
        <w:rPr>
          <w:sz w:val="21"/>
          <w:szCs w:val="21"/>
          <w:lang w:eastAsia="zh-CN"/>
        </w:rPr>
      </w:pPr>
      <w:bookmarkStart w:id="559" w:name="_bookmark103"/>
      <w:bookmarkEnd w:id="559"/>
      <w:r>
        <w:rPr>
          <w:sz w:val="21"/>
          <w:szCs w:val="21"/>
          <w:lang w:eastAsia="zh-CN"/>
        </w:rPr>
        <w:t>1.8</w:t>
      </w:r>
      <w:r>
        <w:rPr>
          <w:spacing w:val="69"/>
          <w:sz w:val="21"/>
          <w:szCs w:val="21"/>
          <w:lang w:eastAsia="zh-CN"/>
        </w:rPr>
        <w:t xml:space="preserve"> </w:t>
      </w:r>
      <w:r>
        <w:rPr>
          <w:sz w:val="21"/>
          <w:szCs w:val="21"/>
          <w:lang w:eastAsia="zh-CN"/>
        </w:rPr>
        <w:t>转让</w:t>
      </w:r>
    </w:p>
    <w:p w14:paraId="4C351824">
      <w:pPr>
        <w:pStyle w:val="2"/>
        <w:spacing w:before="248" w:line="355" w:lineRule="auto"/>
        <w:ind w:left="100" w:right="113" w:firstLine="419"/>
        <w:rPr>
          <w:rFonts w:ascii="宋体" w:hAnsi="宋体"/>
          <w:szCs w:val="21"/>
        </w:rPr>
      </w:pPr>
      <w:r>
        <w:rPr>
          <w:rFonts w:ascii="宋体" w:hAnsi="宋体"/>
          <w:szCs w:val="21"/>
        </w:rPr>
        <w:t>除专用合同条款另有约定外，未经对方当事人同意，一方当事人不得将合同权利全部或部 分转让给第三人，也不得全部或部分转移合同义务。</w:t>
      </w:r>
    </w:p>
    <w:p w14:paraId="58E5047C">
      <w:pPr>
        <w:pStyle w:val="2"/>
        <w:spacing w:before="5"/>
        <w:rPr>
          <w:rFonts w:ascii="宋体" w:hAnsi="宋体"/>
          <w:szCs w:val="21"/>
        </w:rPr>
      </w:pPr>
    </w:p>
    <w:p w14:paraId="710B9977">
      <w:pPr>
        <w:pStyle w:val="269"/>
        <w:rPr>
          <w:sz w:val="21"/>
          <w:szCs w:val="21"/>
          <w:lang w:eastAsia="zh-CN"/>
        </w:rPr>
      </w:pPr>
      <w:bookmarkStart w:id="560" w:name="_bookmark104"/>
      <w:bookmarkEnd w:id="560"/>
      <w:r>
        <w:rPr>
          <w:sz w:val="21"/>
          <w:szCs w:val="21"/>
          <w:lang w:eastAsia="zh-CN"/>
        </w:rPr>
        <w:t>1.9  严禁贿赂</w:t>
      </w:r>
    </w:p>
    <w:p w14:paraId="0933D92F">
      <w:pPr>
        <w:pStyle w:val="2"/>
        <w:spacing w:before="248" w:line="355" w:lineRule="auto"/>
        <w:ind w:left="100" w:right="113" w:firstLine="419"/>
        <w:rPr>
          <w:rFonts w:ascii="宋体" w:hAnsi="宋体"/>
          <w:szCs w:val="21"/>
        </w:rPr>
      </w:pPr>
      <w:r>
        <w:rPr>
          <w:rFonts w:ascii="宋体" w:hAnsi="宋体"/>
          <w:szCs w:val="21"/>
        </w:rPr>
        <w:t>合同双方当事人不得以贿赂或变相贿赂的方式，谋取不当利益或损害对方权益。因贿赂造 成对方当事人损失的，行为人应当赔偿损失，并承担相应的法律责任。</w:t>
      </w:r>
    </w:p>
    <w:p w14:paraId="1C376415">
      <w:pPr>
        <w:pStyle w:val="2"/>
        <w:spacing w:before="7"/>
        <w:rPr>
          <w:rFonts w:ascii="宋体" w:hAnsi="宋体"/>
          <w:szCs w:val="21"/>
        </w:rPr>
      </w:pPr>
    </w:p>
    <w:p w14:paraId="1E6D06C9">
      <w:pPr>
        <w:pStyle w:val="269"/>
        <w:rPr>
          <w:sz w:val="21"/>
          <w:szCs w:val="21"/>
          <w:lang w:eastAsia="zh-CN"/>
        </w:rPr>
      </w:pPr>
      <w:bookmarkStart w:id="561" w:name="_bookmark105"/>
      <w:bookmarkEnd w:id="561"/>
      <w:r>
        <w:rPr>
          <w:sz w:val="21"/>
          <w:szCs w:val="21"/>
          <w:lang w:eastAsia="zh-CN"/>
        </w:rPr>
        <w:t>1.10  知识产权</w:t>
      </w:r>
    </w:p>
    <w:p w14:paraId="09909107">
      <w:pPr>
        <w:pStyle w:val="2"/>
        <w:spacing w:before="248" w:line="338" w:lineRule="auto"/>
        <w:ind w:left="100" w:right="113" w:firstLine="419"/>
        <w:rPr>
          <w:rFonts w:ascii="宋体" w:hAnsi="宋体"/>
          <w:szCs w:val="21"/>
        </w:rPr>
      </w:pPr>
      <w:r>
        <w:rPr>
          <w:rFonts w:ascii="宋体" w:hAnsi="宋体"/>
          <w:szCs w:val="21"/>
        </w:rPr>
        <w:t>1.10.1 除专用合同条款另有约定外，监理人完成的监理工作成果，除署名权以外的著作权 和其他知识产权均归委托人享有。</w:t>
      </w:r>
    </w:p>
    <w:p w14:paraId="2EDB92C5">
      <w:pPr>
        <w:pStyle w:val="2"/>
        <w:spacing w:before="47" w:line="348" w:lineRule="auto"/>
        <w:ind w:left="100" w:right="113" w:firstLine="419"/>
        <w:jc w:val="right"/>
        <w:rPr>
          <w:rFonts w:ascii="宋体" w:hAnsi="宋体"/>
          <w:szCs w:val="21"/>
        </w:rPr>
      </w:pPr>
      <w:r>
        <w:rPr>
          <w:rFonts w:ascii="宋体" w:hAnsi="宋体"/>
          <w:szCs w:val="21"/>
        </w:rPr>
        <w:t>1.10.2 监理人从事监理活动时不得侵犯他人的知识产权。因侵犯专利权或其他知识产权所 引起的责任，由监理人自行承担。因委托人提供的监理资料导致侵权的，由委托人承担责任。 1.10.3  监理人在投标文件中采用专利技术、专有技术的，相应的使用费视为已包含在投标</w:t>
      </w:r>
    </w:p>
    <w:p w14:paraId="4EA13D69">
      <w:pPr>
        <w:pStyle w:val="2"/>
        <w:spacing w:before="12"/>
        <w:ind w:left="100" w:right="113"/>
        <w:rPr>
          <w:rFonts w:ascii="宋体" w:hAnsi="宋体"/>
          <w:szCs w:val="21"/>
        </w:rPr>
      </w:pPr>
      <w:r>
        <w:rPr>
          <w:rFonts w:ascii="宋体" w:hAnsi="宋体"/>
          <w:szCs w:val="21"/>
        </w:rPr>
        <w:t>报价之中。</w:t>
      </w:r>
    </w:p>
    <w:p w14:paraId="5A256D78">
      <w:pPr>
        <w:pStyle w:val="2"/>
        <w:rPr>
          <w:rFonts w:ascii="宋体" w:hAnsi="宋体"/>
          <w:szCs w:val="21"/>
        </w:rPr>
      </w:pPr>
    </w:p>
    <w:p w14:paraId="0C87C70A">
      <w:pPr>
        <w:pStyle w:val="269"/>
        <w:rPr>
          <w:sz w:val="21"/>
          <w:szCs w:val="21"/>
          <w:lang w:eastAsia="zh-CN"/>
        </w:rPr>
      </w:pPr>
      <w:bookmarkStart w:id="562" w:name="_bookmark106"/>
      <w:bookmarkEnd w:id="562"/>
      <w:r>
        <w:rPr>
          <w:sz w:val="21"/>
          <w:szCs w:val="21"/>
          <w:lang w:eastAsia="zh-CN"/>
        </w:rPr>
        <w:t>1.11  文件及信息的保密</w:t>
      </w:r>
    </w:p>
    <w:p w14:paraId="5D2B2BB3">
      <w:pPr>
        <w:pStyle w:val="2"/>
        <w:spacing w:before="249" w:line="355" w:lineRule="auto"/>
        <w:ind w:left="100" w:right="113" w:firstLine="419"/>
        <w:rPr>
          <w:rFonts w:ascii="宋体" w:hAnsi="宋体"/>
          <w:szCs w:val="21"/>
        </w:rPr>
      </w:pPr>
      <w:r>
        <w:rPr>
          <w:rFonts w:ascii="宋体" w:hAnsi="宋体"/>
          <w:szCs w:val="21"/>
        </w:rPr>
        <w:t>未经对方同意，任何一方当事人不得将有关文件、技术秘密、需要保密的资料和信息泄露 给他人或公开发表与引用。</w:t>
      </w:r>
    </w:p>
    <w:p w14:paraId="4F271001">
      <w:pPr>
        <w:pStyle w:val="269"/>
        <w:spacing w:line="382" w:lineRule="exact"/>
        <w:rPr>
          <w:sz w:val="21"/>
          <w:szCs w:val="21"/>
          <w:lang w:eastAsia="zh-CN"/>
        </w:rPr>
      </w:pPr>
      <w:bookmarkStart w:id="563" w:name="_bookmark107"/>
      <w:bookmarkEnd w:id="563"/>
      <w:r>
        <w:rPr>
          <w:sz w:val="21"/>
          <w:szCs w:val="21"/>
          <w:lang w:eastAsia="zh-CN"/>
        </w:rPr>
        <w:t>1.12  委托人要求</w:t>
      </w:r>
    </w:p>
    <w:p w14:paraId="2C8E6699">
      <w:pPr>
        <w:pStyle w:val="2"/>
        <w:spacing w:before="248"/>
        <w:ind w:left="520" w:right="108"/>
        <w:rPr>
          <w:rFonts w:ascii="宋体" w:hAnsi="宋体"/>
          <w:szCs w:val="21"/>
        </w:rPr>
      </w:pPr>
      <w:r>
        <w:rPr>
          <w:rFonts w:ascii="宋体" w:hAnsi="宋体"/>
          <w:szCs w:val="21"/>
        </w:rPr>
        <w:t>1.12.1  监理人应认真阅读、复核委托人要求，发现错误的，应及时书面通知委托人。无论</w:t>
      </w:r>
    </w:p>
    <w:p w14:paraId="36A5678F">
      <w:pPr>
        <w:pStyle w:val="2"/>
        <w:spacing w:before="117" w:line="336" w:lineRule="auto"/>
        <w:ind w:left="100" w:right="111"/>
        <w:rPr>
          <w:rFonts w:ascii="宋体" w:hAnsi="宋体"/>
          <w:szCs w:val="21"/>
        </w:rPr>
      </w:pPr>
      <w:r>
        <w:rPr>
          <w:rFonts w:ascii="宋体" w:hAnsi="宋体"/>
          <w:szCs w:val="21"/>
        </w:rPr>
        <w:t>是否存在错误，委托人均有权修改委托人要求，并在修改后 3</w:t>
      </w:r>
      <w:r>
        <w:rPr>
          <w:rFonts w:ascii="宋体" w:hAnsi="宋体"/>
          <w:spacing w:val="-31"/>
          <w:szCs w:val="21"/>
        </w:rPr>
        <w:t xml:space="preserve"> </w:t>
      </w:r>
      <w:r>
        <w:rPr>
          <w:rFonts w:ascii="宋体" w:hAnsi="宋体"/>
          <w:szCs w:val="21"/>
        </w:rPr>
        <w:t xml:space="preserve">日内通知监理人。除专用合同条 </w:t>
      </w:r>
      <w:r>
        <w:rPr>
          <w:rFonts w:ascii="宋体" w:hAnsi="宋体"/>
          <w:spacing w:val="-3"/>
          <w:szCs w:val="21"/>
        </w:rPr>
        <w:t xml:space="preserve">款另有约定外，由此导致监理人费用增加和(或)周期延误的，委托人应当相应地增加费用和(或) </w:t>
      </w:r>
      <w:r>
        <w:rPr>
          <w:rFonts w:ascii="宋体" w:hAnsi="宋体"/>
          <w:szCs w:val="21"/>
        </w:rPr>
        <w:t>延长周期。</w:t>
      </w:r>
    </w:p>
    <w:p w14:paraId="69EF6082">
      <w:pPr>
        <w:pStyle w:val="2"/>
        <w:spacing w:before="49" w:line="348" w:lineRule="auto"/>
        <w:ind w:left="100" w:right="113" w:firstLine="419"/>
        <w:rPr>
          <w:rFonts w:ascii="宋体" w:hAnsi="宋体"/>
          <w:szCs w:val="21"/>
        </w:rPr>
      </w:pPr>
      <w:r>
        <w:rPr>
          <w:rFonts w:ascii="宋体" w:hAnsi="宋体"/>
          <w:szCs w:val="21"/>
        </w:rPr>
        <w:t>1.12.2 如果委托人要求违反法律规定，监理人应在发现后及时书面通知委托人，要求其改 正。委托人收到通知书后不予改正或不予答复的，监理人有权拒绝履行合同义务，直至解除合 同；由此引起的监理人的全部损失由委托人承担。</w:t>
      </w:r>
    </w:p>
    <w:p w14:paraId="1736D6CA">
      <w:pPr>
        <w:pStyle w:val="2"/>
        <w:spacing w:before="38" w:line="336" w:lineRule="auto"/>
        <w:ind w:left="100" w:right="116" w:firstLine="434"/>
        <w:rPr>
          <w:rFonts w:ascii="宋体" w:hAnsi="宋体"/>
          <w:szCs w:val="21"/>
        </w:rPr>
      </w:pPr>
      <w:r>
        <w:rPr>
          <w:rFonts w:ascii="宋体" w:hAnsi="宋体"/>
          <w:szCs w:val="21"/>
        </w:rPr>
        <w:t>1.12.3 委托人要求采用国外规范和标准进行监理时，应由委托人负责提供该规范和标准的 外国文本和中文译本，提供的时间、份数和其他要求在专用合同条款中约定。</w:t>
      </w:r>
    </w:p>
    <w:p w14:paraId="1F8F2CEE">
      <w:pPr>
        <w:pStyle w:val="2"/>
        <w:spacing w:before="7"/>
        <w:rPr>
          <w:rFonts w:ascii="宋体" w:hAnsi="宋体"/>
          <w:szCs w:val="21"/>
        </w:rPr>
      </w:pPr>
    </w:p>
    <w:p w14:paraId="46E76346">
      <w:pPr>
        <w:ind w:left="100"/>
        <w:rPr>
          <w:rFonts w:ascii="宋体" w:hAnsi="宋体"/>
          <w:b/>
          <w:szCs w:val="21"/>
        </w:rPr>
      </w:pPr>
      <w:bookmarkStart w:id="564" w:name="_bookmark108"/>
      <w:bookmarkEnd w:id="564"/>
      <w:r>
        <w:rPr>
          <w:rFonts w:ascii="宋体" w:hAnsi="宋体"/>
          <w:b/>
          <w:szCs w:val="21"/>
        </w:rPr>
        <w:t xml:space="preserve">2.  </w:t>
      </w:r>
      <w:r>
        <w:rPr>
          <w:rFonts w:ascii="宋体" w:hAnsi="宋体"/>
          <w:szCs w:val="21"/>
        </w:rPr>
        <w:t>委托人</w:t>
      </w:r>
      <w:r>
        <w:rPr>
          <w:rFonts w:hint="eastAsia" w:ascii="宋体" w:hAnsi="宋体"/>
          <w:b/>
          <w:szCs w:val="21"/>
        </w:rPr>
        <w:t>义务</w:t>
      </w:r>
    </w:p>
    <w:p w14:paraId="44DB5654">
      <w:pPr>
        <w:pStyle w:val="2"/>
        <w:rPr>
          <w:rFonts w:ascii="宋体" w:hAnsi="宋体"/>
          <w:b/>
          <w:szCs w:val="21"/>
        </w:rPr>
      </w:pPr>
    </w:p>
    <w:p w14:paraId="2766DAC3">
      <w:pPr>
        <w:pStyle w:val="269"/>
        <w:rPr>
          <w:sz w:val="21"/>
          <w:szCs w:val="21"/>
          <w:lang w:eastAsia="zh-CN"/>
        </w:rPr>
      </w:pPr>
      <w:bookmarkStart w:id="565" w:name="_bookmark109"/>
      <w:bookmarkEnd w:id="565"/>
      <w:r>
        <w:rPr>
          <w:sz w:val="21"/>
          <w:szCs w:val="21"/>
          <w:lang w:eastAsia="zh-CN"/>
        </w:rPr>
        <w:t>2.1  遵守法律</w:t>
      </w:r>
    </w:p>
    <w:p w14:paraId="0D45D107">
      <w:pPr>
        <w:pStyle w:val="2"/>
        <w:spacing w:before="249" w:line="355" w:lineRule="auto"/>
        <w:ind w:left="100" w:right="114" w:firstLine="419"/>
        <w:rPr>
          <w:rFonts w:ascii="宋体" w:hAnsi="宋体"/>
          <w:szCs w:val="21"/>
        </w:rPr>
      </w:pPr>
      <w:r>
        <w:rPr>
          <w:rFonts w:ascii="宋体" w:hAnsi="宋体"/>
          <w:szCs w:val="21"/>
        </w:rPr>
        <w:t>委托人在履行合同过程中应遵守法律，并保证监理人免于承担因委托人违反法律而引起的 任何责任。</w:t>
      </w:r>
    </w:p>
    <w:p w14:paraId="4A6E863A">
      <w:pPr>
        <w:pStyle w:val="2"/>
        <w:spacing w:before="4"/>
        <w:rPr>
          <w:rFonts w:ascii="宋体" w:hAnsi="宋体"/>
          <w:szCs w:val="21"/>
        </w:rPr>
      </w:pPr>
    </w:p>
    <w:p w14:paraId="0AE1DDC1">
      <w:pPr>
        <w:pStyle w:val="269"/>
        <w:rPr>
          <w:sz w:val="21"/>
          <w:szCs w:val="21"/>
          <w:lang w:eastAsia="zh-CN"/>
        </w:rPr>
      </w:pPr>
      <w:bookmarkStart w:id="566" w:name="_bookmark110"/>
      <w:bookmarkEnd w:id="566"/>
      <w:r>
        <w:rPr>
          <w:sz w:val="21"/>
          <w:szCs w:val="21"/>
          <w:lang w:eastAsia="zh-CN"/>
        </w:rPr>
        <w:t>2.2</w:t>
      </w:r>
      <w:r>
        <w:rPr>
          <w:spacing w:val="68"/>
          <w:sz w:val="21"/>
          <w:szCs w:val="21"/>
          <w:lang w:eastAsia="zh-CN"/>
        </w:rPr>
        <w:t xml:space="preserve"> </w:t>
      </w:r>
      <w:r>
        <w:rPr>
          <w:sz w:val="21"/>
          <w:szCs w:val="21"/>
          <w:lang w:eastAsia="zh-CN"/>
        </w:rPr>
        <w:t>发出开始监理通知</w:t>
      </w:r>
    </w:p>
    <w:p w14:paraId="74BC5A18">
      <w:pPr>
        <w:pStyle w:val="2"/>
        <w:spacing w:before="248" w:line="336" w:lineRule="auto"/>
        <w:ind w:left="520" w:right="113"/>
        <w:rPr>
          <w:rFonts w:ascii="宋体" w:hAnsi="宋体"/>
          <w:szCs w:val="21"/>
        </w:rPr>
      </w:pPr>
      <w:r>
        <w:rPr>
          <w:rFonts w:ascii="宋体" w:hAnsi="宋体"/>
          <w:szCs w:val="21"/>
        </w:rPr>
        <w:t>委托人应按第 6.1 款的约定向监理人发出开始监理通知。 除专用合同条款另有约定外，委托人应为监理人的现场人员，在施工期间提供办公房间、</w:t>
      </w:r>
    </w:p>
    <w:p w14:paraId="1A76F856">
      <w:pPr>
        <w:pStyle w:val="2"/>
        <w:spacing w:before="51"/>
        <w:ind w:left="100"/>
        <w:rPr>
          <w:rFonts w:ascii="宋体" w:hAnsi="宋体"/>
          <w:szCs w:val="21"/>
        </w:rPr>
      </w:pPr>
      <w:r>
        <w:rPr>
          <w:rFonts w:ascii="宋体" w:hAnsi="宋体"/>
          <w:szCs w:val="21"/>
        </w:rPr>
        <w:t>办公桌椅、互联网接口、冷暖设施、生活设施、进出现场交通服务和其他便利条件。</w:t>
      </w:r>
    </w:p>
    <w:p w14:paraId="1E6647F2">
      <w:pPr>
        <w:pStyle w:val="2"/>
        <w:spacing w:before="1"/>
        <w:rPr>
          <w:rFonts w:ascii="宋体" w:hAnsi="宋体"/>
          <w:szCs w:val="21"/>
        </w:rPr>
      </w:pPr>
    </w:p>
    <w:p w14:paraId="120F782A">
      <w:pPr>
        <w:pStyle w:val="269"/>
        <w:rPr>
          <w:sz w:val="21"/>
          <w:szCs w:val="21"/>
          <w:lang w:eastAsia="zh-CN"/>
        </w:rPr>
      </w:pPr>
      <w:bookmarkStart w:id="567" w:name="_bookmark111"/>
      <w:bookmarkEnd w:id="567"/>
      <w:r>
        <w:rPr>
          <w:sz w:val="21"/>
          <w:szCs w:val="21"/>
          <w:lang w:eastAsia="zh-CN"/>
        </w:rPr>
        <w:t>2.3  办理证件和批件</w:t>
      </w:r>
    </w:p>
    <w:p w14:paraId="60AA21E1">
      <w:pPr>
        <w:pStyle w:val="2"/>
        <w:spacing w:before="248" w:line="355" w:lineRule="auto"/>
        <w:ind w:left="100" w:right="114" w:firstLine="419"/>
        <w:rPr>
          <w:rFonts w:ascii="宋体" w:hAnsi="宋体"/>
          <w:szCs w:val="21"/>
        </w:rPr>
      </w:pPr>
      <w:r>
        <w:rPr>
          <w:rFonts w:ascii="宋体" w:hAnsi="宋体"/>
          <w:szCs w:val="21"/>
        </w:rPr>
        <w:t>法律规定和（或）合同约定由委托人负责办理的工程建设项目必须履行的各类审批、核准 或备案手续，委托人应当按时办理，监理人应给予必要的协助。</w:t>
      </w:r>
    </w:p>
    <w:p w14:paraId="261EB7A2">
      <w:pPr>
        <w:pStyle w:val="2"/>
        <w:spacing w:before="32" w:line="355" w:lineRule="auto"/>
        <w:ind w:left="100" w:right="114" w:firstLine="419"/>
        <w:rPr>
          <w:rFonts w:ascii="宋体" w:hAnsi="宋体"/>
          <w:szCs w:val="21"/>
        </w:rPr>
      </w:pPr>
      <w:r>
        <w:rPr>
          <w:rFonts w:ascii="宋体" w:hAnsi="宋体"/>
          <w:szCs w:val="21"/>
        </w:rPr>
        <w:t>法律规定和（或）合同约定由监理人负责办理的监理所需的证件和批件，委托人应给予必 要的协助。</w:t>
      </w:r>
    </w:p>
    <w:p w14:paraId="1F83C478">
      <w:pPr>
        <w:pStyle w:val="2"/>
        <w:spacing w:before="7"/>
        <w:rPr>
          <w:rFonts w:ascii="宋体" w:hAnsi="宋体"/>
          <w:szCs w:val="21"/>
        </w:rPr>
      </w:pPr>
    </w:p>
    <w:p w14:paraId="5170542E">
      <w:pPr>
        <w:pStyle w:val="269"/>
        <w:rPr>
          <w:sz w:val="21"/>
          <w:szCs w:val="21"/>
          <w:lang w:eastAsia="zh-CN"/>
        </w:rPr>
      </w:pPr>
      <w:bookmarkStart w:id="568" w:name="_bookmark112"/>
      <w:bookmarkEnd w:id="568"/>
      <w:r>
        <w:rPr>
          <w:sz w:val="21"/>
          <w:szCs w:val="21"/>
          <w:lang w:eastAsia="zh-CN"/>
        </w:rPr>
        <w:t>2.4</w:t>
      </w:r>
      <w:r>
        <w:rPr>
          <w:spacing w:val="69"/>
          <w:sz w:val="21"/>
          <w:szCs w:val="21"/>
          <w:lang w:eastAsia="zh-CN"/>
        </w:rPr>
        <w:t xml:space="preserve"> </w:t>
      </w:r>
      <w:r>
        <w:rPr>
          <w:sz w:val="21"/>
          <w:szCs w:val="21"/>
          <w:lang w:eastAsia="zh-CN"/>
        </w:rPr>
        <w:t>支付合同价款</w:t>
      </w:r>
    </w:p>
    <w:p w14:paraId="74531513">
      <w:pPr>
        <w:pStyle w:val="2"/>
        <w:spacing w:before="249"/>
        <w:ind w:left="520" w:right="113"/>
        <w:rPr>
          <w:rFonts w:ascii="宋体" w:hAnsi="宋体"/>
          <w:szCs w:val="21"/>
        </w:rPr>
      </w:pPr>
      <w:r>
        <w:rPr>
          <w:rFonts w:ascii="宋体" w:hAnsi="宋体"/>
          <w:szCs w:val="21"/>
        </w:rPr>
        <w:t>委托人应按合同约定向监理人及时支付合同价款。</w:t>
      </w:r>
    </w:p>
    <w:p w14:paraId="1CE99DC3">
      <w:pPr>
        <w:pStyle w:val="269"/>
        <w:spacing w:line="382" w:lineRule="exact"/>
        <w:rPr>
          <w:sz w:val="21"/>
          <w:szCs w:val="21"/>
          <w:lang w:eastAsia="zh-CN"/>
        </w:rPr>
      </w:pPr>
      <w:bookmarkStart w:id="569" w:name="_bookmark113"/>
      <w:bookmarkEnd w:id="569"/>
      <w:r>
        <w:rPr>
          <w:sz w:val="21"/>
          <w:szCs w:val="21"/>
          <w:lang w:eastAsia="zh-CN"/>
        </w:rPr>
        <w:t>2.5</w:t>
      </w:r>
      <w:r>
        <w:rPr>
          <w:spacing w:val="69"/>
          <w:sz w:val="21"/>
          <w:szCs w:val="21"/>
          <w:lang w:eastAsia="zh-CN"/>
        </w:rPr>
        <w:t xml:space="preserve"> </w:t>
      </w:r>
      <w:r>
        <w:rPr>
          <w:sz w:val="21"/>
          <w:szCs w:val="21"/>
          <w:lang w:eastAsia="zh-CN"/>
        </w:rPr>
        <w:t>提供监理资料</w:t>
      </w:r>
    </w:p>
    <w:p w14:paraId="62719774">
      <w:pPr>
        <w:pStyle w:val="2"/>
        <w:spacing w:before="248"/>
        <w:ind w:left="520" w:right="113"/>
        <w:rPr>
          <w:rFonts w:ascii="宋体" w:hAnsi="宋体"/>
          <w:szCs w:val="21"/>
        </w:rPr>
      </w:pPr>
      <w:r>
        <w:rPr>
          <w:rFonts w:ascii="宋体" w:hAnsi="宋体"/>
          <w:szCs w:val="21"/>
        </w:rPr>
        <w:t>委托人应按第</w:t>
      </w:r>
      <w:r>
        <w:rPr>
          <w:rFonts w:ascii="宋体" w:hAnsi="宋体"/>
          <w:spacing w:val="-59"/>
          <w:szCs w:val="21"/>
        </w:rPr>
        <w:t xml:space="preserve"> </w:t>
      </w:r>
      <w:r>
        <w:rPr>
          <w:rFonts w:ascii="宋体" w:hAnsi="宋体"/>
          <w:szCs w:val="21"/>
        </w:rPr>
        <w:t>1.6.2 项的约定向监理人提供监理资料。</w:t>
      </w:r>
    </w:p>
    <w:p w14:paraId="0578335D">
      <w:pPr>
        <w:pStyle w:val="2"/>
        <w:spacing w:before="11"/>
        <w:rPr>
          <w:rFonts w:ascii="宋体" w:hAnsi="宋体"/>
          <w:szCs w:val="21"/>
        </w:rPr>
      </w:pPr>
    </w:p>
    <w:p w14:paraId="7E66C798">
      <w:pPr>
        <w:pStyle w:val="269"/>
        <w:rPr>
          <w:sz w:val="21"/>
          <w:szCs w:val="21"/>
          <w:lang w:eastAsia="zh-CN"/>
        </w:rPr>
      </w:pPr>
      <w:bookmarkStart w:id="570" w:name="_bookmark114"/>
      <w:bookmarkEnd w:id="570"/>
      <w:r>
        <w:rPr>
          <w:sz w:val="21"/>
          <w:szCs w:val="21"/>
          <w:lang w:eastAsia="zh-CN"/>
        </w:rPr>
        <w:t>2.6  其他义务</w:t>
      </w:r>
    </w:p>
    <w:p w14:paraId="533D613D">
      <w:pPr>
        <w:pStyle w:val="2"/>
        <w:spacing w:before="248"/>
        <w:ind w:left="520" w:right="113"/>
        <w:rPr>
          <w:rFonts w:ascii="宋体" w:hAnsi="宋体"/>
          <w:szCs w:val="21"/>
        </w:rPr>
      </w:pPr>
      <w:r>
        <w:rPr>
          <w:rFonts w:ascii="宋体" w:hAnsi="宋体"/>
          <w:szCs w:val="21"/>
        </w:rPr>
        <w:t>委托人应履行合同约定的其他义务。</w:t>
      </w:r>
    </w:p>
    <w:p w14:paraId="04A3658A">
      <w:pPr>
        <w:pStyle w:val="2"/>
        <w:spacing w:before="10"/>
        <w:rPr>
          <w:rFonts w:ascii="宋体" w:hAnsi="宋体"/>
          <w:szCs w:val="21"/>
        </w:rPr>
      </w:pPr>
    </w:p>
    <w:p w14:paraId="65D054A6">
      <w:pPr>
        <w:ind w:left="100" w:right="113"/>
        <w:rPr>
          <w:rFonts w:ascii="宋体" w:hAnsi="宋体"/>
          <w:b/>
          <w:szCs w:val="21"/>
        </w:rPr>
      </w:pPr>
      <w:bookmarkStart w:id="571" w:name="_bookmark115"/>
      <w:bookmarkEnd w:id="571"/>
      <w:r>
        <w:rPr>
          <w:rFonts w:ascii="宋体" w:hAnsi="宋体"/>
          <w:b/>
          <w:szCs w:val="21"/>
        </w:rPr>
        <w:t xml:space="preserve">3.  </w:t>
      </w:r>
      <w:r>
        <w:rPr>
          <w:rFonts w:ascii="宋体" w:hAnsi="宋体"/>
          <w:szCs w:val="21"/>
        </w:rPr>
        <w:t>委托人</w:t>
      </w:r>
      <w:r>
        <w:rPr>
          <w:rFonts w:hint="eastAsia" w:ascii="宋体" w:hAnsi="宋体"/>
          <w:b/>
          <w:szCs w:val="21"/>
        </w:rPr>
        <w:t>管理</w:t>
      </w:r>
    </w:p>
    <w:p w14:paraId="743B3A0B">
      <w:pPr>
        <w:pStyle w:val="2"/>
        <w:spacing w:before="3"/>
        <w:rPr>
          <w:rFonts w:ascii="宋体" w:hAnsi="宋体"/>
          <w:b/>
          <w:szCs w:val="21"/>
        </w:rPr>
      </w:pPr>
    </w:p>
    <w:p w14:paraId="4E265A16">
      <w:pPr>
        <w:pStyle w:val="269"/>
        <w:rPr>
          <w:sz w:val="21"/>
          <w:szCs w:val="21"/>
          <w:lang w:eastAsia="zh-CN"/>
        </w:rPr>
      </w:pPr>
      <w:bookmarkStart w:id="572" w:name="_bookmark116"/>
      <w:bookmarkEnd w:id="572"/>
      <w:r>
        <w:rPr>
          <w:sz w:val="21"/>
          <w:szCs w:val="21"/>
          <w:lang w:eastAsia="zh-CN"/>
        </w:rPr>
        <w:t>3.1  委托人代表</w:t>
      </w:r>
    </w:p>
    <w:p w14:paraId="6EC06569">
      <w:pPr>
        <w:pStyle w:val="2"/>
        <w:spacing w:before="246" w:line="350" w:lineRule="auto"/>
        <w:ind w:left="100" w:right="113" w:firstLine="419"/>
        <w:rPr>
          <w:rFonts w:ascii="宋体" w:hAnsi="宋体"/>
          <w:szCs w:val="21"/>
        </w:rPr>
      </w:pPr>
      <w:r>
        <w:rPr>
          <w:rFonts w:ascii="宋体" w:hAnsi="宋体"/>
          <w:szCs w:val="21"/>
        </w:rPr>
        <w:t xml:space="preserve">3.1.1 </w:t>
      </w:r>
      <w:r>
        <w:rPr>
          <w:rFonts w:ascii="宋体" w:hAnsi="宋体"/>
          <w:spacing w:val="-5"/>
          <w:szCs w:val="21"/>
        </w:rPr>
        <w:t xml:space="preserve">除专用合同条款另有约定外，委托人应在合同签订后 </w:t>
      </w:r>
      <w:r>
        <w:rPr>
          <w:rFonts w:ascii="宋体" w:hAnsi="宋体"/>
          <w:szCs w:val="21"/>
        </w:rPr>
        <w:t xml:space="preserve">14 </w:t>
      </w:r>
      <w:r>
        <w:rPr>
          <w:rFonts w:ascii="宋体" w:hAnsi="宋体"/>
          <w:spacing w:val="-7"/>
          <w:szCs w:val="21"/>
        </w:rPr>
        <w:t xml:space="preserve">天内，将委托人代表的姓名、 </w:t>
      </w:r>
      <w:r>
        <w:rPr>
          <w:rFonts w:ascii="宋体" w:hAnsi="宋体"/>
          <w:spacing w:val="-1"/>
          <w:szCs w:val="21"/>
        </w:rPr>
        <w:t xml:space="preserve">职务、联系方式、授权范围和授权期限书面通知监理人，由委托人代表在其授权范围和授权期 限内，代表委托人行使权利、履行义务和处理合同履行中的具体事宜。委托人代表在授权范围 </w:t>
      </w:r>
      <w:r>
        <w:rPr>
          <w:rFonts w:ascii="宋体" w:hAnsi="宋体"/>
          <w:szCs w:val="21"/>
        </w:rPr>
        <w:t>内的行为由委托人承担法律责任。</w:t>
      </w:r>
    </w:p>
    <w:p w14:paraId="2C6A3727">
      <w:pPr>
        <w:pStyle w:val="2"/>
        <w:spacing w:before="36"/>
        <w:ind w:left="520"/>
        <w:rPr>
          <w:rFonts w:ascii="宋体" w:hAnsi="宋体"/>
          <w:szCs w:val="21"/>
        </w:rPr>
      </w:pPr>
      <w:r>
        <w:rPr>
          <w:rFonts w:ascii="宋体" w:hAnsi="宋体"/>
          <w:szCs w:val="21"/>
        </w:rPr>
        <w:t>3.1.2  委托人代表违反法律法规、违背职业道德守则或者不按合同约定履行职责及义务，导</w:t>
      </w:r>
    </w:p>
    <w:p w14:paraId="169A259F">
      <w:pPr>
        <w:pStyle w:val="2"/>
        <w:spacing w:before="117" w:line="336" w:lineRule="auto"/>
        <w:ind w:left="100" w:right="26"/>
        <w:rPr>
          <w:rFonts w:ascii="宋体" w:hAnsi="宋体"/>
          <w:szCs w:val="21"/>
        </w:rPr>
      </w:pPr>
      <w:r>
        <w:rPr>
          <w:rFonts w:ascii="宋体" w:hAnsi="宋体"/>
          <w:szCs w:val="21"/>
        </w:rPr>
        <w:t>致合同无法继续正常履行的，监理人有权通知委托人更换委托人代表。委托人收到通知后 7 天 内，应当核实完毕并将处理结果通知监理人。</w:t>
      </w:r>
    </w:p>
    <w:p w14:paraId="2D98234C">
      <w:pPr>
        <w:pStyle w:val="2"/>
        <w:spacing w:before="51"/>
        <w:ind w:left="520" w:right="26"/>
        <w:rPr>
          <w:rFonts w:ascii="宋体" w:hAnsi="宋体"/>
          <w:szCs w:val="21"/>
        </w:rPr>
      </w:pPr>
      <w:r>
        <w:rPr>
          <w:rFonts w:ascii="宋体" w:hAnsi="宋体"/>
          <w:szCs w:val="21"/>
        </w:rPr>
        <w:t>3.1.3  委托人更换委托人代表的，应提前 14 天将更换人员的姓名、职务、联系方式、授权</w:t>
      </w:r>
    </w:p>
    <w:p w14:paraId="15A2FE62">
      <w:pPr>
        <w:pStyle w:val="2"/>
        <w:spacing w:before="117" w:line="336" w:lineRule="auto"/>
        <w:ind w:left="100" w:right="26"/>
        <w:rPr>
          <w:rFonts w:ascii="宋体" w:hAnsi="宋体"/>
          <w:szCs w:val="21"/>
        </w:rPr>
      </w:pPr>
      <w:r>
        <w:rPr>
          <w:rFonts w:ascii="宋体" w:hAnsi="宋体"/>
          <w:szCs w:val="21"/>
        </w:rPr>
        <w:t>范围和授权期限书面通知监理人。委托人代表超过 2 天不能履行职责的，应委派代表代行其职 责，并通知监理人。</w:t>
      </w:r>
    </w:p>
    <w:p w14:paraId="6B45E833">
      <w:pPr>
        <w:pStyle w:val="2"/>
        <w:spacing w:before="8"/>
        <w:rPr>
          <w:rFonts w:ascii="宋体" w:hAnsi="宋体"/>
          <w:szCs w:val="21"/>
        </w:rPr>
      </w:pPr>
    </w:p>
    <w:p w14:paraId="3CAFCE71">
      <w:pPr>
        <w:pStyle w:val="269"/>
        <w:rPr>
          <w:sz w:val="21"/>
          <w:szCs w:val="21"/>
          <w:lang w:eastAsia="zh-CN"/>
        </w:rPr>
      </w:pPr>
      <w:bookmarkStart w:id="573" w:name="_bookmark117"/>
      <w:bookmarkEnd w:id="573"/>
      <w:r>
        <w:rPr>
          <w:sz w:val="21"/>
          <w:szCs w:val="21"/>
          <w:lang w:eastAsia="zh-CN"/>
        </w:rPr>
        <w:t>3.2</w:t>
      </w:r>
      <w:r>
        <w:rPr>
          <w:spacing w:val="69"/>
          <w:sz w:val="21"/>
          <w:szCs w:val="21"/>
          <w:lang w:eastAsia="zh-CN"/>
        </w:rPr>
        <w:t xml:space="preserve"> </w:t>
      </w:r>
      <w:r>
        <w:rPr>
          <w:sz w:val="21"/>
          <w:szCs w:val="21"/>
          <w:lang w:eastAsia="zh-CN"/>
        </w:rPr>
        <w:t>委托人的指示</w:t>
      </w:r>
    </w:p>
    <w:p w14:paraId="6251C951">
      <w:pPr>
        <w:pStyle w:val="2"/>
        <w:spacing w:before="249" w:line="338" w:lineRule="auto"/>
        <w:ind w:left="100" w:right="26" w:firstLine="419"/>
        <w:rPr>
          <w:rFonts w:ascii="宋体" w:hAnsi="宋体"/>
          <w:szCs w:val="21"/>
        </w:rPr>
      </w:pPr>
      <w:r>
        <w:rPr>
          <w:rFonts w:ascii="宋体" w:hAnsi="宋体"/>
          <w:szCs w:val="21"/>
        </w:rPr>
        <w:t>3.2.1 委托人应按合同约定向监理人发出指示，委托人的指示应盖有委托人单位章，并由委 托人代表签字确认。</w:t>
      </w:r>
    </w:p>
    <w:p w14:paraId="75A668D6">
      <w:pPr>
        <w:pStyle w:val="2"/>
        <w:spacing w:before="47"/>
        <w:ind w:left="520" w:right="113"/>
        <w:rPr>
          <w:rFonts w:ascii="宋体" w:hAnsi="宋体"/>
          <w:szCs w:val="21"/>
        </w:rPr>
      </w:pPr>
      <w:r>
        <w:rPr>
          <w:rFonts w:ascii="宋体" w:hAnsi="宋体"/>
          <w:szCs w:val="21"/>
        </w:rPr>
        <w:t>3.2.2 监理人收到委托人作出的指示后应遵照执行。指示构成变更的，应按第 8 条执行。</w:t>
      </w:r>
    </w:p>
    <w:p w14:paraId="09018B0F">
      <w:pPr>
        <w:pStyle w:val="2"/>
        <w:spacing w:before="117"/>
        <w:ind w:left="520" w:right="26"/>
        <w:rPr>
          <w:rFonts w:ascii="宋体" w:hAnsi="宋体"/>
          <w:szCs w:val="21"/>
        </w:rPr>
      </w:pPr>
      <w:r>
        <w:rPr>
          <w:rFonts w:ascii="宋体" w:hAnsi="宋体"/>
          <w:szCs w:val="21"/>
        </w:rPr>
        <w:t xml:space="preserve">3.2.3   </w:t>
      </w:r>
      <w:r>
        <w:rPr>
          <w:rFonts w:ascii="宋体" w:hAnsi="宋体"/>
          <w:spacing w:val="-4"/>
          <w:szCs w:val="21"/>
        </w:rPr>
        <w:t>在紧急情况下，委托人代表或其授权人员可以当场签发临时书面指示，监理人应遵照</w:t>
      </w:r>
    </w:p>
    <w:p w14:paraId="25E15BAD">
      <w:pPr>
        <w:pStyle w:val="2"/>
        <w:spacing w:before="117" w:line="336" w:lineRule="auto"/>
        <w:ind w:left="100" w:right="113"/>
        <w:rPr>
          <w:rFonts w:ascii="宋体" w:hAnsi="宋体"/>
          <w:szCs w:val="21"/>
        </w:rPr>
      </w:pPr>
      <w:r>
        <w:rPr>
          <w:rFonts w:ascii="宋体" w:hAnsi="宋体"/>
          <w:spacing w:val="-4"/>
          <w:szCs w:val="21"/>
        </w:rPr>
        <w:t xml:space="preserve">执行。委托人代表应在临时书面指示发出后 </w:t>
      </w:r>
      <w:r>
        <w:rPr>
          <w:rFonts w:ascii="宋体" w:hAnsi="宋体"/>
          <w:szCs w:val="21"/>
        </w:rPr>
        <w:t xml:space="preserve">24 </w:t>
      </w:r>
      <w:r>
        <w:rPr>
          <w:rFonts w:ascii="宋体" w:hAnsi="宋体"/>
          <w:spacing w:val="-4"/>
          <w:szCs w:val="21"/>
        </w:rPr>
        <w:t xml:space="preserve">小时内发出书面确认函，逾期未发出书面确认函 </w:t>
      </w:r>
      <w:r>
        <w:rPr>
          <w:rFonts w:ascii="宋体" w:hAnsi="宋体"/>
          <w:szCs w:val="21"/>
        </w:rPr>
        <w:t>的，该临时书面指示应被视为委托人的正式指示。</w:t>
      </w:r>
    </w:p>
    <w:p w14:paraId="058D9B6B">
      <w:pPr>
        <w:pStyle w:val="2"/>
        <w:spacing w:before="51"/>
        <w:ind w:left="520" w:right="26"/>
        <w:rPr>
          <w:rFonts w:ascii="宋体" w:hAnsi="宋体"/>
          <w:szCs w:val="21"/>
        </w:rPr>
      </w:pPr>
      <w:r>
        <w:rPr>
          <w:rFonts w:ascii="宋体" w:hAnsi="宋体"/>
          <w:szCs w:val="21"/>
        </w:rPr>
        <w:t xml:space="preserve">3.2.4   </w:t>
      </w:r>
      <w:r>
        <w:rPr>
          <w:rFonts w:ascii="宋体" w:hAnsi="宋体"/>
          <w:spacing w:val="-4"/>
          <w:szCs w:val="21"/>
        </w:rPr>
        <w:t>由于委托人未能按合同约定发出指示、指示延误或指示错误而导致监理人费用增加和</w:t>
      </w:r>
    </w:p>
    <w:p w14:paraId="2079486C">
      <w:pPr>
        <w:pStyle w:val="2"/>
        <w:spacing w:before="117"/>
        <w:ind w:left="100" w:right="113"/>
        <w:rPr>
          <w:rFonts w:ascii="宋体" w:hAnsi="宋体"/>
          <w:szCs w:val="21"/>
        </w:rPr>
      </w:pPr>
      <w:r>
        <w:rPr>
          <w:rFonts w:ascii="宋体" w:hAnsi="宋体"/>
          <w:szCs w:val="21"/>
        </w:rPr>
        <w:t>（或）周期延误的，委托人应承担由此增加的费用和（或）周期延误。</w:t>
      </w:r>
    </w:p>
    <w:p w14:paraId="0403837B">
      <w:pPr>
        <w:pStyle w:val="269"/>
        <w:spacing w:line="382" w:lineRule="exact"/>
        <w:ind w:right="108"/>
        <w:rPr>
          <w:sz w:val="21"/>
          <w:szCs w:val="21"/>
          <w:lang w:eastAsia="zh-CN"/>
        </w:rPr>
      </w:pPr>
      <w:bookmarkStart w:id="574" w:name="_bookmark118"/>
      <w:bookmarkEnd w:id="574"/>
      <w:r>
        <w:rPr>
          <w:sz w:val="21"/>
          <w:szCs w:val="21"/>
          <w:lang w:eastAsia="zh-CN"/>
        </w:rPr>
        <w:t>3.3  决定或答复</w:t>
      </w:r>
    </w:p>
    <w:p w14:paraId="2FD42020">
      <w:pPr>
        <w:pStyle w:val="2"/>
        <w:spacing w:before="248"/>
        <w:ind w:left="520" w:right="108"/>
        <w:rPr>
          <w:rFonts w:ascii="宋体" w:hAnsi="宋体"/>
          <w:szCs w:val="21"/>
        </w:rPr>
      </w:pPr>
      <w:r>
        <w:rPr>
          <w:rFonts w:ascii="宋体" w:hAnsi="宋体"/>
          <w:szCs w:val="21"/>
        </w:rPr>
        <w:t>3.3.1   委托人在法律允许的范围内有权对监理人的监理工作和/或监理文件作出处理决定，</w:t>
      </w:r>
    </w:p>
    <w:p w14:paraId="7EC7EE7F">
      <w:pPr>
        <w:pStyle w:val="2"/>
        <w:spacing w:before="117"/>
        <w:ind w:left="100" w:right="108"/>
        <w:rPr>
          <w:rFonts w:ascii="宋体" w:hAnsi="宋体"/>
          <w:szCs w:val="21"/>
        </w:rPr>
      </w:pPr>
      <w:r>
        <w:rPr>
          <w:rFonts w:ascii="宋体" w:hAnsi="宋体"/>
          <w:szCs w:val="21"/>
        </w:rPr>
        <w:t>监理人应按照委托人的决定执行，涉及监理服务期限或监理报酬等问题按第</w:t>
      </w:r>
      <w:r>
        <w:rPr>
          <w:rFonts w:ascii="宋体" w:hAnsi="宋体"/>
          <w:spacing w:val="-63"/>
          <w:szCs w:val="21"/>
        </w:rPr>
        <w:t xml:space="preserve"> </w:t>
      </w:r>
      <w:r>
        <w:rPr>
          <w:rFonts w:ascii="宋体" w:hAnsi="宋体"/>
          <w:szCs w:val="21"/>
        </w:rPr>
        <w:t>8 条的约定处理。</w:t>
      </w:r>
    </w:p>
    <w:p w14:paraId="213B0301">
      <w:pPr>
        <w:pStyle w:val="2"/>
        <w:spacing w:before="117" w:line="336" w:lineRule="auto"/>
        <w:ind w:left="100" w:right="108" w:firstLine="419"/>
        <w:rPr>
          <w:rFonts w:ascii="宋体" w:hAnsi="宋体"/>
          <w:szCs w:val="21"/>
        </w:rPr>
      </w:pPr>
      <w:r>
        <w:rPr>
          <w:rFonts w:ascii="宋体" w:hAnsi="宋体"/>
          <w:szCs w:val="21"/>
        </w:rPr>
        <w:t>3.3.2 委托人应在专用合同条款约定的时间之内，对监理人书面提出的事项作出书面答复； 逾期没有做出答复的，视为已获得委托人的批准。</w:t>
      </w:r>
    </w:p>
    <w:p w14:paraId="7B687ED3">
      <w:pPr>
        <w:pStyle w:val="2"/>
        <w:spacing w:before="5"/>
        <w:rPr>
          <w:rFonts w:ascii="宋体" w:hAnsi="宋体"/>
          <w:szCs w:val="21"/>
        </w:rPr>
      </w:pPr>
    </w:p>
    <w:p w14:paraId="3995FA0E">
      <w:pPr>
        <w:rPr>
          <w:b/>
        </w:rPr>
      </w:pPr>
      <w:bookmarkStart w:id="575" w:name="_bookmark119"/>
      <w:bookmarkEnd w:id="575"/>
      <w:bookmarkStart w:id="576" w:name="_Toc84236921"/>
      <w:r>
        <w:rPr>
          <w:b/>
        </w:rPr>
        <w:t>4.  监理人义务</w:t>
      </w:r>
      <w:bookmarkEnd w:id="576"/>
    </w:p>
    <w:p w14:paraId="4D8C63BE">
      <w:pPr>
        <w:pStyle w:val="2"/>
        <w:spacing w:before="3"/>
        <w:rPr>
          <w:rFonts w:ascii="宋体" w:hAnsi="宋体"/>
          <w:b/>
          <w:szCs w:val="21"/>
        </w:rPr>
      </w:pPr>
    </w:p>
    <w:p w14:paraId="68F04654">
      <w:pPr>
        <w:pStyle w:val="269"/>
        <w:ind w:right="108"/>
        <w:rPr>
          <w:sz w:val="21"/>
          <w:szCs w:val="21"/>
          <w:lang w:eastAsia="zh-CN"/>
        </w:rPr>
      </w:pPr>
      <w:bookmarkStart w:id="577" w:name="_bookmark120"/>
      <w:bookmarkEnd w:id="577"/>
      <w:r>
        <w:rPr>
          <w:sz w:val="21"/>
          <w:szCs w:val="21"/>
          <w:lang w:eastAsia="zh-CN"/>
        </w:rPr>
        <w:t>4.1</w:t>
      </w:r>
      <w:r>
        <w:rPr>
          <w:spacing w:val="68"/>
          <w:sz w:val="21"/>
          <w:szCs w:val="21"/>
          <w:lang w:eastAsia="zh-CN"/>
        </w:rPr>
        <w:t xml:space="preserve"> </w:t>
      </w:r>
      <w:r>
        <w:rPr>
          <w:sz w:val="21"/>
          <w:szCs w:val="21"/>
          <w:lang w:eastAsia="zh-CN"/>
        </w:rPr>
        <w:t>监理人的一般义务</w:t>
      </w:r>
    </w:p>
    <w:p w14:paraId="26EEF1B8">
      <w:pPr>
        <w:spacing w:before="181" w:line="312" w:lineRule="auto"/>
        <w:ind w:left="520" w:right="108" w:firstLine="2"/>
        <w:rPr>
          <w:rFonts w:ascii="宋体" w:hAnsi="宋体"/>
          <w:szCs w:val="21"/>
        </w:rPr>
      </w:pPr>
      <w:r>
        <w:rPr>
          <w:rFonts w:ascii="宋体" w:hAnsi="宋体"/>
          <w:b/>
          <w:szCs w:val="21"/>
        </w:rPr>
        <w:t xml:space="preserve">4.1.1 </w:t>
      </w:r>
      <w:r>
        <w:rPr>
          <w:rFonts w:hint="eastAsia" w:ascii="宋体" w:hAnsi="宋体"/>
          <w:b/>
          <w:szCs w:val="21"/>
        </w:rPr>
        <w:t xml:space="preserve">遵守法律 </w:t>
      </w:r>
      <w:r>
        <w:rPr>
          <w:rFonts w:ascii="宋体" w:hAnsi="宋体"/>
          <w:szCs w:val="21"/>
        </w:rPr>
        <w:t>监理人在履行合同过程中应遵守法律，并保证委托人免于承担因监理人违反法律而引起的</w:t>
      </w:r>
    </w:p>
    <w:p w14:paraId="19657662">
      <w:pPr>
        <w:pStyle w:val="2"/>
        <w:spacing w:before="70"/>
        <w:ind w:left="100" w:right="108"/>
        <w:rPr>
          <w:rFonts w:ascii="宋体" w:hAnsi="宋体"/>
          <w:szCs w:val="21"/>
        </w:rPr>
      </w:pPr>
      <w:r>
        <w:rPr>
          <w:rFonts w:ascii="宋体" w:hAnsi="宋体"/>
          <w:szCs w:val="21"/>
        </w:rPr>
        <w:t>任何责任。</w:t>
      </w:r>
    </w:p>
    <w:p w14:paraId="07E496D3">
      <w:pPr>
        <w:spacing w:before="66" w:line="307" w:lineRule="auto"/>
        <w:ind w:left="520" w:right="860" w:firstLine="2"/>
        <w:rPr>
          <w:rFonts w:ascii="宋体" w:hAnsi="宋体"/>
          <w:b/>
          <w:szCs w:val="21"/>
        </w:rPr>
      </w:pPr>
      <w:r>
        <w:rPr>
          <w:rFonts w:ascii="宋体" w:hAnsi="宋体"/>
          <w:b/>
          <w:szCs w:val="21"/>
        </w:rPr>
        <w:t xml:space="preserve">4.1.2 </w:t>
      </w:r>
      <w:r>
        <w:rPr>
          <w:rFonts w:hint="eastAsia" w:ascii="宋体" w:hAnsi="宋体"/>
          <w:b/>
          <w:szCs w:val="21"/>
        </w:rPr>
        <w:t xml:space="preserve">依法纳税 </w:t>
      </w:r>
      <w:r>
        <w:rPr>
          <w:rFonts w:ascii="宋体" w:hAnsi="宋体"/>
          <w:szCs w:val="21"/>
        </w:rPr>
        <w:t xml:space="preserve">监理人应按有关法律规定纳税，应缴纳的税金（含增值税）包括在合同价格之中。 </w:t>
      </w:r>
      <w:r>
        <w:rPr>
          <w:rFonts w:ascii="宋体" w:hAnsi="宋体"/>
          <w:b/>
          <w:szCs w:val="21"/>
        </w:rPr>
        <w:t xml:space="preserve">4.1.3  </w:t>
      </w:r>
      <w:r>
        <w:rPr>
          <w:rFonts w:hint="eastAsia" w:ascii="宋体" w:hAnsi="宋体"/>
          <w:b/>
          <w:szCs w:val="21"/>
        </w:rPr>
        <w:t>完成全部监理工作</w:t>
      </w:r>
    </w:p>
    <w:p w14:paraId="0EB38523">
      <w:pPr>
        <w:pStyle w:val="2"/>
        <w:spacing w:before="31" w:line="355" w:lineRule="auto"/>
        <w:ind w:left="100" w:right="108" w:firstLine="419"/>
        <w:rPr>
          <w:rFonts w:ascii="宋体" w:hAnsi="宋体"/>
          <w:szCs w:val="21"/>
        </w:rPr>
      </w:pPr>
      <w:r>
        <w:rPr>
          <w:rFonts w:ascii="宋体" w:hAnsi="宋体"/>
          <w:szCs w:val="21"/>
        </w:rPr>
        <w:t>监理人应按合同约定以及委托人要求，完成合同约定的全部工作，并对工作中的任何缺陷 进行整改，使其满足合同约定的目的。</w:t>
      </w:r>
    </w:p>
    <w:p w14:paraId="25D35937">
      <w:pPr>
        <w:pStyle w:val="270"/>
        <w:ind w:left="522" w:right="108" w:firstLine="210"/>
        <w:rPr>
          <w:rFonts w:ascii="宋体" w:hAnsi="宋体" w:eastAsia="宋体"/>
          <w:lang w:eastAsia="zh-CN"/>
        </w:rPr>
      </w:pPr>
      <w:r>
        <w:rPr>
          <w:rFonts w:ascii="宋体" w:hAnsi="宋体" w:eastAsia="宋体"/>
          <w:lang w:eastAsia="zh-CN"/>
        </w:rPr>
        <w:t xml:space="preserve">4.1.4  </w:t>
      </w:r>
      <w:r>
        <w:rPr>
          <w:rFonts w:hint="eastAsia" w:ascii="宋体" w:hAnsi="宋体" w:eastAsia="宋体"/>
          <w:lang w:eastAsia="zh-CN"/>
        </w:rPr>
        <w:t>其他义务</w:t>
      </w:r>
    </w:p>
    <w:p w14:paraId="3A345231">
      <w:pPr>
        <w:pStyle w:val="2"/>
        <w:spacing w:before="111"/>
        <w:ind w:left="520" w:right="108"/>
        <w:rPr>
          <w:rFonts w:ascii="宋体" w:hAnsi="宋体"/>
          <w:szCs w:val="21"/>
        </w:rPr>
      </w:pPr>
      <w:r>
        <w:rPr>
          <w:rFonts w:ascii="宋体" w:hAnsi="宋体"/>
          <w:szCs w:val="21"/>
        </w:rPr>
        <w:t>监理人应履行合同约定的其他义务。</w:t>
      </w:r>
    </w:p>
    <w:p w14:paraId="1F980698">
      <w:pPr>
        <w:pStyle w:val="2"/>
        <w:rPr>
          <w:rFonts w:ascii="宋体" w:hAnsi="宋体"/>
          <w:szCs w:val="21"/>
        </w:rPr>
      </w:pPr>
    </w:p>
    <w:p w14:paraId="48E7B605">
      <w:pPr>
        <w:pStyle w:val="269"/>
        <w:ind w:right="108"/>
        <w:rPr>
          <w:sz w:val="21"/>
          <w:szCs w:val="21"/>
          <w:lang w:eastAsia="zh-CN"/>
        </w:rPr>
      </w:pPr>
      <w:bookmarkStart w:id="578" w:name="_bookmark121"/>
      <w:bookmarkEnd w:id="578"/>
      <w:r>
        <w:rPr>
          <w:sz w:val="21"/>
          <w:szCs w:val="21"/>
          <w:lang w:eastAsia="zh-CN"/>
        </w:rPr>
        <w:t>4.2  履约保证金</w:t>
      </w:r>
    </w:p>
    <w:p w14:paraId="60A8E28A">
      <w:pPr>
        <w:pStyle w:val="2"/>
        <w:spacing w:before="249" w:line="345" w:lineRule="auto"/>
        <w:ind w:left="100" w:right="213" w:firstLine="419"/>
        <w:rPr>
          <w:rFonts w:ascii="宋体" w:hAnsi="宋体"/>
          <w:szCs w:val="21"/>
        </w:rPr>
      </w:pPr>
      <w:r>
        <w:rPr>
          <w:rFonts w:ascii="宋体" w:hAnsi="宋体"/>
          <w:spacing w:val="-1"/>
          <w:szCs w:val="21"/>
        </w:rPr>
        <w:t xml:space="preserve">除专用合同条款另有约定外，履约保证金自合同生效之日起生效，在委托人签发竣工验收 </w:t>
      </w:r>
      <w:r>
        <w:rPr>
          <w:rFonts w:ascii="宋体" w:hAnsi="宋体"/>
          <w:szCs w:val="21"/>
        </w:rPr>
        <w:t xml:space="preserve">证书之日起 28 </w:t>
      </w:r>
      <w:r>
        <w:rPr>
          <w:rFonts w:ascii="宋体" w:hAnsi="宋体"/>
          <w:spacing w:val="-4"/>
          <w:szCs w:val="21"/>
        </w:rPr>
        <w:t xml:space="preserve">日后失效。如果监理人不履行合同约定的义务或其履行不符合合同的约定，委托 </w:t>
      </w:r>
      <w:r>
        <w:rPr>
          <w:rFonts w:ascii="宋体" w:hAnsi="宋体"/>
          <w:szCs w:val="21"/>
        </w:rPr>
        <w:t>人有权扣划相应金额的履约保证金。</w:t>
      </w:r>
    </w:p>
    <w:p w14:paraId="144CE092">
      <w:pPr>
        <w:pStyle w:val="2"/>
        <w:spacing w:before="13"/>
        <w:rPr>
          <w:rFonts w:ascii="宋体" w:hAnsi="宋体"/>
          <w:szCs w:val="21"/>
        </w:rPr>
      </w:pPr>
    </w:p>
    <w:p w14:paraId="38289158">
      <w:pPr>
        <w:pStyle w:val="269"/>
        <w:ind w:right="108"/>
        <w:rPr>
          <w:sz w:val="21"/>
          <w:szCs w:val="21"/>
          <w:lang w:eastAsia="zh-CN"/>
        </w:rPr>
      </w:pPr>
      <w:bookmarkStart w:id="579" w:name="_bookmark122"/>
      <w:bookmarkEnd w:id="579"/>
      <w:r>
        <w:rPr>
          <w:sz w:val="21"/>
          <w:szCs w:val="21"/>
          <w:lang w:eastAsia="zh-CN"/>
        </w:rPr>
        <w:t>4.3  联合体</w:t>
      </w:r>
    </w:p>
    <w:p w14:paraId="312BFC5D">
      <w:pPr>
        <w:pStyle w:val="2"/>
        <w:spacing w:before="248"/>
        <w:ind w:left="520" w:right="108"/>
        <w:rPr>
          <w:rFonts w:ascii="宋体" w:hAnsi="宋体"/>
          <w:szCs w:val="21"/>
        </w:rPr>
      </w:pPr>
      <w:r>
        <w:rPr>
          <w:rFonts w:ascii="宋体" w:hAnsi="宋体"/>
          <w:szCs w:val="21"/>
        </w:rPr>
        <w:t>4.3.1 联合体各方应共同与委托人签订合同。联合体各方应为履行合同承担连带责任。</w:t>
      </w:r>
    </w:p>
    <w:p w14:paraId="66010C10">
      <w:pPr>
        <w:pStyle w:val="2"/>
        <w:spacing w:before="119" w:line="336" w:lineRule="auto"/>
        <w:ind w:left="100" w:right="108" w:firstLine="419"/>
        <w:rPr>
          <w:rFonts w:ascii="宋体" w:hAnsi="宋体"/>
          <w:szCs w:val="21"/>
        </w:rPr>
      </w:pPr>
      <w:r>
        <w:rPr>
          <w:rFonts w:ascii="宋体" w:hAnsi="宋体"/>
          <w:szCs w:val="21"/>
        </w:rPr>
        <w:t>4.3.2 联合体协议经委托人确认后作为合同附件。在履行合同过程中，未经委托人同意，不 得修改联合体协议。</w:t>
      </w:r>
    </w:p>
    <w:p w14:paraId="48EA7F42">
      <w:pPr>
        <w:pStyle w:val="2"/>
        <w:spacing w:before="49"/>
        <w:ind w:left="520" w:right="21"/>
        <w:rPr>
          <w:rFonts w:ascii="宋体" w:hAnsi="宋体"/>
          <w:szCs w:val="21"/>
        </w:rPr>
      </w:pPr>
      <w:r>
        <w:rPr>
          <w:rFonts w:ascii="宋体" w:hAnsi="宋体"/>
          <w:szCs w:val="21"/>
        </w:rPr>
        <w:t>4.3.3   联合体牵头人或联合体授权的代表负责与委托人联系，并接受指示，负责组织联合体</w:t>
      </w:r>
    </w:p>
    <w:p w14:paraId="658291E9">
      <w:pPr>
        <w:pStyle w:val="2"/>
        <w:spacing w:before="6"/>
        <w:ind w:left="100" w:right="108"/>
        <w:rPr>
          <w:rFonts w:ascii="宋体" w:hAnsi="宋体"/>
          <w:szCs w:val="21"/>
        </w:rPr>
      </w:pPr>
      <w:r>
        <w:rPr>
          <w:rFonts w:ascii="宋体" w:hAnsi="宋体"/>
          <w:szCs w:val="21"/>
        </w:rPr>
        <w:t>各成员全面履行合同。</w:t>
      </w:r>
    </w:p>
    <w:p w14:paraId="6DBEC600">
      <w:pPr>
        <w:pStyle w:val="2"/>
        <w:rPr>
          <w:rFonts w:ascii="宋体" w:hAnsi="宋体"/>
          <w:szCs w:val="21"/>
        </w:rPr>
      </w:pPr>
    </w:p>
    <w:p w14:paraId="2AAFE88A">
      <w:pPr>
        <w:pStyle w:val="269"/>
        <w:ind w:right="108"/>
        <w:rPr>
          <w:sz w:val="21"/>
          <w:szCs w:val="21"/>
          <w:lang w:eastAsia="zh-CN"/>
        </w:rPr>
      </w:pPr>
      <w:bookmarkStart w:id="580" w:name="_bookmark123"/>
      <w:bookmarkEnd w:id="580"/>
      <w:r>
        <w:rPr>
          <w:sz w:val="21"/>
          <w:szCs w:val="21"/>
          <w:lang w:eastAsia="zh-CN"/>
        </w:rPr>
        <w:t>4.4</w:t>
      </w:r>
      <w:r>
        <w:rPr>
          <w:spacing w:val="69"/>
          <w:sz w:val="21"/>
          <w:szCs w:val="21"/>
          <w:lang w:eastAsia="zh-CN"/>
        </w:rPr>
        <w:t xml:space="preserve"> </w:t>
      </w:r>
      <w:r>
        <w:rPr>
          <w:sz w:val="21"/>
          <w:szCs w:val="21"/>
          <w:lang w:eastAsia="zh-CN"/>
        </w:rPr>
        <w:t>总监理工程师</w:t>
      </w:r>
    </w:p>
    <w:p w14:paraId="6BC7A7A4">
      <w:pPr>
        <w:pStyle w:val="2"/>
        <w:spacing w:before="248"/>
        <w:ind w:left="520" w:right="21"/>
        <w:rPr>
          <w:rFonts w:ascii="宋体" w:hAnsi="宋体"/>
          <w:szCs w:val="21"/>
        </w:rPr>
      </w:pPr>
      <w:r>
        <w:rPr>
          <w:rFonts w:ascii="宋体" w:hAnsi="宋体"/>
          <w:szCs w:val="21"/>
        </w:rPr>
        <w:t>4.4.1   监理人应按合同协议书的约定指派总监理工程师，并在约定的期限内到职。监理人更</w:t>
      </w:r>
    </w:p>
    <w:p w14:paraId="2CDBE1AF">
      <w:pPr>
        <w:pStyle w:val="2"/>
        <w:spacing w:before="117"/>
        <w:ind w:left="100" w:right="21"/>
        <w:rPr>
          <w:rFonts w:ascii="宋体" w:hAnsi="宋体"/>
          <w:szCs w:val="21"/>
        </w:rPr>
      </w:pPr>
      <w:r>
        <w:rPr>
          <w:rFonts w:ascii="宋体" w:hAnsi="宋体"/>
          <w:szCs w:val="21"/>
        </w:rPr>
        <w:t>换总监理工程师应事先征得委托人同意，并应在更换 14 天前将拟更换的总监理工程师的姓名和</w:t>
      </w:r>
    </w:p>
    <w:p w14:paraId="3EAD43E0">
      <w:pPr>
        <w:pStyle w:val="2"/>
        <w:spacing w:before="119" w:line="336" w:lineRule="auto"/>
        <w:ind w:left="100" w:right="108"/>
        <w:rPr>
          <w:rFonts w:ascii="宋体" w:hAnsi="宋体"/>
          <w:szCs w:val="21"/>
        </w:rPr>
      </w:pPr>
      <w:r>
        <w:rPr>
          <w:rFonts w:ascii="宋体" w:hAnsi="宋体"/>
          <w:szCs w:val="21"/>
        </w:rPr>
        <w:t>详细资料提交委托人。总监理工程师 2 天内不能履行职责的，应事先征得委托人同意，并委派 代表代行其职责。</w:t>
      </w:r>
    </w:p>
    <w:p w14:paraId="1DF778F6">
      <w:pPr>
        <w:pStyle w:val="2"/>
        <w:spacing w:before="49" w:line="345" w:lineRule="auto"/>
        <w:ind w:left="100" w:right="214" w:firstLine="419"/>
        <w:rPr>
          <w:rFonts w:ascii="宋体" w:hAnsi="宋体"/>
          <w:szCs w:val="21"/>
        </w:rPr>
      </w:pPr>
      <w:r>
        <w:rPr>
          <w:rFonts w:ascii="宋体" w:hAnsi="宋体"/>
          <w:szCs w:val="21"/>
        </w:rPr>
        <w:t xml:space="preserve">4.4.2 </w:t>
      </w:r>
      <w:r>
        <w:rPr>
          <w:rFonts w:ascii="宋体" w:hAnsi="宋体"/>
          <w:spacing w:val="-3"/>
          <w:szCs w:val="21"/>
        </w:rPr>
        <w:t xml:space="preserve">总监理工程师应按合同约定以及委托人要求，负责组织合同工作的实施。在情况紧急 </w:t>
      </w:r>
      <w:r>
        <w:rPr>
          <w:rFonts w:ascii="宋体" w:hAnsi="宋体"/>
          <w:spacing w:val="-1"/>
          <w:szCs w:val="21"/>
        </w:rPr>
        <w:t xml:space="preserve">且无法与委托人取得联系时，可采取保证工程和人员生命财产安全的紧急措施，并在采取措施 </w:t>
      </w:r>
      <w:r>
        <w:rPr>
          <w:rFonts w:ascii="宋体" w:hAnsi="宋体"/>
          <w:szCs w:val="21"/>
        </w:rPr>
        <w:t>后</w:t>
      </w:r>
      <w:r>
        <w:rPr>
          <w:rFonts w:ascii="宋体" w:hAnsi="宋体"/>
          <w:spacing w:val="-56"/>
          <w:szCs w:val="21"/>
        </w:rPr>
        <w:t xml:space="preserve"> </w:t>
      </w:r>
      <w:r>
        <w:rPr>
          <w:rFonts w:ascii="宋体" w:hAnsi="宋体"/>
          <w:szCs w:val="21"/>
        </w:rPr>
        <w:t>24 小时内向委托人提交书面报告。</w:t>
      </w:r>
    </w:p>
    <w:p w14:paraId="31010CA3">
      <w:pPr>
        <w:pStyle w:val="2"/>
        <w:spacing w:before="17" w:line="336" w:lineRule="auto"/>
        <w:ind w:left="100" w:right="222" w:firstLine="419"/>
        <w:rPr>
          <w:rFonts w:ascii="宋体" w:hAnsi="宋体"/>
          <w:szCs w:val="21"/>
        </w:rPr>
      </w:pPr>
      <w:r>
        <w:rPr>
          <w:rFonts w:ascii="宋体" w:hAnsi="宋体"/>
          <w:szCs w:val="21"/>
        </w:rPr>
        <w:t>4.4.3 监理人为履行合同发出的一切函件均应盖有监理人单位章或由监理人授权的项目机 构章，并由监理人的总监理工程师签字确认。</w:t>
      </w:r>
    </w:p>
    <w:p w14:paraId="48D483E4">
      <w:pPr>
        <w:pStyle w:val="2"/>
        <w:spacing w:before="49" w:line="336" w:lineRule="auto"/>
        <w:ind w:left="100" w:right="213" w:firstLine="419"/>
        <w:rPr>
          <w:rFonts w:ascii="宋体" w:hAnsi="宋体"/>
          <w:szCs w:val="21"/>
        </w:rPr>
      </w:pPr>
      <w:r>
        <w:rPr>
          <w:rFonts w:ascii="宋体" w:hAnsi="宋体"/>
          <w:szCs w:val="21"/>
        </w:rPr>
        <w:t xml:space="preserve">4.4.4 </w:t>
      </w:r>
      <w:r>
        <w:rPr>
          <w:rFonts w:ascii="宋体" w:hAnsi="宋体"/>
          <w:spacing w:val="-4"/>
          <w:szCs w:val="21"/>
        </w:rPr>
        <w:t xml:space="preserve">按照专用合同条款约定，总监理工程师可以授权其下属人员履行其某项职责，但事先 </w:t>
      </w:r>
      <w:r>
        <w:rPr>
          <w:rFonts w:ascii="宋体" w:hAnsi="宋体"/>
          <w:szCs w:val="21"/>
        </w:rPr>
        <w:t>应将这些人员的姓名和授权范围书面通知委托人和承包人。</w:t>
      </w:r>
    </w:p>
    <w:p w14:paraId="2A057F79">
      <w:pPr>
        <w:pStyle w:val="2"/>
        <w:spacing w:before="11"/>
        <w:rPr>
          <w:rFonts w:ascii="宋体" w:hAnsi="宋体"/>
          <w:szCs w:val="21"/>
        </w:rPr>
      </w:pPr>
    </w:p>
    <w:p w14:paraId="789C08BE">
      <w:pPr>
        <w:pStyle w:val="269"/>
        <w:ind w:right="108"/>
        <w:rPr>
          <w:sz w:val="21"/>
          <w:szCs w:val="21"/>
          <w:lang w:eastAsia="zh-CN"/>
        </w:rPr>
      </w:pPr>
      <w:bookmarkStart w:id="581" w:name="_bookmark124"/>
      <w:bookmarkEnd w:id="581"/>
      <w:r>
        <w:rPr>
          <w:sz w:val="21"/>
          <w:szCs w:val="21"/>
          <w:lang w:eastAsia="zh-CN"/>
        </w:rPr>
        <w:t>4.5  监理人员的管理</w:t>
      </w:r>
    </w:p>
    <w:p w14:paraId="4F13AC73">
      <w:pPr>
        <w:pStyle w:val="2"/>
        <w:spacing w:before="248" w:line="343" w:lineRule="auto"/>
        <w:ind w:left="100" w:right="211" w:firstLine="419"/>
        <w:rPr>
          <w:rFonts w:ascii="宋体" w:hAnsi="宋体"/>
          <w:szCs w:val="21"/>
        </w:rPr>
      </w:pPr>
      <w:r>
        <w:rPr>
          <w:rFonts w:ascii="宋体" w:hAnsi="宋体"/>
          <w:szCs w:val="21"/>
        </w:rPr>
        <w:t xml:space="preserve">4.5.1 监理人应在接到开始监理通知之日起 7 </w:t>
      </w:r>
      <w:r>
        <w:rPr>
          <w:rFonts w:ascii="宋体" w:hAnsi="宋体"/>
          <w:spacing w:val="-6"/>
          <w:szCs w:val="21"/>
        </w:rPr>
        <w:t xml:space="preserve">天内，向委托人提交监理项目机构以及人员安 </w:t>
      </w:r>
      <w:r>
        <w:rPr>
          <w:rFonts w:ascii="宋体" w:hAnsi="宋体"/>
          <w:spacing w:val="-1"/>
          <w:szCs w:val="21"/>
        </w:rPr>
        <w:t xml:space="preserve">排的报告，其内容应包括项目机构设置、主要监理人员和作业人员的名单及资格条件。主要监 </w:t>
      </w:r>
      <w:r>
        <w:rPr>
          <w:rFonts w:ascii="宋体" w:hAnsi="宋体"/>
          <w:spacing w:val="-2"/>
          <w:szCs w:val="21"/>
        </w:rPr>
        <w:t xml:space="preserve">理人员应相对稳定，更换主要监理人员的，应取得委托人的同意,并向委托人提交继任人员的资 </w:t>
      </w:r>
      <w:r>
        <w:rPr>
          <w:rFonts w:ascii="宋体" w:hAnsi="宋体"/>
          <w:szCs w:val="21"/>
        </w:rPr>
        <w:t>格、管理经验等资料。总监理工程师的更换，应按照本章第</w:t>
      </w:r>
      <w:r>
        <w:rPr>
          <w:rFonts w:ascii="宋体" w:hAnsi="宋体"/>
          <w:spacing w:val="-60"/>
          <w:szCs w:val="21"/>
        </w:rPr>
        <w:t xml:space="preserve"> </w:t>
      </w:r>
      <w:r>
        <w:rPr>
          <w:rFonts w:ascii="宋体" w:hAnsi="宋体"/>
          <w:szCs w:val="21"/>
        </w:rPr>
        <w:t>4.4.1 项规定执行。</w:t>
      </w:r>
    </w:p>
    <w:p w14:paraId="28D06798">
      <w:pPr>
        <w:pStyle w:val="2"/>
        <w:spacing w:before="17" w:line="338" w:lineRule="auto"/>
        <w:ind w:left="100" w:right="108" w:firstLine="419"/>
        <w:rPr>
          <w:rFonts w:ascii="宋体" w:hAnsi="宋体"/>
          <w:szCs w:val="21"/>
        </w:rPr>
      </w:pPr>
      <w:r>
        <w:rPr>
          <w:rFonts w:ascii="宋体" w:hAnsi="宋体"/>
          <w:szCs w:val="21"/>
        </w:rPr>
        <w:t>4.5.2 除专用合同条款另有约定外，主要监理人员包括总监理工程师、专业监理工程师等； 其他人员包括各专业的监理员、资料员等。</w:t>
      </w:r>
    </w:p>
    <w:p w14:paraId="3329E41A">
      <w:pPr>
        <w:pStyle w:val="2"/>
        <w:spacing w:before="47" w:line="336" w:lineRule="auto"/>
        <w:ind w:left="100" w:right="213" w:firstLine="419"/>
        <w:rPr>
          <w:rFonts w:ascii="宋体" w:hAnsi="宋体"/>
          <w:szCs w:val="21"/>
        </w:rPr>
      </w:pPr>
      <w:r>
        <w:rPr>
          <w:rFonts w:ascii="宋体" w:hAnsi="宋体"/>
          <w:szCs w:val="21"/>
        </w:rPr>
        <w:t xml:space="preserve">4.5.3 </w:t>
      </w:r>
      <w:r>
        <w:rPr>
          <w:rFonts w:ascii="宋体" w:hAnsi="宋体"/>
          <w:spacing w:val="-3"/>
          <w:szCs w:val="21"/>
        </w:rPr>
        <w:t xml:space="preserve">监理人应保证其主要监理人员在合同期限内的任何时候，都能按时参加委托人组织的 </w:t>
      </w:r>
      <w:r>
        <w:rPr>
          <w:rFonts w:ascii="宋体" w:hAnsi="宋体"/>
          <w:szCs w:val="21"/>
        </w:rPr>
        <w:t>工作会议。</w:t>
      </w:r>
    </w:p>
    <w:p w14:paraId="5E48EB38">
      <w:pPr>
        <w:pStyle w:val="2"/>
        <w:spacing w:before="49" w:line="336" w:lineRule="auto"/>
        <w:ind w:left="100" w:right="108" w:firstLine="419"/>
        <w:rPr>
          <w:rFonts w:ascii="宋体" w:hAnsi="宋体"/>
          <w:szCs w:val="21"/>
        </w:rPr>
      </w:pPr>
      <w:r>
        <w:rPr>
          <w:rFonts w:ascii="宋体" w:hAnsi="宋体"/>
          <w:szCs w:val="21"/>
        </w:rPr>
        <w:t>4.5.4 国家规定应当持证上岗的工作人员均应持有相应的资格证明，委托人有权随时检查。 委托人认为有必要时，可以进行现场考核。</w:t>
      </w:r>
    </w:p>
    <w:p w14:paraId="5CB2102A">
      <w:pPr>
        <w:pStyle w:val="2"/>
        <w:spacing w:before="10"/>
        <w:rPr>
          <w:rFonts w:ascii="宋体" w:hAnsi="宋体"/>
          <w:szCs w:val="21"/>
        </w:rPr>
      </w:pPr>
    </w:p>
    <w:p w14:paraId="7155F279">
      <w:pPr>
        <w:pStyle w:val="269"/>
        <w:ind w:right="108"/>
        <w:rPr>
          <w:sz w:val="21"/>
          <w:szCs w:val="21"/>
          <w:lang w:eastAsia="zh-CN"/>
        </w:rPr>
      </w:pPr>
      <w:bookmarkStart w:id="582" w:name="_bookmark125"/>
      <w:bookmarkEnd w:id="582"/>
      <w:r>
        <w:rPr>
          <w:sz w:val="21"/>
          <w:szCs w:val="21"/>
          <w:lang w:eastAsia="zh-CN"/>
        </w:rPr>
        <w:t>4.6</w:t>
      </w:r>
      <w:r>
        <w:rPr>
          <w:spacing w:val="69"/>
          <w:sz w:val="21"/>
          <w:szCs w:val="21"/>
          <w:lang w:eastAsia="zh-CN"/>
        </w:rPr>
        <w:t xml:space="preserve"> </w:t>
      </w:r>
      <w:r>
        <w:rPr>
          <w:sz w:val="21"/>
          <w:szCs w:val="21"/>
          <w:lang w:eastAsia="zh-CN"/>
        </w:rPr>
        <w:t>撤换总监理工程师和其他人员</w:t>
      </w:r>
    </w:p>
    <w:p w14:paraId="533063FD">
      <w:pPr>
        <w:pStyle w:val="2"/>
        <w:spacing w:before="248" w:line="357" w:lineRule="auto"/>
        <w:ind w:left="100" w:right="21" w:firstLine="419"/>
        <w:rPr>
          <w:rFonts w:ascii="宋体" w:hAnsi="宋体"/>
          <w:szCs w:val="21"/>
        </w:rPr>
      </w:pPr>
      <w:r>
        <w:rPr>
          <w:rFonts w:ascii="宋体" w:hAnsi="宋体"/>
          <w:szCs w:val="21"/>
        </w:rPr>
        <w:t>监理人应对其总监理工程师和其他人员进行有效管理。委托人要求撤换不能胜任本职工作、 行为不端或玩忽职守的总监理工程师和其他人员的，监理人应予以撤换。</w:t>
      </w:r>
    </w:p>
    <w:p w14:paraId="252E7DE7">
      <w:pPr>
        <w:pStyle w:val="269"/>
        <w:spacing w:line="382" w:lineRule="exact"/>
        <w:rPr>
          <w:sz w:val="21"/>
          <w:szCs w:val="21"/>
          <w:lang w:eastAsia="zh-CN"/>
        </w:rPr>
      </w:pPr>
      <w:bookmarkStart w:id="583" w:name="_bookmark126"/>
      <w:bookmarkEnd w:id="583"/>
      <w:r>
        <w:rPr>
          <w:sz w:val="21"/>
          <w:szCs w:val="21"/>
          <w:lang w:eastAsia="zh-CN"/>
        </w:rPr>
        <w:t>4.7</w:t>
      </w:r>
      <w:r>
        <w:rPr>
          <w:spacing w:val="69"/>
          <w:sz w:val="21"/>
          <w:szCs w:val="21"/>
          <w:lang w:eastAsia="zh-CN"/>
        </w:rPr>
        <w:t xml:space="preserve"> </w:t>
      </w:r>
      <w:r>
        <w:rPr>
          <w:sz w:val="21"/>
          <w:szCs w:val="21"/>
          <w:lang w:eastAsia="zh-CN"/>
        </w:rPr>
        <w:t>保障人员的合法权益</w:t>
      </w:r>
    </w:p>
    <w:p w14:paraId="2CA43999">
      <w:pPr>
        <w:pStyle w:val="2"/>
        <w:spacing w:before="248"/>
        <w:ind w:left="520" w:right="113"/>
        <w:rPr>
          <w:rFonts w:ascii="宋体" w:hAnsi="宋体"/>
          <w:szCs w:val="21"/>
        </w:rPr>
      </w:pPr>
      <w:r>
        <w:rPr>
          <w:rFonts w:ascii="宋体" w:hAnsi="宋体"/>
          <w:szCs w:val="21"/>
        </w:rPr>
        <w:t>4.7.1 监理人应与其雇佣的人员签订劳动合同，并按时发放工资。</w:t>
      </w:r>
    </w:p>
    <w:p w14:paraId="57D5F708">
      <w:pPr>
        <w:pStyle w:val="2"/>
        <w:spacing w:before="117" w:line="345" w:lineRule="auto"/>
        <w:ind w:left="100" w:right="114" w:firstLine="419"/>
        <w:rPr>
          <w:rFonts w:ascii="宋体" w:hAnsi="宋体"/>
          <w:szCs w:val="21"/>
        </w:rPr>
      </w:pPr>
      <w:r>
        <w:rPr>
          <w:rFonts w:ascii="宋体" w:hAnsi="宋体"/>
          <w:szCs w:val="21"/>
        </w:rPr>
        <w:t xml:space="preserve">4.7.2 </w:t>
      </w:r>
      <w:r>
        <w:rPr>
          <w:rFonts w:ascii="宋体" w:hAnsi="宋体"/>
          <w:spacing w:val="-4"/>
          <w:szCs w:val="21"/>
        </w:rPr>
        <w:t xml:space="preserve">监理人应按劳动法的规定安排工作时间，保证其雇佣人员享有休息和休假的权利。因 </w:t>
      </w:r>
      <w:r>
        <w:rPr>
          <w:rFonts w:ascii="宋体" w:hAnsi="宋体"/>
          <w:spacing w:val="-1"/>
          <w:szCs w:val="21"/>
        </w:rPr>
        <w:t xml:space="preserve">监理需要占用休假日或延长工作时间的，应不超过法律规定的限度，并按法律规定给予补休或 </w:t>
      </w:r>
      <w:r>
        <w:rPr>
          <w:rFonts w:ascii="宋体" w:hAnsi="宋体"/>
          <w:szCs w:val="21"/>
        </w:rPr>
        <w:t>付酬。</w:t>
      </w:r>
    </w:p>
    <w:p w14:paraId="6BA7C0D9">
      <w:pPr>
        <w:pStyle w:val="2"/>
        <w:spacing w:before="40"/>
        <w:ind w:left="520" w:right="113"/>
        <w:rPr>
          <w:rFonts w:ascii="宋体" w:hAnsi="宋体"/>
          <w:szCs w:val="21"/>
        </w:rPr>
      </w:pPr>
      <w:r>
        <w:rPr>
          <w:rFonts w:ascii="宋体" w:hAnsi="宋体"/>
          <w:szCs w:val="21"/>
        </w:rPr>
        <w:t>4.7.3 监理人应按有关法律规定和合同约定，为其雇佣人员办理保险。</w:t>
      </w:r>
    </w:p>
    <w:p w14:paraId="29FAD576">
      <w:pPr>
        <w:pStyle w:val="2"/>
        <w:rPr>
          <w:rFonts w:ascii="宋体" w:hAnsi="宋体"/>
          <w:szCs w:val="21"/>
        </w:rPr>
      </w:pPr>
    </w:p>
    <w:p w14:paraId="54AFBEAA">
      <w:pPr>
        <w:pStyle w:val="269"/>
        <w:spacing w:before="1"/>
        <w:rPr>
          <w:sz w:val="21"/>
          <w:szCs w:val="21"/>
          <w:lang w:eastAsia="zh-CN"/>
        </w:rPr>
      </w:pPr>
      <w:bookmarkStart w:id="584" w:name="_bookmark127"/>
      <w:bookmarkEnd w:id="584"/>
      <w:r>
        <w:rPr>
          <w:sz w:val="21"/>
          <w:szCs w:val="21"/>
          <w:lang w:eastAsia="zh-CN"/>
        </w:rPr>
        <w:t>4.8</w:t>
      </w:r>
      <w:r>
        <w:rPr>
          <w:spacing w:val="69"/>
          <w:sz w:val="21"/>
          <w:szCs w:val="21"/>
          <w:lang w:eastAsia="zh-CN"/>
        </w:rPr>
        <w:t xml:space="preserve"> </w:t>
      </w:r>
      <w:r>
        <w:rPr>
          <w:sz w:val="21"/>
          <w:szCs w:val="21"/>
          <w:lang w:eastAsia="zh-CN"/>
        </w:rPr>
        <w:t>合同价款应专款专用</w:t>
      </w:r>
    </w:p>
    <w:p w14:paraId="4F90068D">
      <w:pPr>
        <w:pStyle w:val="2"/>
        <w:spacing w:before="248"/>
        <w:ind w:left="520" w:right="113"/>
        <w:rPr>
          <w:rFonts w:ascii="宋体" w:hAnsi="宋体"/>
          <w:szCs w:val="21"/>
        </w:rPr>
      </w:pPr>
      <w:r>
        <w:rPr>
          <w:rFonts w:ascii="宋体" w:hAnsi="宋体"/>
          <w:szCs w:val="21"/>
        </w:rPr>
        <w:t>委托人按合同约定支付给监理人的各项价款，应专用于合同监理工作。</w:t>
      </w:r>
    </w:p>
    <w:p w14:paraId="5D403AFC">
      <w:pPr>
        <w:pStyle w:val="2"/>
        <w:spacing w:before="10"/>
        <w:rPr>
          <w:rFonts w:ascii="宋体" w:hAnsi="宋体"/>
          <w:szCs w:val="21"/>
        </w:rPr>
      </w:pPr>
    </w:p>
    <w:p w14:paraId="3A71F4C6">
      <w:pPr>
        <w:jc w:val="left"/>
        <w:rPr>
          <w:rFonts w:ascii="宋体" w:hAnsi="宋体"/>
          <w:b/>
        </w:rPr>
      </w:pPr>
      <w:bookmarkStart w:id="585" w:name="_bookmark128"/>
      <w:bookmarkEnd w:id="585"/>
      <w:bookmarkStart w:id="586" w:name="_Toc84236922"/>
      <w:r>
        <w:rPr>
          <w:rFonts w:ascii="宋体" w:hAnsi="宋体"/>
          <w:b/>
        </w:rPr>
        <w:t>5.  监理要求</w:t>
      </w:r>
      <w:bookmarkEnd w:id="586"/>
    </w:p>
    <w:p w14:paraId="2910A007">
      <w:pPr>
        <w:pStyle w:val="2"/>
        <w:rPr>
          <w:rFonts w:ascii="宋体" w:hAnsi="宋体"/>
          <w:b/>
          <w:szCs w:val="21"/>
        </w:rPr>
      </w:pPr>
    </w:p>
    <w:p w14:paraId="77A64B25">
      <w:pPr>
        <w:pStyle w:val="269"/>
        <w:rPr>
          <w:sz w:val="21"/>
          <w:szCs w:val="21"/>
          <w:lang w:eastAsia="zh-CN"/>
        </w:rPr>
      </w:pPr>
      <w:bookmarkStart w:id="587" w:name="_bookmark129"/>
      <w:bookmarkEnd w:id="587"/>
      <w:r>
        <w:rPr>
          <w:sz w:val="21"/>
          <w:szCs w:val="21"/>
          <w:lang w:eastAsia="zh-CN"/>
        </w:rPr>
        <w:t>5.1  监理范围</w:t>
      </w:r>
    </w:p>
    <w:p w14:paraId="5FB127E1">
      <w:pPr>
        <w:pStyle w:val="2"/>
        <w:spacing w:before="248" w:line="336" w:lineRule="auto"/>
        <w:ind w:left="100" w:right="26" w:firstLine="419"/>
        <w:rPr>
          <w:rFonts w:ascii="宋体" w:hAnsi="宋体"/>
          <w:szCs w:val="21"/>
        </w:rPr>
      </w:pPr>
      <w:r>
        <w:rPr>
          <w:rFonts w:ascii="宋体" w:hAnsi="宋体"/>
          <w:szCs w:val="21"/>
        </w:rPr>
        <w:t>5.1.1 本合同的监理范围包括工程范围、阶段范围和工作范围，具体监理范围应当根据三者 之间的关联内容进行确定。</w:t>
      </w:r>
    </w:p>
    <w:p w14:paraId="3A1D024F">
      <w:pPr>
        <w:pStyle w:val="2"/>
        <w:spacing w:before="49"/>
        <w:ind w:left="520" w:right="113"/>
        <w:rPr>
          <w:rFonts w:ascii="宋体" w:hAnsi="宋体"/>
          <w:szCs w:val="21"/>
        </w:rPr>
      </w:pPr>
      <w:r>
        <w:rPr>
          <w:rFonts w:ascii="宋体" w:hAnsi="宋体"/>
          <w:szCs w:val="21"/>
        </w:rPr>
        <w:t>5.1.2 工程范围指所监理工程的建设内容，具体范围在专用合同条款中约定。</w:t>
      </w:r>
    </w:p>
    <w:p w14:paraId="75316039">
      <w:pPr>
        <w:pStyle w:val="2"/>
        <w:spacing w:before="119" w:line="336" w:lineRule="auto"/>
        <w:ind w:left="100" w:right="26" w:firstLine="419"/>
        <w:rPr>
          <w:rFonts w:ascii="宋体" w:hAnsi="宋体"/>
          <w:szCs w:val="21"/>
        </w:rPr>
      </w:pPr>
      <w:r>
        <w:rPr>
          <w:rFonts w:ascii="宋体" w:hAnsi="宋体"/>
          <w:szCs w:val="21"/>
        </w:rPr>
        <w:t>5.1.3 阶段范围指工程建设程序中的勘察阶段、设计阶段、施工阶段、缺陷责任期及保修阶 段中的一个或者多个阶段，具体范围在专用合同条款中约定。</w:t>
      </w:r>
    </w:p>
    <w:p w14:paraId="7D000D05">
      <w:pPr>
        <w:pStyle w:val="2"/>
        <w:spacing w:before="49" w:line="336" w:lineRule="auto"/>
        <w:ind w:left="100" w:right="26" w:firstLine="419"/>
        <w:rPr>
          <w:rFonts w:ascii="宋体" w:hAnsi="宋体"/>
          <w:szCs w:val="21"/>
        </w:rPr>
      </w:pPr>
      <w:r>
        <w:rPr>
          <w:rFonts w:ascii="宋体" w:hAnsi="宋体"/>
          <w:szCs w:val="21"/>
        </w:rPr>
        <w:t>5.1.4 工作范围指监理工作中的质量控制、进度控制、投资控制、合同管理、信息管理、组 织协调和安全监理、环保监理中的一项或者多项工作，具体范围在专用合同条款中约定。</w:t>
      </w:r>
    </w:p>
    <w:p w14:paraId="6175A414">
      <w:pPr>
        <w:pStyle w:val="2"/>
        <w:spacing w:before="11"/>
        <w:rPr>
          <w:rFonts w:ascii="宋体" w:hAnsi="宋体"/>
          <w:szCs w:val="21"/>
        </w:rPr>
      </w:pPr>
    </w:p>
    <w:p w14:paraId="57B0AA9C">
      <w:pPr>
        <w:pStyle w:val="269"/>
        <w:rPr>
          <w:sz w:val="21"/>
          <w:szCs w:val="21"/>
          <w:lang w:eastAsia="zh-CN"/>
        </w:rPr>
      </w:pPr>
      <w:bookmarkStart w:id="588" w:name="_bookmark130"/>
      <w:bookmarkEnd w:id="588"/>
      <w:r>
        <w:rPr>
          <w:sz w:val="21"/>
          <w:szCs w:val="21"/>
          <w:lang w:eastAsia="zh-CN"/>
        </w:rPr>
        <w:t>5.2  监理依据</w:t>
      </w:r>
    </w:p>
    <w:p w14:paraId="451A6313">
      <w:pPr>
        <w:pStyle w:val="2"/>
        <w:spacing w:before="248"/>
        <w:ind w:left="520" w:right="113"/>
        <w:rPr>
          <w:rFonts w:ascii="宋体" w:hAnsi="宋体"/>
          <w:szCs w:val="21"/>
        </w:rPr>
      </w:pPr>
      <w:r>
        <w:rPr>
          <w:rFonts w:ascii="宋体" w:hAnsi="宋体"/>
          <w:szCs w:val="21"/>
        </w:rPr>
        <w:t>除专用合同条款另有约定外，本工程的监理依据如下：</w:t>
      </w:r>
    </w:p>
    <w:p w14:paraId="34282D5C">
      <w:pPr>
        <w:pStyle w:val="2"/>
        <w:spacing w:before="133"/>
        <w:ind w:left="520" w:right="113"/>
        <w:rPr>
          <w:rFonts w:ascii="宋体" w:hAnsi="宋体"/>
          <w:szCs w:val="21"/>
        </w:rPr>
      </w:pPr>
      <w:r>
        <w:rPr>
          <w:rFonts w:ascii="宋体" w:hAnsi="宋体"/>
          <w:szCs w:val="21"/>
        </w:rPr>
        <w:t>（1）适用的法律、行政法规及部门规章；</w:t>
      </w:r>
    </w:p>
    <w:p w14:paraId="1E9F3E83">
      <w:pPr>
        <w:pStyle w:val="2"/>
        <w:spacing w:before="117"/>
        <w:ind w:left="520" w:right="113"/>
        <w:rPr>
          <w:rFonts w:ascii="宋体" w:hAnsi="宋体"/>
          <w:szCs w:val="21"/>
        </w:rPr>
      </w:pPr>
      <w:r>
        <w:rPr>
          <w:rFonts w:ascii="宋体" w:hAnsi="宋体"/>
          <w:szCs w:val="21"/>
        </w:rPr>
        <w:t>（2）与工程有关的规范、标准、规程；</w:t>
      </w:r>
    </w:p>
    <w:p w14:paraId="17F2521B">
      <w:pPr>
        <w:pStyle w:val="2"/>
        <w:spacing w:before="117"/>
        <w:ind w:left="520" w:right="113"/>
        <w:rPr>
          <w:rFonts w:ascii="宋体" w:hAnsi="宋体"/>
          <w:szCs w:val="21"/>
        </w:rPr>
      </w:pPr>
      <w:r>
        <w:rPr>
          <w:rFonts w:ascii="宋体" w:hAnsi="宋体"/>
          <w:szCs w:val="21"/>
        </w:rPr>
        <w:t>（3）工程勘察文件、设计文件及其他文件；</w:t>
      </w:r>
    </w:p>
    <w:p w14:paraId="5B2AC6AB">
      <w:pPr>
        <w:pStyle w:val="2"/>
        <w:spacing w:before="117"/>
        <w:ind w:left="520" w:right="113"/>
        <w:rPr>
          <w:rFonts w:ascii="宋体" w:hAnsi="宋体"/>
          <w:szCs w:val="21"/>
        </w:rPr>
      </w:pPr>
      <w:r>
        <w:rPr>
          <w:rFonts w:ascii="宋体" w:hAnsi="宋体"/>
          <w:szCs w:val="21"/>
        </w:rPr>
        <w:t>（4）本工程监理的委托合同及补充合同；</w:t>
      </w:r>
    </w:p>
    <w:p w14:paraId="1D345459">
      <w:pPr>
        <w:pStyle w:val="2"/>
        <w:spacing w:before="119"/>
        <w:ind w:left="520" w:right="113"/>
        <w:rPr>
          <w:rFonts w:ascii="宋体" w:hAnsi="宋体"/>
          <w:szCs w:val="21"/>
        </w:rPr>
      </w:pPr>
      <w:r>
        <w:rPr>
          <w:rFonts w:ascii="宋体" w:hAnsi="宋体"/>
          <w:szCs w:val="21"/>
        </w:rPr>
        <w:t>（5）委托人签订的勘察、设计和施工承包合同；</w:t>
      </w:r>
    </w:p>
    <w:p w14:paraId="02DB6142">
      <w:pPr>
        <w:pStyle w:val="2"/>
        <w:spacing w:before="117"/>
        <w:ind w:left="520" w:right="113"/>
        <w:rPr>
          <w:rFonts w:ascii="宋体" w:hAnsi="宋体"/>
          <w:szCs w:val="21"/>
        </w:rPr>
      </w:pPr>
      <w:r>
        <w:rPr>
          <w:rFonts w:ascii="宋体" w:hAnsi="宋体"/>
          <w:szCs w:val="21"/>
        </w:rPr>
        <w:t>（6）合同履行中与监理服务有关的来往函件；</w:t>
      </w:r>
    </w:p>
    <w:p w14:paraId="1DB7C85A">
      <w:pPr>
        <w:pStyle w:val="2"/>
        <w:spacing w:before="117"/>
        <w:ind w:left="520" w:right="113"/>
        <w:rPr>
          <w:rFonts w:ascii="宋体" w:hAnsi="宋体"/>
          <w:szCs w:val="21"/>
        </w:rPr>
      </w:pPr>
      <w:r>
        <w:rPr>
          <w:rFonts w:ascii="宋体" w:hAnsi="宋体"/>
          <w:szCs w:val="21"/>
        </w:rPr>
        <w:t>（7）其他监理依据。</w:t>
      </w:r>
    </w:p>
    <w:p w14:paraId="5760CBDA">
      <w:pPr>
        <w:pStyle w:val="269"/>
        <w:spacing w:line="382" w:lineRule="exact"/>
        <w:rPr>
          <w:sz w:val="21"/>
          <w:szCs w:val="21"/>
          <w:lang w:eastAsia="zh-CN"/>
        </w:rPr>
      </w:pPr>
      <w:bookmarkStart w:id="589" w:name="_bookmark131"/>
      <w:bookmarkEnd w:id="589"/>
      <w:r>
        <w:rPr>
          <w:sz w:val="21"/>
          <w:szCs w:val="21"/>
          <w:lang w:eastAsia="zh-CN"/>
        </w:rPr>
        <w:t>5.3  监理内容</w:t>
      </w:r>
    </w:p>
    <w:p w14:paraId="3320302A">
      <w:pPr>
        <w:pStyle w:val="2"/>
        <w:spacing w:before="248"/>
        <w:ind w:left="520" w:right="113"/>
        <w:rPr>
          <w:rFonts w:ascii="宋体" w:hAnsi="宋体"/>
          <w:szCs w:val="21"/>
        </w:rPr>
      </w:pPr>
      <w:r>
        <w:rPr>
          <w:rFonts w:ascii="宋体" w:hAnsi="宋体"/>
          <w:szCs w:val="21"/>
        </w:rPr>
        <w:t>除专用条件另有约定外，监理工作内容包括：</w:t>
      </w:r>
    </w:p>
    <w:p w14:paraId="5AAA1082">
      <w:pPr>
        <w:pStyle w:val="2"/>
        <w:spacing w:before="133" w:line="336" w:lineRule="auto"/>
        <w:ind w:left="100" w:right="108" w:firstLine="419"/>
        <w:rPr>
          <w:rFonts w:ascii="宋体" w:hAnsi="宋体"/>
          <w:szCs w:val="21"/>
        </w:rPr>
      </w:pPr>
      <w:r>
        <w:rPr>
          <w:rFonts w:ascii="宋体" w:hAnsi="宋体"/>
          <w:spacing w:val="-4"/>
          <w:szCs w:val="21"/>
        </w:rPr>
        <w:t xml:space="preserve">（1）收到工程设计文件后编制监理规划，并在第一次工地会议 </w:t>
      </w:r>
      <w:r>
        <w:rPr>
          <w:rFonts w:ascii="宋体" w:hAnsi="宋体"/>
          <w:szCs w:val="21"/>
        </w:rPr>
        <w:t xml:space="preserve">7 </w:t>
      </w:r>
      <w:r>
        <w:rPr>
          <w:rFonts w:ascii="宋体" w:hAnsi="宋体"/>
          <w:spacing w:val="-4"/>
          <w:szCs w:val="21"/>
        </w:rPr>
        <w:t xml:space="preserve">天前报委托人。根据有关 </w:t>
      </w:r>
      <w:r>
        <w:rPr>
          <w:rFonts w:ascii="宋体" w:hAnsi="宋体"/>
          <w:szCs w:val="21"/>
        </w:rPr>
        <w:t>规定和监理工作需要，编制监理实施细则；</w:t>
      </w:r>
    </w:p>
    <w:p w14:paraId="265CEF3B">
      <w:pPr>
        <w:pStyle w:val="2"/>
        <w:spacing w:before="49"/>
        <w:ind w:left="520" w:right="113"/>
        <w:rPr>
          <w:rFonts w:ascii="宋体" w:hAnsi="宋体"/>
          <w:szCs w:val="21"/>
        </w:rPr>
      </w:pPr>
      <w:r>
        <w:rPr>
          <w:rFonts w:ascii="宋体" w:hAnsi="宋体"/>
          <w:szCs w:val="21"/>
        </w:rPr>
        <w:t>（2）熟悉工程设计文件，并参加由委托人主持的图纸会审和设计交底会议；</w:t>
      </w:r>
    </w:p>
    <w:p w14:paraId="6741A05C">
      <w:pPr>
        <w:pStyle w:val="2"/>
        <w:spacing w:before="117" w:line="338" w:lineRule="auto"/>
        <w:ind w:left="100" w:right="26" w:firstLine="419"/>
        <w:rPr>
          <w:rFonts w:ascii="宋体" w:hAnsi="宋体"/>
          <w:szCs w:val="21"/>
        </w:rPr>
      </w:pPr>
      <w:r>
        <w:rPr>
          <w:rFonts w:ascii="宋体" w:hAnsi="宋体"/>
          <w:szCs w:val="21"/>
        </w:rPr>
        <w:t>（3）参加由委托人主持的第一次工地会议；主持监理例会并根据工程需要主持或参加专题 会议；</w:t>
      </w:r>
    </w:p>
    <w:p w14:paraId="5548C525">
      <w:pPr>
        <w:pStyle w:val="2"/>
        <w:spacing w:before="47" w:line="336" w:lineRule="auto"/>
        <w:ind w:left="100" w:right="26" w:firstLine="419"/>
        <w:rPr>
          <w:rFonts w:ascii="宋体" w:hAnsi="宋体"/>
          <w:szCs w:val="21"/>
        </w:rPr>
      </w:pPr>
      <w:r>
        <w:rPr>
          <w:rFonts w:ascii="宋体" w:hAnsi="宋体"/>
          <w:szCs w:val="21"/>
        </w:rPr>
        <w:t>（4）审查施工承包人提交的施工组织设计，重点审查其中的质量安全技术措施、专项施工 方案与工程建设强制性标准的符合性；</w:t>
      </w:r>
    </w:p>
    <w:p w14:paraId="3999EF55">
      <w:pPr>
        <w:pStyle w:val="2"/>
        <w:spacing w:before="49"/>
        <w:ind w:left="520" w:right="113"/>
        <w:rPr>
          <w:rFonts w:ascii="宋体" w:hAnsi="宋体"/>
          <w:szCs w:val="21"/>
        </w:rPr>
      </w:pPr>
      <w:r>
        <w:rPr>
          <w:rFonts w:ascii="宋体" w:hAnsi="宋体"/>
          <w:szCs w:val="21"/>
        </w:rPr>
        <w:t>（5）检查施工承包人工程质量、安全生产管理制度及组织机构和人员资格；</w:t>
      </w:r>
    </w:p>
    <w:p w14:paraId="43A9177D">
      <w:pPr>
        <w:pStyle w:val="2"/>
        <w:spacing w:before="119"/>
        <w:ind w:left="520" w:right="113"/>
        <w:rPr>
          <w:rFonts w:ascii="宋体" w:hAnsi="宋体"/>
          <w:szCs w:val="21"/>
        </w:rPr>
      </w:pPr>
      <w:r>
        <w:rPr>
          <w:rFonts w:ascii="宋体" w:hAnsi="宋体"/>
          <w:szCs w:val="21"/>
        </w:rPr>
        <w:t>（6）检查施工承包人专职安全生产管理人员的配备情况；</w:t>
      </w:r>
    </w:p>
    <w:p w14:paraId="60FE6287">
      <w:pPr>
        <w:pStyle w:val="2"/>
        <w:spacing w:before="117"/>
        <w:ind w:left="520" w:right="113"/>
        <w:rPr>
          <w:rFonts w:ascii="宋体" w:hAnsi="宋体"/>
          <w:szCs w:val="21"/>
        </w:rPr>
      </w:pPr>
      <w:r>
        <w:rPr>
          <w:rFonts w:ascii="宋体" w:hAnsi="宋体"/>
          <w:szCs w:val="21"/>
        </w:rPr>
        <w:t>（7）审查施工承包人提交的施工进度计划，核查承包人对施工进度计划的调整；</w:t>
      </w:r>
    </w:p>
    <w:p w14:paraId="22BA4A1B">
      <w:pPr>
        <w:pStyle w:val="2"/>
        <w:spacing w:before="117"/>
        <w:ind w:left="520" w:right="113"/>
        <w:rPr>
          <w:rFonts w:ascii="宋体" w:hAnsi="宋体"/>
          <w:szCs w:val="21"/>
        </w:rPr>
      </w:pPr>
      <w:r>
        <w:rPr>
          <w:rFonts w:ascii="宋体" w:hAnsi="宋体"/>
          <w:szCs w:val="21"/>
        </w:rPr>
        <w:t>（8）检查施工承包人的试验室；</w:t>
      </w:r>
    </w:p>
    <w:p w14:paraId="7E6E9EF7">
      <w:pPr>
        <w:pStyle w:val="2"/>
        <w:spacing w:before="117"/>
        <w:ind w:left="520" w:right="113"/>
        <w:rPr>
          <w:rFonts w:ascii="宋体" w:hAnsi="宋体"/>
          <w:szCs w:val="21"/>
        </w:rPr>
      </w:pPr>
      <w:r>
        <w:rPr>
          <w:rFonts w:ascii="宋体" w:hAnsi="宋体"/>
          <w:szCs w:val="21"/>
        </w:rPr>
        <w:t>（9）审核施工分包人资质条件；</w:t>
      </w:r>
    </w:p>
    <w:p w14:paraId="10DA0E97">
      <w:pPr>
        <w:pStyle w:val="2"/>
        <w:spacing w:before="117"/>
        <w:ind w:left="520" w:right="113"/>
        <w:rPr>
          <w:rFonts w:ascii="宋体" w:hAnsi="宋体"/>
          <w:szCs w:val="21"/>
        </w:rPr>
      </w:pPr>
      <w:r>
        <w:rPr>
          <w:rFonts w:ascii="宋体" w:hAnsi="宋体"/>
          <w:szCs w:val="21"/>
        </w:rPr>
        <w:t>（10）查验施工承包人的施工测量放线成果；</w:t>
      </w:r>
    </w:p>
    <w:p w14:paraId="50D96CF1">
      <w:pPr>
        <w:pStyle w:val="2"/>
        <w:spacing w:before="119"/>
        <w:ind w:left="520" w:right="113"/>
        <w:rPr>
          <w:rFonts w:ascii="宋体" w:hAnsi="宋体"/>
          <w:szCs w:val="21"/>
        </w:rPr>
      </w:pPr>
      <w:r>
        <w:rPr>
          <w:rFonts w:ascii="宋体" w:hAnsi="宋体"/>
          <w:szCs w:val="21"/>
        </w:rPr>
        <w:t>（11）审查工程开工条件，对条件具备的签发开工令；</w:t>
      </w:r>
    </w:p>
    <w:p w14:paraId="265CA701">
      <w:pPr>
        <w:pStyle w:val="2"/>
        <w:spacing w:before="117" w:line="336" w:lineRule="auto"/>
        <w:ind w:left="100" w:right="113" w:firstLine="419"/>
        <w:rPr>
          <w:rFonts w:ascii="宋体" w:hAnsi="宋体"/>
          <w:szCs w:val="21"/>
        </w:rPr>
      </w:pPr>
      <w:r>
        <w:rPr>
          <w:rFonts w:ascii="宋体" w:hAnsi="宋体"/>
          <w:szCs w:val="21"/>
        </w:rPr>
        <w:t>（12）审查施工承包人报送的工程材料、构配件、设备质量证明文件的有效性和符合性， 并按规定对用于工程的材料采取平行检验或见证取样方式进行抽检；</w:t>
      </w:r>
    </w:p>
    <w:p w14:paraId="44011DF9">
      <w:pPr>
        <w:pStyle w:val="2"/>
        <w:spacing w:before="49" w:line="338" w:lineRule="auto"/>
        <w:ind w:left="100" w:right="113" w:firstLine="419"/>
        <w:rPr>
          <w:rFonts w:ascii="宋体" w:hAnsi="宋体"/>
          <w:szCs w:val="21"/>
        </w:rPr>
      </w:pPr>
      <w:r>
        <w:rPr>
          <w:rFonts w:ascii="宋体" w:hAnsi="宋体"/>
          <w:szCs w:val="21"/>
        </w:rPr>
        <w:t>（13）审核施工承包人提交的工程款支付申请，签发或出具工程款支付证书，并报委托人 审核、批准；</w:t>
      </w:r>
    </w:p>
    <w:p w14:paraId="34CB4EE1">
      <w:pPr>
        <w:pStyle w:val="2"/>
        <w:spacing w:before="47" w:line="336" w:lineRule="auto"/>
        <w:ind w:left="100" w:right="113" w:firstLine="419"/>
        <w:rPr>
          <w:rFonts w:ascii="宋体" w:hAnsi="宋体"/>
          <w:szCs w:val="21"/>
        </w:rPr>
      </w:pPr>
      <w:r>
        <w:rPr>
          <w:rFonts w:ascii="宋体" w:hAnsi="宋体"/>
          <w:szCs w:val="21"/>
        </w:rPr>
        <w:t>（14）在巡视、旁站和检验过程中，发现工程质量、施工安全存在事故隐患的，要求施工 承包人整改并报委托人；</w:t>
      </w:r>
    </w:p>
    <w:p w14:paraId="497956A2">
      <w:pPr>
        <w:pStyle w:val="2"/>
        <w:spacing w:before="49"/>
        <w:ind w:left="520" w:right="113"/>
        <w:rPr>
          <w:rFonts w:ascii="宋体" w:hAnsi="宋体"/>
          <w:szCs w:val="21"/>
        </w:rPr>
      </w:pPr>
      <w:r>
        <w:rPr>
          <w:rFonts w:ascii="宋体" w:hAnsi="宋体"/>
          <w:szCs w:val="21"/>
        </w:rPr>
        <w:t>（15）经委托人同意，签发工程暂停令和复工令；</w:t>
      </w:r>
    </w:p>
    <w:p w14:paraId="1DD28790">
      <w:pPr>
        <w:pStyle w:val="2"/>
        <w:spacing w:before="117" w:line="338" w:lineRule="auto"/>
        <w:ind w:left="100" w:right="113" w:firstLine="419"/>
        <w:rPr>
          <w:rFonts w:ascii="宋体" w:hAnsi="宋体"/>
          <w:szCs w:val="21"/>
        </w:rPr>
      </w:pPr>
      <w:r>
        <w:rPr>
          <w:rFonts w:ascii="宋体" w:hAnsi="宋体"/>
          <w:szCs w:val="21"/>
        </w:rPr>
        <w:t>（16）审查施工承包人提交的采用新材料、新工艺、新技术、新设备的论证材料及相关验 收标准；</w:t>
      </w:r>
    </w:p>
    <w:p w14:paraId="2D2C635E">
      <w:pPr>
        <w:pStyle w:val="2"/>
        <w:spacing w:before="47"/>
        <w:ind w:left="520" w:right="113"/>
        <w:rPr>
          <w:rFonts w:ascii="宋体" w:hAnsi="宋体"/>
          <w:szCs w:val="21"/>
        </w:rPr>
      </w:pPr>
      <w:r>
        <w:rPr>
          <w:rFonts w:ascii="宋体" w:hAnsi="宋体"/>
          <w:szCs w:val="21"/>
        </w:rPr>
        <w:t>（17）验收隐蔽工程、分部分项工程；</w:t>
      </w:r>
    </w:p>
    <w:p w14:paraId="7BB139EF">
      <w:pPr>
        <w:pStyle w:val="2"/>
        <w:spacing w:before="117" w:line="336" w:lineRule="auto"/>
        <w:ind w:left="100" w:right="113" w:firstLine="419"/>
        <w:rPr>
          <w:rFonts w:ascii="宋体" w:hAnsi="宋体"/>
          <w:szCs w:val="21"/>
        </w:rPr>
      </w:pPr>
      <w:r>
        <w:rPr>
          <w:rFonts w:ascii="宋体" w:hAnsi="宋体"/>
          <w:szCs w:val="21"/>
        </w:rPr>
        <w:t>（18）审查施工承包人提交的工程变更申请，协调处理施工进度调整、费用索赔、合同争 议等事项；</w:t>
      </w:r>
    </w:p>
    <w:p w14:paraId="43BC5224">
      <w:pPr>
        <w:pStyle w:val="2"/>
        <w:spacing w:before="49"/>
        <w:ind w:left="520" w:right="113"/>
        <w:rPr>
          <w:rFonts w:ascii="宋体" w:hAnsi="宋体"/>
          <w:szCs w:val="21"/>
        </w:rPr>
      </w:pPr>
      <w:r>
        <w:rPr>
          <w:rFonts w:ascii="宋体" w:hAnsi="宋体"/>
          <w:szCs w:val="21"/>
        </w:rPr>
        <w:t>（19）审查施工承包人提交的竣工验收申请，编写工程质量评估报告；</w:t>
      </w:r>
    </w:p>
    <w:p w14:paraId="255DC66B">
      <w:pPr>
        <w:pStyle w:val="2"/>
        <w:spacing w:before="120"/>
        <w:ind w:left="520" w:right="113"/>
        <w:rPr>
          <w:rFonts w:ascii="宋体" w:hAnsi="宋体"/>
          <w:szCs w:val="21"/>
        </w:rPr>
      </w:pPr>
      <w:r>
        <w:rPr>
          <w:rFonts w:ascii="宋体" w:hAnsi="宋体"/>
          <w:szCs w:val="21"/>
        </w:rPr>
        <w:t>（20）参加工程竣工验收，签署竣工验收意见；</w:t>
      </w:r>
    </w:p>
    <w:p w14:paraId="10E1AA71">
      <w:pPr>
        <w:pStyle w:val="2"/>
        <w:spacing w:before="117"/>
        <w:ind w:left="520" w:right="113"/>
        <w:rPr>
          <w:rFonts w:ascii="宋体" w:hAnsi="宋体"/>
          <w:szCs w:val="21"/>
        </w:rPr>
      </w:pPr>
      <w:r>
        <w:rPr>
          <w:rFonts w:ascii="宋体" w:hAnsi="宋体"/>
          <w:szCs w:val="21"/>
        </w:rPr>
        <w:t>（21）审查施工承包人提交的竣工结算申请并报委托人；</w:t>
      </w:r>
    </w:p>
    <w:p w14:paraId="504DDB1B">
      <w:pPr>
        <w:pStyle w:val="2"/>
        <w:spacing w:before="6"/>
        <w:ind w:left="520"/>
        <w:rPr>
          <w:rFonts w:ascii="宋体" w:hAnsi="宋体"/>
          <w:szCs w:val="21"/>
        </w:rPr>
      </w:pPr>
      <w:r>
        <w:rPr>
          <w:rFonts w:ascii="宋体" w:hAnsi="宋体"/>
          <w:szCs w:val="21"/>
        </w:rPr>
        <w:t>（22）编制、整理工程监理归档文件并报委托人。</w:t>
      </w:r>
    </w:p>
    <w:p w14:paraId="3962B72E">
      <w:pPr>
        <w:pStyle w:val="2"/>
        <w:spacing w:before="11"/>
        <w:rPr>
          <w:rFonts w:ascii="宋体" w:hAnsi="宋体"/>
          <w:szCs w:val="21"/>
        </w:rPr>
      </w:pPr>
    </w:p>
    <w:p w14:paraId="357E39FC">
      <w:pPr>
        <w:pStyle w:val="269"/>
        <w:ind w:right="0"/>
        <w:rPr>
          <w:sz w:val="21"/>
          <w:szCs w:val="21"/>
          <w:lang w:eastAsia="zh-CN"/>
        </w:rPr>
      </w:pPr>
      <w:bookmarkStart w:id="590" w:name="_bookmark132"/>
      <w:bookmarkEnd w:id="590"/>
      <w:r>
        <w:rPr>
          <w:sz w:val="21"/>
          <w:szCs w:val="21"/>
          <w:lang w:eastAsia="zh-CN"/>
        </w:rPr>
        <w:t>5.4</w:t>
      </w:r>
      <w:r>
        <w:rPr>
          <w:spacing w:val="69"/>
          <w:sz w:val="21"/>
          <w:szCs w:val="21"/>
          <w:lang w:eastAsia="zh-CN"/>
        </w:rPr>
        <w:t xml:space="preserve"> </w:t>
      </w:r>
      <w:r>
        <w:rPr>
          <w:sz w:val="21"/>
          <w:szCs w:val="21"/>
          <w:lang w:eastAsia="zh-CN"/>
        </w:rPr>
        <w:t>监理文件要求</w:t>
      </w:r>
    </w:p>
    <w:p w14:paraId="762CF94E">
      <w:pPr>
        <w:pStyle w:val="2"/>
        <w:spacing w:before="248" w:line="336" w:lineRule="auto"/>
        <w:ind w:left="100" w:firstLine="419"/>
        <w:rPr>
          <w:rFonts w:ascii="宋体" w:hAnsi="宋体"/>
          <w:szCs w:val="21"/>
        </w:rPr>
      </w:pPr>
      <w:r>
        <w:rPr>
          <w:rFonts w:ascii="宋体" w:hAnsi="宋体"/>
          <w:szCs w:val="21"/>
        </w:rPr>
        <w:t>5.4.1 监理文件的编制应符合法律、规范标准的强制性规定和委托人要求，相关的监理依据 应当完整准确，文件内容和相应数据应当真实可靠。</w:t>
      </w:r>
    </w:p>
    <w:p w14:paraId="695BEAC4">
      <w:pPr>
        <w:pStyle w:val="2"/>
        <w:spacing w:before="51" w:line="336" w:lineRule="auto"/>
        <w:ind w:left="100" w:firstLine="419"/>
        <w:rPr>
          <w:rFonts w:ascii="宋体" w:hAnsi="宋体"/>
          <w:szCs w:val="21"/>
        </w:rPr>
      </w:pPr>
      <w:r>
        <w:rPr>
          <w:rFonts w:ascii="宋体" w:hAnsi="宋体"/>
          <w:szCs w:val="21"/>
        </w:rPr>
        <w:t>5.4.2 监理文件的深度应满足本阶段相应监理工作的规定要求，满足委托人的下步工作需要， 并应符合国家和行业现行规定。</w:t>
      </w:r>
    </w:p>
    <w:p w14:paraId="4C89F41A">
      <w:pPr>
        <w:pStyle w:val="2"/>
        <w:spacing w:before="49" w:line="336" w:lineRule="auto"/>
        <w:ind w:left="100" w:firstLine="419"/>
        <w:rPr>
          <w:rFonts w:ascii="宋体" w:hAnsi="宋体"/>
          <w:szCs w:val="21"/>
        </w:rPr>
      </w:pPr>
      <w:r>
        <w:rPr>
          <w:rFonts w:ascii="宋体" w:hAnsi="宋体"/>
          <w:szCs w:val="21"/>
        </w:rPr>
        <w:t>5.4.3 本工程监理文件的具体类别、编制要求、编制内容、提交时间和份数等，在专用合同 条款中约定。</w:t>
      </w:r>
    </w:p>
    <w:p w14:paraId="4B8DE8A3">
      <w:pPr>
        <w:pStyle w:val="2"/>
        <w:spacing w:before="5"/>
        <w:rPr>
          <w:rFonts w:ascii="宋体" w:hAnsi="宋体"/>
          <w:szCs w:val="21"/>
        </w:rPr>
      </w:pPr>
    </w:p>
    <w:p w14:paraId="0EF38FA3">
      <w:pPr>
        <w:jc w:val="left"/>
        <w:rPr>
          <w:rFonts w:ascii="宋体" w:hAnsi="宋体"/>
          <w:b/>
        </w:rPr>
      </w:pPr>
      <w:bookmarkStart w:id="591" w:name="_bookmark133"/>
      <w:bookmarkEnd w:id="591"/>
      <w:bookmarkStart w:id="592" w:name="_Toc84236923"/>
      <w:r>
        <w:rPr>
          <w:rFonts w:ascii="宋体" w:hAnsi="宋体"/>
          <w:b/>
        </w:rPr>
        <w:t>6.  开始监理和完成监理</w:t>
      </w:r>
      <w:bookmarkEnd w:id="592"/>
    </w:p>
    <w:p w14:paraId="1DBC266F">
      <w:pPr>
        <w:pStyle w:val="2"/>
        <w:spacing w:before="3"/>
        <w:rPr>
          <w:rFonts w:ascii="宋体" w:hAnsi="宋体"/>
          <w:b/>
          <w:szCs w:val="21"/>
        </w:rPr>
      </w:pPr>
    </w:p>
    <w:p w14:paraId="44D6570B">
      <w:pPr>
        <w:pStyle w:val="269"/>
        <w:ind w:right="0"/>
        <w:rPr>
          <w:sz w:val="21"/>
          <w:szCs w:val="21"/>
          <w:lang w:eastAsia="zh-CN"/>
        </w:rPr>
      </w:pPr>
      <w:bookmarkStart w:id="593" w:name="_bookmark134"/>
      <w:bookmarkEnd w:id="593"/>
      <w:r>
        <w:rPr>
          <w:sz w:val="21"/>
          <w:szCs w:val="21"/>
          <w:lang w:eastAsia="zh-CN"/>
        </w:rPr>
        <w:t>6.1  开始监理</w:t>
      </w:r>
    </w:p>
    <w:p w14:paraId="29E6EDD4">
      <w:pPr>
        <w:pStyle w:val="2"/>
        <w:spacing w:before="248" w:line="336" w:lineRule="auto"/>
        <w:ind w:left="100" w:right="226" w:firstLine="419"/>
        <w:rPr>
          <w:rFonts w:ascii="宋体" w:hAnsi="宋体"/>
          <w:szCs w:val="21"/>
        </w:rPr>
      </w:pPr>
      <w:r>
        <w:rPr>
          <w:rFonts w:ascii="宋体" w:hAnsi="宋体"/>
          <w:szCs w:val="21"/>
        </w:rPr>
        <w:t>6.1.1 符合专用合同条款约定的开始监理条件的，委托人应提前 7 天向监理人发出开始监理 通知。监理服务期限自开始监理通知中载明的开始监理日期起计算。</w:t>
      </w:r>
    </w:p>
    <w:p w14:paraId="3A8EE6BB">
      <w:pPr>
        <w:pStyle w:val="2"/>
        <w:spacing w:before="49" w:line="345" w:lineRule="auto"/>
        <w:ind w:left="100" w:right="311" w:firstLine="419"/>
        <w:rPr>
          <w:rFonts w:ascii="宋体" w:hAnsi="宋体"/>
          <w:szCs w:val="21"/>
        </w:rPr>
      </w:pPr>
      <w:r>
        <w:rPr>
          <w:rFonts w:ascii="宋体" w:hAnsi="宋体"/>
          <w:szCs w:val="21"/>
        </w:rPr>
        <w:t>6.1.2 除专用合同条款另有约定外，因委托人原因造成合同签订之日起 90 天内未能发出开 始监理通知的，监理人有权提出价格调整要求，或者解除合同。委托人应当承担由此增加的费 用和（或）周期延误。</w:t>
      </w:r>
    </w:p>
    <w:p w14:paraId="27570828">
      <w:pPr>
        <w:pStyle w:val="2"/>
        <w:spacing w:before="2"/>
        <w:rPr>
          <w:rFonts w:ascii="宋体" w:hAnsi="宋体"/>
          <w:szCs w:val="21"/>
        </w:rPr>
      </w:pPr>
    </w:p>
    <w:p w14:paraId="1F45C07A">
      <w:pPr>
        <w:pStyle w:val="269"/>
        <w:ind w:right="0"/>
        <w:rPr>
          <w:sz w:val="21"/>
          <w:szCs w:val="21"/>
          <w:lang w:eastAsia="zh-CN"/>
        </w:rPr>
      </w:pPr>
      <w:bookmarkStart w:id="594" w:name="_bookmark135"/>
      <w:bookmarkEnd w:id="594"/>
      <w:r>
        <w:rPr>
          <w:sz w:val="21"/>
          <w:szCs w:val="21"/>
          <w:lang w:eastAsia="zh-CN"/>
        </w:rPr>
        <w:t>6.2</w:t>
      </w:r>
      <w:r>
        <w:rPr>
          <w:spacing w:val="69"/>
          <w:sz w:val="21"/>
          <w:szCs w:val="21"/>
          <w:lang w:eastAsia="zh-CN"/>
        </w:rPr>
        <w:t xml:space="preserve"> </w:t>
      </w:r>
      <w:r>
        <w:rPr>
          <w:sz w:val="21"/>
          <w:szCs w:val="21"/>
          <w:lang w:eastAsia="zh-CN"/>
        </w:rPr>
        <w:t>监理周期延误</w:t>
      </w:r>
    </w:p>
    <w:p w14:paraId="3469E6A5">
      <w:pPr>
        <w:pStyle w:val="2"/>
        <w:spacing w:before="248" w:line="357" w:lineRule="auto"/>
        <w:ind w:left="100" w:firstLine="419"/>
        <w:rPr>
          <w:rFonts w:ascii="宋体" w:hAnsi="宋体"/>
          <w:szCs w:val="21"/>
        </w:rPr>
      </w:pPr>
      <w:r>
        <w:rPr>
          <w:rFonts w:ascii="宋体" w:hAnsi="宋体"/>
          <w:szCs w:val="21"/>
        </w:rPr>
        <w:t>在履行合同过程中，由于下列原因造成监理服务期限延误的，委托人应当延长监理服务期 限并增加监理报酬，具体方法在专用合同条款中约定。</w:t>
      </w:r>
    </w:p>
    <w:p w14:paraId="7A76E85F">
      <w:pPr>
        <w:pStyle w:val="2"/>
        <w:spacing w:before="30"/>
        <w:ind w:left="520"/>
        <w:rPr>
          <w:rFonts w:ascii="宋体" w:hAnsi="宋体"/>
          <w:szCs w:val="21"/>
        </w:rPr>
      </w:pPr>
      <w:r>
        <w:rPr>
          <w:rFonts w:ascii="宋体" w:hAnsi="宋体"/>
          <w:szCs w:val="21"/>
        </w:rPr>
        <w:t>（1）合同变更；</w:t>
      </w:r>
    </w:p>
    <w:p w14:paraId="7F41DBAC">
      <w:pPr>
        <w:pStyle w:val="2"/>
        <w:spacing w:before="117"/>
        <w:ind w:left="520"/>
        <w:rPr>
          <w:rFonts w:ascii="宋体" w:hAnsi="宋体"/>
          <w:szCs w:val="21"/>
        </w:rPr>
      </w:pPr>
      <w:r>
        <w:rPr>
          <w:rFonts w:ascii="宋体" w:hAnsi="宋体"/>
          <w:szCs w:val="21"/>
        </w:rPr>
        <w:t>（2）因委托人原因导致的监理工作暂停；</w:t>
      </w:r>
    </w:p>
    <w:p w14:paraId="39EFE962">
      <w:pPr>
        <w:pStyle w:val="2"/>
        <w:spacing w:before="119"/>
        <w:ind w:left="520"/>
        <w:rPr>
          <w:rFonts w:ascii="宋体" w:hAnsi="宋体"/>
          <w:szCs w:val="21"/>
        </w:rPr>
      </w:pPr>
      <w:r>
        <w:rPr>
          <w:rFonts w:ascii="宋体" w:hAnsi="宋体"/>
          <w:szCs w:val="21"/>
        </w:rPr>
        <w:t>（3）未按合同约定及时支付监理报酬；</w:t>
      </w:r>
    </w:p>
    <w:p w14:paraId="76E54392">
      <w:pPr>
        <w:pStyle w:val="2"/>
        <w:spacing w:before="117"/>
        <w:ind w:left="520"/>
        <w:rPr>
          <w:rFonts w:ascii="宋体" w:hAnsi="宋体"/>
          <w:szCs w:val="21"/>
        </w:rPr>
      </w:pPr>
      <w:r>
        <w:rPr>
          <w:rFonts w:ascii="宋体" w:hAnsi="宋体"/>
          <w:szCs w:val="21"/>
        </w:rPr>
        <w:t>（4）未及时履行合同约定的相关义务；</w:t>
      </w:r>
    </w:p>
    <w:p w14:paraId="3B58AEE5">
      <w:pPr>
        <w:pStyle w:val="2"/>
        <w:spacing w:before="117"/>
        <w:ind w:left="520"/>
        <w:rPr>
          <w:rFonts w:ascii="宋体" w:hAnsi="宋体"/>
          <w:szCs w:val="21"/>
        </w:rPr>
      </w:pPr>
      <w:r>
        <w:rPr>
          <w:rFonts w:ascii="宋体" w:hAnsi="宋体"/>
          <w:szCs w:val="21"/>
        </w:rPr>
        <w:t>（5）由于承包人延误、行政管理造成的监理服务期延误；</w:t>
      </w:r>
    </w:p>
    <w:p w14:paraId="7822F5B8">
      <w:pPr>
        <w:pStyle w:val="2"/>
        <w:spacing w:before="117"/>
        <w:ind w:left="520"/>
        <w:rPr>
          <w:rFonts w:ascii="宋体" w:hAnsi="宋体"/>
          <w:szCs w:val="21"/>
        </w:rPr>
      </w:pPr>
      <w:r>
        <w:rPr>
          <w:rFonts w:ascii="宋体" w:hAnsi="宋体"/>
          <w:szCs w:val="21"/>
        </w:rPr>
        <w:t>（6）造成监理服务期限延误的其他原因。</w:t>
      </w:r>
    </w:p>
    <w:p w14:paraId="58B021A0">
      <w:pPr>
        <w:pStyle w:val="2"/>
        <w:spacing w:before="11"/>
        <w:rPr>
          <w:rFonts w:ascii="宋体" w:hAnsi="宋体"/>
          <w:szCs w:val="21"/>
        </w:rPr>
      </w:pPr>
    </w:p>
    <w:p w14:paraId="7F394E18">
      <w:pPr>
        <w:pStyle w:val="269"/>
        <w:ind w:right="0"/>
        <w:rPr>
          <w:sz w:val="21"/>
          <w:szCs w:val="21"/>
          <w:lang w:eastAsia="zh-CN"/>
        </w:rPr>
      </w:pPr>
      <w:bookmarkStart w:id="595" w:name="_bookmark136"/>
      <w:bookmarkEnd w:id="595"/>
      <w:r>
        <w:rPr>
          <w:sz w:val="21"/>
          <w:szCs w:val="21"/>
          <w:lang w:eastAsia="zh-CN"/>
        </w:rPr>
        <w:t>6.3  完成监理</w:t>
      </w:r>
    </w:p>
    <w:p w14:paraId="3E5E300B">
      <w:pPr>
        <w:pStyle w:val="2"/>
        <w:spacing w:before="248"/>
        <w:ind w:left="520"/>
        <w:rPr>
          <w:rFonts w:ascii="宋体" w:hAnsi="宋体"/>
          <w:szCs w:val="21"/>
        </w:rPr>
      </w:pPr>
      <w:r>
        <w:rPr>
          <w:rFonts w:ascii="宋体" w:hAnsi="宋体"/>
          <w:szCs w:val="21"/>
        </w:rPr>
        <w:t>6.3.1   监理人应当根据法律、规范标准、合同约定和委托人要求实施和完成监理，并编制和</w:t>
      </w:r>
    </w:p>
    <w:p w14:paraId="16CA62D9">
      <w:pPr>
        <w:pStyle w:val="2"/>
        <w:spacing w:before="6"/>
        <w:ind w:left="100" w:right="113"/>
        <w:rPr>
          <w:rFonts w:ascii="宋体" w:hAnsi="宋体"/>
          <w:szCs w:val="21"/>
        </w:rPr>
      </w:pPr>
      <w:r>
        <w:rPr>
          <w:rFonts w:ascii="宋体" w:hAnsi="宋体"/>
          <w:szCs w:val="21"/>
        </w:rPr>
        <w:t>移交监理文件。</w:t>
      </w:r>
    </w:p>
    <w:p w14:paraId="11C00716">
      <w:pPr>
        <w:pStyle w:val="2"/>
        <w:spacing w:before="133" w:line="350" w:lineRule="auto"/>
        <w:ind w:left="100" w:right="113" w:firstLine="419"/>
        <w:rPr>
          <w:rFonts w:ascii="宋体" w:hAnsi="宋体"/>
          <w:szCs w:val="21"/>
        </w:rPr>
      </w:pPr>
      <w:r>
        <w:rPr>
          <w:rFonts w:ascii="宋体" w:hAnsi="宋体"/>
          <w:szCs w:val="21"/>
        </w:rPr>
        <w:t xml:space="preserve">6.3.2 </w:t>
      </w:r>
      <w:r>
        <w:rPr>
          <w:rFonts w:ascii="宋体" w:hAnsi="宋体"/>
          <w:spacing w:val="-4"/>
          <w:szCs w:val="21"/>
        </w:rPr>
        <w:t xml:space="preserve">根据委托人要求或者基于专业能力判断，监理人认为能够提前完成监理的，可向委托 </w:t>
      </w:r>
      <w:r>
        <w:rPr>
          <w:rFonts w:ascii="宋体" w:hAnsi="宋体"/>
          <w:spacing w:val="-1"/>
          <w:szCs w:val="21"/>
        </w:rPr>
        <w:t xml:space="preserve">人递交一份提前完成监理建议书，包括实施方案、提前时间、监理报酬变动等内容。除专用合 同条款另有约定之外，委托人接受建议书的，不因提前完成监理而减少监理报酬；增加监理报 </w:t>
      </w:r>
      <w:r>
        <w:rPr>
          <w:rFonts w:ascii="宋体" w:hAnsi="宋体"/>
          <w:szCs w:val="21"/>
        </w:rPr>
        <w:t>酬的，所增费用由委托人承担。</w:t>
      </w:r>
    </w:p>
    <w:p w14:paraId="24C8C17F">
      <w:pPr>
        <w:pStyle w:val="2"/>
        <w:spacing w:before="36" w:line="336" w:lineRule="auto"/>
        <w:ind w:left="100" w:right="113" w:firstLine="419"/>
        <w:rPr>
          <w:rFonts w:ascii="宋体" w:hAnsi="宋体"/>
          <w:szCs w:val="21"/>
        </w:rPr>
      </w:pPr>
      <w:r>
        <w:rPr>
          <w:rFonts w:ascii="宋体" w:hAnsi="宋体"/>
          <w:szCs w:val="21"/>
        </w:rPr>
        <w:t xml:space="preserve">6.3.3 </w:t>
      </w:r>
      <w:r>
        <w:rPr>
          <w:rFonts w:ascii="宋体" w:hAnsi="宋体"/>
          <w:spacing w:val="-4"/>
          <w:szCs w:val="21"/>
        </w:rPr>
        <w:t xml:space="preserve">缺陷修复监理指缺陷责任期间，监理人对承包人修复质量缺陷进行的监理。缺陷修复 </w:t>
      </w:r>
      <w:r>
        <w:rPr>
          <w:rFonts w:ascii="宋体" w:hAnsi="宋体"/>
          <w:szCs w:val="21"/>
        </w:rPr>
        <w:t>监理的责任由监理人负责。</w:t>
      </w:r>
    </w:p>
    <w:p w14:paraId="127AE73B">
      <w:pPr>
        <w:pStyle w:val="2"/>
        <w:spacing w:before="52" w:line="345" w:lineRule="auto"/>
        <w:ind w:left="100" w:right="113" w:firstLine="419"/>
        <w:rPr>
          <w:rFonts w:ascii="宋体" w:hAnsi="宋体"/>
          <w:szCs w:val="21"/>
        </w:rPr>
      </w:pPr>
      <w:r>
        <w:rPr>
          <w:rFonts w:ascii="宋体" w:hAnsi="宋体"/>
          <w:szCs w:val="21"/>
        </w:rPr>
        <w:t xml:space="preserve">6.3.4 </w:t>
      </w:r>
      <w:r>
        <w:rPr>
          <w:rFonts w:ascii="宋体" w:hAnsi="宋体"/>
          <w:spacing w:val="-4"/>
          <w:szCs w:val="21"/>
        </w:rPr>
        <w:t xml:space="preserve">委托人应当及时接收监理人提交的监理文件。如无正当理由拒收的，视为委托人已经 </w:t>
      </w:r>
      <w:r>
        <w:rPr>
          <w:rFonts w:ascii="宋体" w:hAnsi="宋体"/>
          <w:spacing w:val="-1"/>
          <w:szCs w:val="21"/>
        </w:rPr>
        <w:t xml:space="preserve">接收监理文件。接收监理文件时，委托人应向监理人出具文件签收凭证，凭证内容包括文件名 </w:t>
      </w:r>
      <w:r>
        <w:rPr>
          <w:rFonts w:ascii="宋体" w:hAnsi="宋体"/>
          <w:szCs w:val="21"/>
        </w:rPr>
        <w:t>称、文件内容、文件形式、份数、提交和接收日期、提交人与接收人的亲笔签名等。</w:t>
      </w:r>
    </w:p>
    <w:p w14:paraId="385F2490">
      <w:pPr>
        <w:pStyle w:val="2"/>
        <w:spacing w:before="40" w:line="343" w:lineRule="auto"/>
        <w:ind w:left="100" w:right="113" w:firstLine="419"/>
        <w:rPr>
          <w:rFonts w:ascii="宋体" w:hAnsi="宋体"/>
          <w:szCs w:val="21"/>
        </w:rPr>
      </w:pPr>
      <w:r>
        <w:rPr>
          <w:rFonts w:ascii="宋体" w:hAnsi="宋体"/>
          <w:szCs w:val="21"/>
        </w:rPr>
        <w:t xml:space="preserve">6.3.5 </w:t>
      </w:r>
      <w:r>
        <w:rPr>
          <w:rFonts w:ascii="宋体" w:hAnsi="宋体"/>
          <w:spacing w:val="-4"/>
          <w:szCs w:val="21"/>
        </w:rPr>
        <w:t xml:space="preserve">除专用合同条款另有约定外，监理文件包括纸质文件和电子文件两种形式，两者若有 </w:t>
      </w:r>
      <w:r>
        <w:rPr>
          <w:rFonts w:ascii="宋体" w:hAnsi="宋体"/>
          <w:spacing w:val="-1"/>
          <w:szCs w:val="21"/>
        </w:rPr>
        <w:t xml:space="preserve">不一致时，应以纸质文件为准。纸质文件应当加盖单位章和总监理工程师的注册执业印章，具 </w:t>
      </w:r>
      <w:r>
        <w:rPr>
          <w:rFonts w:ascii="宋体" w:hAnsi="宋体"/>
          <w:szCs w:val="21"/>
        </w:rPr>
        <w:t>体份数、纸幅、装订格式等要求，应在专用合同条款中约定；电子文件应使用光盘和</w:t>
      </w:r>
      <w:r>
        <w:rPr>
          <w:rFonts w:ascii="宋体" w:hAnsi="宋体"/>
          <w:spacing w:val="-75"/>
          <w:szCs w:val="21"/>
        </w:rPr>
        <w:t xml:space="preserve"> </w:t>
      </w:r>
      <w:r>
        <w:rPr>
          <w:rFonts w:ascii="宋体" w:hAnsi="宋体"/>
          <w:szCs w:val="21"/>
        </w:rPr>
        <w:t>U 盘分别 贮存。</w:t>
      </w:r>
    </w:p>
    <w:p w14:paraId="4F52E21F">
      <w:pPr>
        <w:pStyle w:val="2"/>
        <w:spacing w:before="12"/>
        <w:rPr>
          <w:rFonts w:ascii="宋体" w:hAnsi="宋体"/>
          <w:szCs w:val="21"/>
        </w:rPr>
      </w:pPr>
    </w:p>
    <w:p w14:paraId="4B8B392E">
      <w:pPr>
        <w:jc w:val="left"/>
        <w:rPr>
          <w:rFonts w:ascii="宋体" w:hAnsi="宋体"/>
          <w:b/>
        </w:rPr>
      </w:pPr>
      <w:bookmarkStart w:id="596" w:name="_bookmark137"/>
      <w:bookmarkEnd w:id="596"/>
      <w:bookmarkStart w:id="597" w:name="_Toc84236924"/>
      <w:r>
        <w:rPr>
          <w:rFonts w:ascii="宋体" w:hAnsi="宋体"/>
          <w:b/>
        </w:rPr>
        <w:t>7.  监理责任与保险</w:t>
      </w:r>
      <w:bookmarkEnd w:id="597"/>
    </w:p>
    <w:p w14:paraId="4CE1F1D7">
      <w:pPr>
        <w:pStyle w:val="2"/>
        <w:spacing w:before="3"/>
        <w:rPr>
          <w:rFonts w:ascii="宋体" w:hAnsi="宋体"/>
          <w:b/>
          <w:szCs w:val="21"/>
        </w:rPr>
      </w:pPr>
    </w:p>
    <w:p w14:paraId="35E23E22">
      <w:pPr>
        <w:pStyle w:val="269"/>
        <w:rPr>
          <w:sz w:val="21"/>
          <w:szCs w:val="21"/>
          <w:lang w:eastAsia="zh-CN"/>
        </w:rPr>
      </w:pPr>
      <w:bookmarkStart w:id="598" w:name="_bookmark138"/>
      <w:bookmarkEnd w:id="598"/>
      <w:r>
        <w:rPr>
          <w:sz w:val="21"/>
          <w:szCs w:val="21"/>
          <w:lang w:eastAsia="zh-CN"/>
        </w:rPr>
        <w:t>7.1</w:t>
      </w:r>
      <w:r>
        <w:rPr>
          <w:spacing w:val="69"/>
          <w:sz w:val="21"/>
          <w:szCs w:val="21"/>
          <w:lang w:eastAsia="zh-CN"/>
        </w:rPr>
        <w:t xml:space="preserve"> </w:t>
      </w:r>
      <w:r>
        <w:rPr>
          <w:sz w:val="21"/>
          <w:szCs w:val="21"/>
          <w:lang w:eastAsia="zh-CN"/>
        </w:rPr>
        <w:t>监理责任主体</w:t>
      </w:r>
    </w:p>
    <w:p w14:paraId="4D5BB33E">
      <w:pPr>
        <w:pStyle w:val="2"/>
        <w:spacing w:before="246" w:line="336" w:lineRule="auto"/>
        <w:ind w:left="100" w:right="114" w:firstLine="419"/>
        <w:rPr>
          <w:rFonts w:ascii="宋体" w:hAnsi="宋体"/>
          <w:szCs w:val="21"/>
        </w:rPr>
      </w:pPr>
      <w:r>
        <w:rPr>
          <w:rFonts w:ascii="宋体" w:hAnsi="宋体"/>
          <w:szCs w:val="21"/>
        </w:rPr>
        <w:t xml:space="preserve">7.1.1 </w:t>
      </w:r>
      <w:r>
        <w:rPr>
          <w:rFonts w:ascii="宋体" w:hAnsi="宋体"/>
          <w:spacing w:val="-4"/>
          <w:szCs w:val="21"/>
        </w:rPr>
        <w:t xml:space="preserve">监理人应运用一切合理的专业技术、知识技能和项目经验，按照职业道德准则和行业 </w:t>
      </w:r>
      <w:r>
        <w:rPr>
          <w:rFonts w:ascii="宋体" w:hAnsi="宋体"/>
          <w:szCs w:val="21"/>
        </w:rPr>
        <w:t>公认标准尽其全部职责，勤勉、谨慎、公正地履行其在本合同项下的责任和义务。</w:t>
      </w:r>
    </w:p>
    <w:p w14:paraId="165BEBA6">
      <w:pPr>
        <w:pStyle w:val="2"/>
        <w:spacing w:before="51" w:line="336" w:lineRule="auto"/>
        <w:ind w:left="100" w:right="113" w:firstLine="419"/>
        <w:rPr>
          <w:rFonts w:ascii="宋体" w:hAnsi="宋体"/>
          <w:szCs w:val="21"/>
        </w:rPr>
      </w:pPr>
      <w:r>
        <w:rPr>
          <w:rFonts w:ascii="宋体" w:hAnsi="宋体"/>
          <w:szCs w:val="21"/>
        </w:rPr>
        <w:t xml:space="preserve">7.1.2 </w:t>
      </w:r>
      <w:r>
        <w:rPr>
          <w:rFonts w:ascii="宋体" w:hAnsi="宋体"/>
          <w:spacing w:val="-4"/>
          <w:szCs w:val="21"/>
        </w:rPr>
        <w:t xml:space="preserve">监理责任为监理单位项目负责人终身责任制。总监理工程师应当按照法律法规、有关 </w:t>
      </w:r>
      <w:r>
        <w:rPr>
          <w:rFonts w:ascii="宋体" w:hAnsi="宋体"/>
          <w:szCs w:val="21"/>
        </w:rPr>
        <w:t>技术标准、设计文件和工程承包合同进行监理，对施工质量承担监理责任。</w:t>
      </w:r>
    </w:p>
    <w:p w14:paraId="0C1AC777">
      <w:pPr>
        <w:pStyle w:val="2"/>
        <w:spacing w:before="49" w:line="336" w:lineRule="auto"/>
        <w:ind w:left="100" w:right="111" w:firstLine="419"/>
        <w:rPr>
          <w:rFonts w:ascii="宋体" w:hAnsi="宋体"/>
          <w:szCs w:val="21"/>
        </w:rPr>
      </w:pPr>
      <w:r>
        <w:rPr>
          <w:rFonts w:ascii="宋体" w:hAnsi="宋体"/>
          <w:szCs w:val="21"/>
        </w:rPr>
        <w:t xml:space="preserve">7.1.3 </w:t>
      </w:r>
      <w:r>
        <w:rPr>
          <w:rFonts w:ascii="宋体" w:hAnsi="宋体"/>
          <w:spacing w:val="-4"/>
          <w:szCs w:val="21"/>
        </w:rPr>
        <w:t xml:space="preserve">总监理工程师应当在办理工程质量监督手续前签署工程质量终身责任承诺书，连同法 </w:t>
      </w:r>
      <w:r>
        <w:rPr>
          <w:rFonts w:ascii="宋体" w:hAnsi="宋体"/>
          <w:szCs w:val="21"/>
        </w:rPr>
        <w:t>定代表人出具的授权书，报工程质量监督机构备案。</w:t>
      </w:r>
    </w:p>
    <w:p w14:paraId="2C7DD98D">
      <w:pPr>
        <w:pStyle w:val="2"/>
        <w:spacing w:before="8"/>
        <w:rPr>
          <w:rFonts w:ascii="宋体" w:hAnsi="宋体"/>
          <w:szCs w:val="21"/>
        </w:rPr>
      </w:pPr>
    </w:p>
    <w:p w14:paraId="40C30C9A">
      <w:pPr>
        <w:pStyle w:val="269"/>
        <w:rPr>
          <w:sz w:val="21"/>
          <w:szCs w:val="21"/>
          <w:lang w:eastAsia="zh-CN"/>
        </w:rPr>
      </w:pPr>
      <w:bookmarkStart w:id="599" w:name="_bookmark139"/>
      <w:bookmarkEnd w:id="599"/>
      <w:r>
        <w:rPr>
          <w:sz w:val="21"/>
          <w:szCs w:val="21"/>
          <w:lang w:eastAsia="zh-CN"/>
        </w:rPr>
        <w:t>7.2</w:t>
      </w:r>
      <w:r>
        <w:rPr>
          <w:spacing w:val="69"/>
          <w:sz w:val="21"/>
          <w:szCs w:val="21"/>
          <w:lang w:eastAsia="zh-CN"/>
        </w:rPr>
        <w:t xml:space="preserve"> </w:t>
      </w:r>
      <w:r>
        <w:rPr>
          <w:sz w:val="21"/>
          <w:szCs w:val="21"/>
          <w:lang w:eastAsia="zh-CN"/>
        </w:rPr>
        <w:t>监理责任保险</w:t>
      </w:r>
    </w:p>
    <w:p w14:paraId="5605D2C2">
      <w:pPr>
        <w:pStyle w:val="2"/>
        <w:spacing w:before="248" w:line="357" w:lineRule="auto"/>
        <w:ind w:left="100" w:right="114" w:firstLine="419"/>
        <w:rPr>
          <w:rFonts w:ascii="宋体" w:hAnsi="宋体"/>
          <w:szCs w:val="21"/>
        </w:rPr>
      </w:pPr>
      <w:r>
        <w:rPr>
          <w:rFonts w:ascii="宋体" w:hAnsi="宋体"/>
          <w:szCs w:val="21"/>
        </w:rPr>
        <w:t>除专用合同条款另有约定外，建议监理人根据工程情况对监理责任进行保险，并在合同履 行期间保持足额、有效。</w:t>
      </w:r>
    </w:p>
    <w:p w14:paraId="4EAB8281">
      <w:pPr>
        <w:jc w:val="left"/>
        <w:rPr>
          <w:rFonts w:ascii="宋体" w:hAnsi="宋体"/>
          <w:b/>
        </w:rPr>
      </w:pPr>
      <w:bookmarkStart w:id="600" w:name="_bookmark140"/>
      <w:bookmarkEnd w:id="600"/>
      <w:bookmarkStart w:id="601" w:name="_Toc84236925"/>
      <w:r>
        <w:rPr>
          <w:rFonts w:ascii="宋体" w:hAnsi="宋体"/>
          <w:b/>
        </w:rPr>
        <w:t>8.  合同变更</w:t>
      </w:r>
      <w:bookmarkEnd w:id="601"/>
    </w:p>
    <w:p w14:paraId="11A349AA">
      <w:pPr>
        <w:pStyle w:val="2"/>
        <w:rPr>
          <w:rFonts w:ascii="宋体" w:hAnsi="宋体"/>
          <w:b/>
          <w:szCs w:val="21"/>
        </w:rPr>
      </w:pPr>
    </w:p>
    <w:p w14:paraId="6A2823D0">
      <w:pPr>
        <w:pStyle w:val="269"/>
        <w:ind w:right="108"/>
        <w:rPr>
          <w:sz w:val="21"/>
          <w:szCs w:val="21"/>
          <w:lang w:eastAsia="zh-CN"/>
        </w:rPr>
      </w:pPr>
      <w:bookmarkStart w:id="602" w:name="_bookmark141"/>
      <w:bookmarkEnd w:id="602"/>
      <w:r>
        <w:rPr>
          <w:sz w:val="21"/>
          <w:szCs w:val="21"/>
          <w:lang w:eastAsia="zh-CN"/>
        </w:rPr>
        <w:t>8.1  变更情形</w:t>
      </w:r>
    </w:p>
    <w:p w14:paraId="4884B155">
      <w:pPr>
        <w:pStyle w:val="2"/>
        <w:spacing w:before="248" w:line="336" w:lineRule="auto"/>
        <w:ind w:left="100" w:right="108" w:firstLine="419"/>
        <w:rPr>
          <w:rFonts w:ascii="宋体" w:hAnsi="宋体"/>
          <w:szCs w:val="21"/>
        </w:rPr>
      </w:pPr>
      <w:r>
        <w:rPr>
          <w:rFonts w:ascii="宋体" w:hAnsi="宋体"/>
          <w:szCs w:val="21"/>
        </w:rPr>
        <w:t>8.1.1 合同履行中发生下述情形时，合同一方均可向对方提出变更请求，经双方协商一致后 进行变更，监理服务期限和监理报酬的调整方法在专用合同条款中约定。</w:t>
      </w:r>
    </w:p>
    <w:p w14:paraId="10FD1963">
      <w:pPr>
        <w:pStyle w:val="2"/>
        <w:spacing w:before="49"/>
        <w:ind w:left="520" w:right="108"/>
        <w:rPr>
          <w:rFonts w:ascii="宋体" w:hAnsi="宋体"/>
          <w:szCs w:val="21"/>
        </w:rPr>
      </w:pPr>
      <w:r>
        <w:rPr>
          <w:rFonts w:ascii="宋体" w:hAnsi="宋体"/>
          <w:szCs w:val="21"/>
        </w:rPr>
        <w:t>（1）监理范围发生变化；</w:t>
      </w:r>
    </w:p>
    <w:p w14:paraId="4D757617">
      <w:pPr>
        <w:pStyle w:val="2"/>
        <w:spacing w:before="118"/>
        <w:ind w:left="520" w:right="108"/>
        <w:rPr>
          <w:rFonts w:ascii="宋体" w:hAnsi="宋体"/>
          <w:szCs w:val="21"/>
        </w:rPr>
      </w:pPr>
      <w:r>
        <w:rPr>
          <w:rFonts w:ascii="宋体" w:hAnsi="宋体"/>
          <w:szCs w:val="21"/>
        </w:rPr>
        <w:t>（2）除不可抗力外，非监理人的原因引起的周期延误；</w:t>
      </w:r>
    </w:p>
    <w:p w14:paraId="5F4AB803">
      <w:pPr>
        <w:pStyle w:val="2"/>
        <w:spacing w:before="119"/>
        <w:ind w:left="520" w:right="108"/>
        <w:rPr>
          <w:rFonts w:ascii="宋体" w:hAnsi="宋体"/>
          <w:szCs w:val="21"/>
        </w:rPr>
      </w:pPr>
      <w:r>
        <w:rPr>
          <w:rFonts w:ascii="宋体" w:hAnsi="宋体"/>
          <w:szCs w:val="21"/>
        </w:rPr>
        <w:t>（3）非监理人的原因，对工程同一部分重复进行监理；</w:t>
      </w:r>
    </w:p>
    <w:p w14:paraId="17D22E03">
      <w:pPr>
        <w:pStyle w:val="2"/>
        <w:spacing w:before="117"/>
        <w:ind w:left="520" w:right="108"/>
        <w:rPr>
          <w:rFonts w:ascii="宋体" w:hAnsi="宋体"/>
          <w:szCs w:val="21"/>
        </w:rPr>
      </w:pPr>
      <w:r>
        <w:rPr>
          <w:rFonts w:ascii="宋体" w:hAnsi="宋体"/>
          <w:szCs w:val="21"/>
        </w:rPr>
        <w:t>（4）非监理人的原因，对工程暂停监理及恢复监理。</w:t>
      </w:r>
    </w:p>
    <w:p w14:paraId="3A2DFD65">
      <w:pPr>
        <w:pStyle w:val="2"/>
        <w:spacing w:before="117" w:line="336" w:lineRule="auto"/>
        <w:ind w:left="100" w:right="108" w:firstLine="419"/>
        <w:rPr>
          <w:rFonts w:ascii="宋体" w:hAnsi="宋体"/>
          <w:szCs w:val="21"/>
        </w:rPr>
      </w:pPr>
      <w:r>
        <w:rPr>
          <w:rFonts w:ascii="宋体" w:hAnsi="宋体"/>
          <w:szCs w:val="21"/>
        </w:rPr>
        <w:t>8.1.2 基准日后，因颁布新的或修订原有法律、法规、规范和标准等引发合同变更情形的， 按照上述约定进行调整。</w:t>
      </w:r>
    </w:p>
    <w:p w14:paraId="08F7DB7C">
      <w:pPr>
        <w:pStyle w:val="2"/>
        <w:spacing w:before="10"/>
        <w:rPr>
          <w:rFonts w:ascii="宋体" w:hAnsi="宋体"/>
          <w:szCs w:val="21"/>
        </w:rPr>
      </w:pPr>
    </w:p>
    <w:p w14:paraId="04AA1093">
      <w:pPr>
        <w:pStyle w:val="269"/>
        <w:ind w:right="108"/>
        <w:rPr>
          <w:sz w:val="21"/>
          <w:szCs w:val="21"/>
          <w:lang w:eastAsia="zh-CN"/>
        </w:rPr>
      </w:pPr>
      <w:bookmarkStart w:id="603" w:name="_bookmark142"/>
      <w:bookmarkEnd w:id="603"/>
      <w:r>
        <w:rPr>
          <w:sz w:val="21"/>
          <w:szCs w:val="21"/>
          <w:lang w:eastAsia="zh-CN"/>
        </w:rPr>
        <w:t>8.2  合理化建议</w:t>
      </w:r>
    </w:p>
    <w:p w14:paraId="7B669794">
      <w:pPr>
        <w:pStyle w:val="2"/>
        <w:spacing w:before="246"/>
        <w:ind w:left="520" w:right="21"/>
        <w:rPr>
          <w:rFonts w:ascii="宋体" w:hAnsi="宋体"/>
          <w:szCs w:val="21"/>
        </w:rPr>
      </w:pPr>
      <w:r>
        <w:rPr>
          <w:rFonts w:ascii="宋体" w:hAnsi="宋体"/>
          <w:szCs w:val="21"/>
        </w:rPr>
        <w:t>8.2.1   合同履行中，监理人可对委托人要求提出合理化建议。合理化建议应以书面形式提交</w:t>
      </w:r>
    </w:p>
    <w:p w14:paraId="4472951F">
      <w:pPr>
        <w:pStyle w:val="2"/>
        <w:spacing w:before="120"/>
        <w:ind w:left="100" w:right="108"/>
        <w:rPr>
          <w:rFonts w:ascii="宋体" w:hAnsi="宋体"/>
          <w:szCs w:val="21"/>
        </w:rPr>
      </w:pPr>
      <w:r>
        <w:rPr>
          <w:rFonts w:ascii="宋体" w:hAnsi="宋体"/>
          <w:szCs w:val="21"/>
        </w:rPr>
        <w:t>委托人，被委托人采纳并构成变更的，执行第</w:t>
      </w:r>
      <w:r>
        <w:rPr>
          <w:rFonts w:ascii="宋体" w:hAnsi="宋体"/>
          <w:spacing w:val="-57"/>
          <w:szCs w:val="21"/>
        </w:rPr>
        <w:t xml:space="preserve"> </w:t>
      </w:r>
      <w:r>
        <w:rPr>
          <w:rFonts w:ascii="宋体" w:hAnsi="宋体"/>
          <w:szCs w:val="21"/>
        </w:rPr>
        <w:t>8.1 款约定。</w:t>
      </w:r>
    </w:p>
    <w:p w14:paraId="42778A2E">
      <w:pPr>
        <w:pStyle w:val="2"/>
        <w:spacing w:before="117" w:line="336" w:lineRule="auto"/>
        <w:ind w:left="100" w:right="108" w:firstLine="419"/>
        <w:rPr>
          <w:rFonts w:ascii="宋体" w:hAnsi="宋体"/>
          <w:szCs w:val="21"/>
        </w:rPr>
      </w:pPr>
      <w:r>
        <w:rPr>
          <w:rFonts w:ascii="宋体" w:hAnsi="宋体"/>
          <w:szCs w:val="21"/>
        </w:rPr>
        <w:t>8.2.2 监理人提出的合理化建议降低了工程投资、缩短了施工期限或者提高了工程经济效益 的，委托人应按专用合同条款中的约定给予奖励。</w:t>
      </w:r>
    </w:p>
    <w:p w14:paraId="58BE5E3B">
      <w:pPr>
        <w:pStyle w:val="2"/>
        <w:spacing w:before="5"/>
        <w:rPr>
          <w:rFonts w:ascii="宋体" w:hAnsi="宋体"/>
          <w:szCs w:val="21"/>
        </w:rPr>
      </w:pPr>
    </w:p>
    <w:p w14:paraId="4C74003C">
      <w:pPr>
        <w:jc w:val="left"/>
        <w:rPr>
          <w:rFonts w:ascii="宋体" w:hAnsi="宋体"/>
          <w:b/>
        </w:rPr>
      </w:pPr>
      <w:bookmarkStart w:id="604" w:name="_bookmark143"/>
      <w:bookmarkEnd w:id="604"/>
      <w:bookmarkStart w:id="605" w:name="_Toc84236926"/>
      <w:r>
        <w:rPr>
          <w:rFonts w:ascii="宋体" w:hAnsi="宋体"/>
          <w:b/>
        </w:rPr>
        <w:t>9.  合同价格与支付</w:t>
      </w:r>
      <w:bookmarkEnd w:id="605"/>
    </w:p>
    <w:p w14:paraId="2F283077">
      <w:pPr>
        <w:pStyle w:val="2"/>
        <w:spacing w:before="3"/>
        <w:rPr>
          <w:rFonts w:ascii="宋体" w:hAnsi="宋体"/>
          <w:b/>
          <w:szCs w:val="21"/>
        </w:rPr>
      </w:pPr>
    </w:p>
    <w:p w14:paraId="0CFB4745">
      <w:pPr>
        <w:pStyle w:val="269"/>
        <w:ind w:right="108"/>
        <w:rPr>
          <w:sz w:val="21"/>
          <w:szCs w:val="21"/>
          <w:lang w:eastAsia="zh-CN"/>
        </w:rPr>
      </w:pPr>
      <w:bookmarkStart w:id="606" w:name="_bookmark144"/>
      <w:bookmarkEnd w:id="606"/>
      <w:r>
        <w:rPr>
          <w:sz w:val="21"/>
          <w:szCs w:val="21"/>
          <w:lang w:eastAsia="zh-CN"/>
        </w:rPr>
        <w:t>9.1  合同价格</w:t>
      </w:r>
    </w:p>
    <w:p w14:paraId="7B25876B">
      <w:pPr>
        <w:pStyle w:val="2"/>
        <w:spacing w:before="246"/>
        <w:ind w:left="520" w:right="108"/>
        <w:rPr>
          <w:rFonts w:ascii="宋体" w:hAnsi="宋体"/>
          <w:szCs w:val="21"/>
        </w:rPr>
      </w:pPr>
      <w:r>
        <w:rPr>
          <w:rFonts w:ascii="宋体" w:hAnsi="宋体"/>
          <w:szCs w:val="21"/>
        </w:rPr>
        <w:t>9.1.1 本合同的价款确定方式、调整方式和风险范围划分，在专用合同条款中约定。</w:t>
      </w:r>
    </w:p>
    <w:p w14:paraId="57280467">
      <w:pPr>
        <w:pStyle w:val="2"/>
        <w:spacing w:before="119" w:line="336" w:lineRule="auto"/>
        <w:ind w:left="100" w:right="108" w:firstLine="419"/>
        <w:rPr>
          <w:rFonts w:ascii="宋体" w:hAnsi="宋体"/>
          <w:szCs w:val="21"/>
        </w:rPr>
      </w:pPr>
      <w:r>
        <w:rPr>
          <w:rFonts w:ascii="宋体" w:hAnsi="宋体"/>
          <w:szCs w:val="21"/>
        </w:rPr>
        <w:t>9.1.2 除专用合同条款另有约定外，合同价格应当包括收集资料、踏勘现场、制订纲要、实 施监理、编制监理文件等全部费用和国家规定的增值税税金。</w:t>
      </w:r>
    </w:p>
    <w:p w14:paraId="6A468E02">
      <w:pPr>
        <w:pStyle w:val="2"/>
        <w:spacing w:before="49" w:line="336" w:lineRule="auto"/>
        <w:ind w:left="100" w:right="108" w:firstLine="419"/>
        <w:rPr>
          <w:rFonts w:ascii="宋体" w:hAnsi="宋体"/>
          <w:szCs w:val="21"/>
        </w:rPr>
      </w:pPr>
      <w:r>
        <w:rPr>
          <w:rFonts w:ascii="宋体" w:hAnsi="宋体"/>
          <w:szCs w:val="21"/>
        </w:rPr>
        <w:t>9.1.3 委托人要求监理人进行外出考察、试验检测、专项咨询或专家评审时，相应费用不含 在合同价格之中，由委托人另行支付。</w:t>
      </w:r>
    </w:p>
    <w:p w14:paraId="439AD9DD">
      <w:pPr>
        <w:pStyle w:val="2"/>
        <w:spacing w:before="10"/>
        <w:rPr>
          <w:rFonts w:ascii="宋体" w:hAnsi="宋体"/>
          <w:szCs w:val="21"/>
        </w:rPr>
      </w:pPr>
    </w:p>
    <w:p w14:paraId="673C0593">
      <w:pPr>
        <w:pStyle w:val="269"/>
        <w:ind w:right="108"/>
        <w:rPr>
          <w:sz w:val="21"/>
          <w:szCs w:val="21"/>
          <w:lang w:eastAsia="zh-CN"/>
        </w:rPr>
      </w:pPr>
      <w:bookmarkStart w:id="607" w:name="_bookmark145"/>
      <w:bookmarkEnd w:id="607"/>
      <w:r>
        <w:rPr>
          <w:sz w:val="21"/>
          <w:szCs w:val="21"/>
          <w:lang w:eastAsia="zh-CN"/>
        </w:rPr>
        <w:t>9.2  预付款</w:t>
      </w:r>
    </w:p>
    <w:p w14:paraId="77AB26B0">
      <w:pPr>
        <w:pStyle w:val="2"/>
        <w:spacing w:before="249" w:line="336" w:lineRule="auto"/>
        <w:ind w:left="100" w:right="108" w:firstLine="419"/>
        <w:rPr>
          <w:rFonts w:ascii="宋体" w:hAnsi="宋体"/>
          <w:szCs w:val="21"/>
        </w:rPr>
      </w:pPr>
      <w:r>
        <w:rPr>
          <w:rFonts w:ascii="宋体" w:hAnsi="宋体"/>
          <w:szCs w:val="21"/>
        </w:rPr>
        <w:t>9.2.1 预付款应专用于本工程的监理。预付款的额度、支付方式及抵扣方式在专用合同条款 中约定。</w:t>
      </w:r>
    </w:p>
    <w:p w14:paraId="709D8714">
      <w:pPr>
        <w:pStyle w:val="2"/>
        <w:spacing w:before="6" w:line="336" w:lineRule="auto"/>
        <w:ind w:left="100" w:right="111" w:firstLine="419"/>
        <w:rPr>
          <w:rFonts w:ascii="宋体" w:hAnsi="宋体"/>
          <w:szCs w:val="21"/>
        </w:rPr>
      </w:pPr>
      <w:r>
        <w:rPr>
          <w:rFonts w:ascii="宋体" w:hAnsi="宋体"/>
          <w:szCs w:val="21"/>
        </w:rPr>
        <w:t>9.2.2 委托人应在收到预付款支付申请后 28 天内，将预付款支付给监理人；监理人应当提 供等额的增值税发票。</w:t>
      </w:r>
    </w:p>
    <w:p w14:paraId="6FDC94A9">
      <w:pPr>
        <w:pStyle w:val="2"/>
        <w:spacing w:before="8"/>
        <w:rPr>
          <w:rFonts w:ascii="宋体" w:hAnsi="宋体"/>
          <w:szCs w:val="21"/>
        </w:rPr>
      </w:pPr>
    </w:p>
    <w:p w14:paraId="1F46A6BA">
      <w:pPr>
        <w:pStyle w:val="269"/>
        <w:rPr>
          <w:sz w:val="21"/>
          <w:szCs w:val="21"/>
          <w:lang w:eastAsia="zh-CN"/>
        </w:rPr>
      </w:pPr>
      <w:bookmarkStart w:id="608" w:name="_bookmark146"/>
      <w:bookmarkEnd w:id="608"/>
      <w:r>
        <w:rPr>
          <w:sz w:val="21"/>
          <w:szCs w:val="21"/>
          <w:lang w:eastAsia="zh-CN"/>
        </w:rPr>
        <w:t>9.3  中期支付</w:t>
      </w:r>
    </w:p>
    <w:p w14:paraId="28B265E3">
      <w:pPr>
        <w:pStyle w:val="2"/>
        <w:spacing w:before="248" w:line="338" w:lineRule="auto"/>
        <w:ind w:left="100" w:right="111" w:firstLine="419"/>
        <w:rPr>
          <w:rFonts w:ascii="宋体" w:hAnsi="宋体"/>
          <w:szCs w:val="21"/>
        </w:rPr>
      </w:pPr>
      <w:r>
        <w:rPr>
          <w:rFonts w:ascii="宋体" w:hAnsi="宋体"/>
          <w:szCs w:val="21"/>
        </w:rPr>
        <w:t xml:space="preserve">9.3.1 </w:t>
      </w:r>
      <w:r>
        <w:rPr>
          <w:rFonts w:ascii="宋体" w:hAnsi="宋体"/>
          <w:spacing w:val="-4"/>
          <w:szCs w:val="21"/>
        </w:rPr>
        <w:t xml:space="preserve">监理人应按委托人批准或专用合同条款约定的格式及份数，向委托人提交中期支付申 </w:t>
      </w:r>
      <w:r>
        <w:rPr>
          <w:rFonts w:ascii="宋体" w:hAnsi="宋体"/>
          <w:szCs w:val="21"/>
        </w:rPr>
        <w:t>请，并附相应的支持性证明文件。</w:t>
      </w:r>
    </w:p>
    <w:p w14:paraId="4899935D">
      <w:pPr>
        <w:pStyle w:val="2"/>
        <w:spacing w:before="47" w:line="345" w:lineRule="auto"/>
        <w:ind w:left="100" w:right="111" w:firstLine="419"/>
        <w:rPr>
          <w:rFonts w:ascii="宋体" w:hAnsi="宋体"/>
          <w:szCs w:val="21"/>
        </w:rPr>
      </w:pPr>
      <w:r>
        <w:rPr>
          <w:rFonts w:ascii="宋体" w:hAnsi="宋体"/>
          <w:szCs w:val="21"/>
        </w:rPr>
        <w:t>9.3.2 委托人应在收到中期支付申请后的 28 天内，将应付款项支付给监理人；监理人应当 提供等额的增值税发票。委托人未能在前述时间内完成审批或不予答复的，视为委托人同意中 期支付申请。委托人不按期支付的，按专用合同条款的约定支付逾期付款违约金。</w:t>
      </w:r>
    </w:p>
    <w:p w14:paraId="4D84E082">
      <w:pPr>
        <w:pStyle w:val="2"/>
        <w:spacing w:before="40" w:line="338" w:lineRule="auto"/>
        <w:ind w:left="100" w:right="111" w:firstLine="419"/>
        <w:rPr>
          <w:rFonts w:ascii="宋体" w:hAnsi="宋体"/>
          <w:szCs w:val="21"/>
        </w:rPr>
      </w:pPr>
      <w:r>
        <w:rPr>
          <w:rFonts w:ascii="宋体" w:hAnsi="宋体"/>
          <w:szCs w:val="21"/>
        </w:rPr>
        <w:t xml:space="preserve">9.3.3 </w:t>
      </w:r>
      <w:r>
        <w:rPr>
          <w:rFonts w:ascii="宋体" w:hAnsi="宋体"/>
          <w:spacing w:val="-4"/>
          <w:szCs w:val="21"/>
        </w:rPr>
        <w:t xml:space="preserve">中期支付涉及政府投资资金的，按照国库集中支付等国家相关规定和专用合同条款的 </w:t>
      </w:r>
      <w:r>
        <w:rPr>
          <w:rFonts w:ascii="宋体" w:hAnsi="宋体"/>
          <w:szCs w:val="21"/>
        </w:rPr>
        <w:t>约定执行。</w:t>
      </w:r>
    </w:p>
    <w:p w14:paraId="496F6277">
      <w:pPr>
        <w:pStyle w:val="2"/>
        <w:spacing w:before="6"/>
        <w:rPr>
          <w:rFonts w:ascii="宋体" w:hAnsi="宋体"/>
          <w:szCs w:val="21"/>
        </w:rPr>
      </w:pPr>
    </w:p>
    <w:p w14:paraId="17EDFD53">
      <w:pPr>
        <w:pStyle w:val="269"/>
        <w:rPr>
          <w:sz w:val="21"/>
          <w:szCs w:val="21"/>
          <w:lang w:eastAsia="zh-CN"/>
        </w:rPr>
      </w:pPr>
      <w:bookmarkStart w:id="609" w:name="_bookmark147"/>
      <w:bookmarkEnd w:id="609"/>
      <w:r>
        <w:rPr>
          <w:sz w:val="21"/>
          <w:szCs w:val="21"/>
          <w:lang w:eastAsia="zh-CN"/>
        </w:rPr>
        <w:t>9.4  费用结算</w:t>
      </w:r>
    </w:p>
    <w:p w14:paraId="698C31CF">
      <w:pPr>
        <w:pStyle w:val="2"/>
        <w:spacing w:before="248" w:line="336" w:lineRule="auto"/>
        <w:ind w:left="100" w:right="111" w:firstLine="419"/>
        <w:rPr>
          <w:rFonts w:ascii="宋体" w:hAnsi="宋体"/>
          <w:szCs w:val="21"/>
        </w:rPr>
      </w:pPr>
      <w:r>
        <w:rPr>
          <w:rFonts w:ascii="宋体" w:hAnsi="宋体"/>
          <w:szCs w:val="21"/>
        </w:rPr>
        <w:t xml:space="preserve">9.4.1 </w:t>
      </w:r>
      <w:r>
        <w:rPr>
          <w:rFonts w:ascii="宋体" w:hAnsi="宋体"/>
          <w:spacing w:val="-4"/>
          <w:szCs w:val="21"/>
        </w:rPr>
        <w:t xml:space="preserve">合同工作完成后，监理人可按专用合同条款约定的份数和期限，向委托人提交监理费 </w:t>
      </w:r>
      <w:r>
        <w:rPr>
          <w:rFonts w:ascii="宋体" w:hAnsi="宋体"/>
          <w:szCs w:val="21"/>
        </w:rPr>
        <w:t>用结算申请，并提供相关证明材料。</w:t>
      </w:r>
    </w:p>
    <w:p w14:paraId="20027219">
      <w:pPr>
        <w:pStyle w:val="2"/>
        <w:spacing w:before="49" w:line="348" w:lineRule="auto"/>
        <w:ind w:left="100" w:right="111" w:firstLine="419"/>
        <w:rPr>
          <w:rFonts w:ascii="宋体" w:hAnsi="宋体"/>
          <w:szCs w:val="21"/>
        </w:rPr>
      </w:pPr>
      <w:r>
        <w:rPr>
          <w:rFonts w:ascii="宋体" w:hAnsi="宋体"/>
          <w:szCs w:val="21"/>
        </w:rPr>
        <w:t>9.4.2 委托人应在收到费用结算申请后的 28 天内，将应付款项支付给监理人；监理人应当 提供等额的增值税发票。委托人未能在前述时间内完成审批或不予答复的，视为委托人同意费 用结算申请。委托人不按期支付的，按专用合同条款的约定支付逾期付款违约金。</w:t>
      </w:r>
    </w:p>
    <w:p w14:paraId="63141855">
      <w:pPr>
        <w:pStyle w:val="2"/>
        <w:spacing w:before="38"/>
        <w:ind w:left="520" w:right="26"/>
        <w:rPr>
          <w:rFonts w:ascii="宋体" w:hAnsi="宋体"/>
          <w:szCs w:val="21"/>
        </w:rPr>
      </w:pPr>
      <w:r>
        <w:rPr>
          <w:rFonts w:ascii="宋体" w:hAnsi="宋体"/>
          <w:szCs w:val="21"/>
        </w:rPr>
        <w:t xml:space="preserve">9.4.3   </w:t>
      </w:r>
      <w:r>
        <w:rPr>
          <w:rFonts w:ascii="宋体" w:hAnsi="宋体"/>
          <w:spacing w:val="-4"/>
          <w:szCs w:val="21"/>
        </w:rPr>
        <w:t>委托人对费用结算申请内容有异议的，有权要求监理人进行修正和提供补充资料，由</w:t>
      </w:r>
    </w:p>
    <w:p w14:paraId="7E949CA1">
      <w:pPr>
        <w:pStyle w:val="2"/>
        <w:spacing w:before="117"/>
        <w:ind w:left="100" w:right="113"/>
        <w:rPr>
          <w:rFonts w:ascii="宋体" w:hAnsi="宋体"/>
          <w:szCs w:val="21"/>
        </w:rPr>
      </w:pPr>
      <w:r>
        <w:rPr>
          <w:rFonts w:ascii="宋体" w:hAnsi="宋体"/>
          <w:szCs w:val="21"/>
        </w:rPr>
        <w:t>监理人重新提交。监理人对此有异议的，按第</w:t>
      </w:r>
      <w:r>
        <w:rPr>
          <w:rFonts w:ascii="宋体" w:hAnsi="宋体"/>
          <w:spacing w:val="-59"/>
          <w:szCs w:val="21"/>
        </w:rPr>
        <w:t xml:space="preserve"> </w:t>
      </w:r>
      <w:r>
        <w:rPr>
          <w:rFonts w:ascii="宋体" w:hAnsi="宋体"/>
          <w:szCs w:val="21"/>
        </w:rPr>
        <w:t>12 条的约定执行。</w:t>
      </w:r>
    </w:p>
    <w:p w14:paraId="6CECBD3D">
      <w:pPr>
        <w:pStyle w:val="2"/>
        <w:spacing w:before="117"/>
        <w:ind w:left="520" w:right="113"/>
        <w:rPr>
          <w:rFonts w:ascii="宋体" w:hAnsi="宋体"/>
          <w:szCs w:val="21"/>
        </w:rPr>
      </w:pPr>
      <w:r>
        <w:rPr>
          <w:rFonts w:ascii="宋体" w:hAnsi="宋体"/>
          <w:szCs w:val="21"/>
        </w:rPr>
        <w:t>9.4.4 最终结清付款涉及政府投资资金的，按第 9.3.3 项的约定执行。</w:t>
      </w:r>
    </w:p>
    <w:p w14:paraId="766D15EC">
      <w:pPr>
        <w:pStyle w:val="2"/>
        <w:spacing w:before="10"/>
        <w:rPr>
          <w:rFonts w:ascii="宋体" w:hAnsi="宋体"/>
          <w:szCs w:val="21"/>
        </w:rPr>
      </w:pPr>
    </w:p>
    <w:p w14:paraId="62D2E64F">
      <w:pPr>
        <w:jc w:val="left"/>
        <w:rPr>
          <w:rFonts w:ascii="宋体" w:hAnsi="宋体"/>
          <w:b/>
        </w:rPr>
      </w:pPr>
      <w:bookmarkStart w:id="610" w:name="_bookmark148"/>
      <w:bookmarkEnd w:id="610"/>
      <w:bookmarkStart w:id="611" w:name="_Toc84236927"/>
      <w:r>
        <w:rPr>
          <w:rFonts w:ascii="宋体" w:hAnsi="宋体"/>
          <w:b/>
        </w:rPr>
        <w:t>10.  不可抗力</w:t>
      </w:r>
      <w:bookmarkEnd w:id="611"/>
    </w:p>
    <w:p w14:paraId="772D41DE">
      <w:pPr>
        <w:pStyle w:val="2"/>
        <w:rPr>
          <w:rFonts w:ascii="宋体" w:hAnsi="宋体"/>
          <w:b/>
          <w:szCs w:val="21"/>
        </w:rPr>
      </w:pPr>
    </w:p>
    <w:p w14:paraId="309A08ED">
      <w:pPr>
        <w:pStyle w:val="269"/>
        <w:rPr>
          <w:sz w:val="21"/>
          <w:szCs w:val="21"/>
          <w:lang w:eastAsia="zh-CN"/>
        </w:rPr>
      </w:pPr>
      <w:bookmarkStart w:id="612" w:name="_bookmark149"/>
      <w:bookmarkEnd w:id="612"/>
      <w:r>
        <w:rPr>
          <w:sz w:val="21"/>
          <w:szCs w:val="21"/>
          <w:lang w:eastAsia="zh-CN"/>
        </w:rPr>
        <w:t>10.1</w:t>
      </w:r>
      <w:r>
        <w:rPr>
          <w:spacing w:val="68"/>
          <w:sz w:val="21"/>
          <w:szCs w:val="21"/>
          <w:lang w:eastAsia="zh-CN"/>
        </w:rPr>
        <w:t xml:space="preserve"> </w:t>
      </w:r>
      <w:r>
        <w:rPr>
          <w:sz w:val="21"/>
          <w:szCs w:val="21"/>
          <w:lang w:eastAsia="zh-CN"/>
        </w:rPr>
        <w:t>不可抗力的确认</w:t>
      </w:r>
    </w:p>
    <w:p w14:paraId="6618C30D">
      <w:pPr>
        <w:pStyle w:val="2"/>
        <w:spacing w:before="248" w:line="345" w:lineRule="auto"/>
        <w:ind w:left="100" w:right="114" w:firstLine="419"/>
        <w:rPr>
          <w:rFonts w:ascii="宋体" w:hAnsi="宋体"/>
          <w:szCs w:val="21"/>
        </w:rPr>
      </w:pPr>
      <w:r>
        <w:rPr>
          <w:rFonts w:ascii="宋体" w:hAnsi="宋体"/>
          <w:szCs w:val="21"/>
        </w:rPr>
        <w:t>10.1.1 不可抗力是指监理人和委托人在订立合同时不可预见，在履行合同过程中不可避免 发生并不能克服的自然灾害和社会性突发事件，如地震、海啸、瘟疫、水灾、骚乱、暴动、战 争和专用合同条款约定的其他情形。</w:t>
      </w:r>
    </w:p>
    <w:p w14:paraId="78447792">
      <w:pPr>
        <w:pStyle w:val="2"/>
        <w:spacing w:before="40" w:line="338" w:lineRule="auto"/>
        <w:ind w:left="100" w:right="113" w:firstLine="419"/>
        <w:rPr>
          <w:rFonts w:ascii="宋体" w:hAnsi="宋体"/>
          <w:szCs w:val="21"/>
        </w:rPr>
      </w:pPr>
      <w:r>
        <w:rPr>
          <w:rFonts w:ascii="宋体" w:hAnsi="宋体"/>
          <w:szCs w:val="21"/>
        </w:rPr>
        <w:t>10.1.2 不可抗力发生后，委托人和监理人应及时认真统计所造成的损失，收集不可抗力造 成损</w:t>
      </w:r>
      <w:r>
        <w:rPr>
          <w:rFonts w:ascii="宋体" w:hAnsi="宋体"/>
          <w:spacing w:val="-3"/>
          <w:szCs w:val="21"/>
        </w:rPr>
        <w:t>失</w:t>
      </w:r>
      <w:r>
        <w:rPr>
          <w:rFonts w:ascii="宋体" w:hAnsi="宋体"/>
          <w:szCs w:val="21"/>
        </w:rPr>
        <w:t>的</w:t>
      </w:r>
      <w:r>
        <w:rPr>
          <w:rFonts w:ascii="宋体" w:hAnsi="宋体"/>
          <w:spacing w:val="-3"/>
          <w:szCs w:val="21"/>
        </w:rPr>
        <w:t>证</w:t>
      </w:r>
      <w:r>
        <w:rPr>
          <w:rFonts w:ascii="宋体" w:hAnsi="宋体"/>
          <w:szCs w:val="21"/>
        </w:rPr>
        <w:t>据</w:t>
      </w:r>
      <w:r>
        <w:rPr>
          <w:rFonts w:ascii="宋体" w:hAnsi="宋体"/>
          <w:spacing w:val="-92"/>
          <w:szCs w:val="21"/>
        </w:rPr>
        <w:t>。</w:t>
      </w:r>
      <w:r>
        <w:rPr>
          <w:rFonts w:ascii="宋体" w:hAnsi="宋体"/>
          <w:spacing w:val="-3"/>
          <w:szCs w:val="21"/>
        </w:rPr>
        <w:t>合</w:t>
      </w:r>
      <w:r>
        <w:rPr>
          <w:rFonts w:ascii="宋体" w:hAnsi="宋体"/>
          <w:szCs w:val="21"/>
        </w:rPr>
        <w:t>同</w:t>
      </w:r>
      <w:r>
        <w:rPr>
          <w:rFonts w:ascii="宋体" w:hAnsi="宋体"/>
          <w:spacing w:val="-3"/>
          <w:szCs w:val="21"/>
        </w:rPr>
        <w:t>双</w:t>
      </w:r>
      <w:r>
        <w:rPr>
          <w:rFonts w:ascii="宋体" w:hAnsi="宋体"/>
          <w:szCs w:val="21"/>
        </w:rPr>
        <w:t>方</w:t>
      </w:r>
      <w:r>
        <w:rPr>
          <w:rFonts w:ascii="宋体" w:hAnsi="宋体"/>
          <w:spacing w:val="-3"/>
          <w:szCs w:val="21"/>
        </w:rPr>
        <w:t>对</w:t>
      </w:r>
      <w:r>
        <w:rPr>
          <w:rFonts w:ascii="宋体" w:hAnsi="宋体"/>
          <w:szCs w:val="21"/>
        </w:rPr>
        <w:t>是否</w:t>
      </w:r>
      <w:r>
        <w:rPr>
          <w:rFonts w:ascii="宋体" w:hAnsi="宋体"/>
          <w:spacing w:val="-3"/>
          <w:szCs w:val="21"/>
        </w:rPr>
        <w:t>属</w:t>
      </w:r>
      <w:r>
        <w:rPr>
          <w:rFonts w:ascii="宋体" w:hAnsi="宋体"/>
          <w:szCs w:val="21"/>
        </w:rPr>
        <w:t>于</w:t>
      </w:r>
      <w:r>
        <w:rPr>
          <w:rFonts w:ascii="宋体" w:hAnsi="宋体"/>
          <w:spacing w:val="-3"/>
          <w:szCs w:val="21"/>
        </w:rPr>
        <w:t>不</w:t>
      </w:r>
      <w:r>
        <w:rPr>
          <w:rFonts w:ascii="宋体" w:hAnsi="宋体"/>
          <w:szCs w:val="21"/>
        </w:rPr>
        <w:t>可</w:t>
      </w:r>
      <w:r>
        <w:rPr>
          <w:rFonts w:ascii="宋体" w:hAnsi="宋体"/>
          <w:spacing w:val="-3"/>
          <w:szCs w:val="21"/>
        </w:rPr>
        <w:t>抗</w:t>
      </w:r>
      <w:r>
        <w:rPr>
          <w:rFonts w:ascii="宋体" w:hAnsi="宋体"/>
          <w:szCs w:val="21"/>
        </w:rPr>
        <w:t>力</w:t>
      </w:r>
      <w:r>
        <w:rPr>
          <w:rFonts w:ascii="宋体" w:hAnsi="宋体"/>
          <w:spacing w:val="-3"/>
          <w:szCs w:val="21"/>
        </w:rPr>
        <w:t>或</w:t>
      </w:r>
      <w:r>
        <w:rPr>
          <w:rFonts w:ascii="宋体" w:hAnsi="宋体"/>
          <w:szCs w:val="21"/>
        </w:rPr>
        <w:t>其</w:t>
      </w:r>
      <w:r>
        <w:rPr>
          <w:rFonts w:ascii="宋体" w:hAnsi="宋体"/>
          <w:spacing w:val="-3"/>
          <w:szCs w:val="21"/>
        </w:rPr>
        <w:t>损</w:t>
      </w:r>
      <w:r>
        <w:rPr>
          <w:rFonts w:ascii="宋体" w:hAnsi="宋体"/>
          <w:szCs w:val="21"/>
        </w:rPr>
        <w:t>失的</w:t>
      </w:r>
      <w:r>
        <w:rPr>
          <w:rFonts w:ascii="宋体" w:hAnsi="宋体"/>
          <w:spacing w:val="-3"/>
          <w:szCs w:val="21"/>
        </w:rPr>
        <w:t>意</w:t>
      </w:r>
      <w:r>
        <w:rPr>
          <w:rFonts w:ascii="宋体" w:hAnsi="宋体"/>
          <w:szCs w:val="21"/>
        </w:rPr>
        <w:t>见</w:t>
      </w:r>
      <w:r>
        <w:rPr>
          <w:rFonts w:ascii="宋体" w:hAnsi="宋体"/>
          <w:spacing w:val="-3"/>
          <w:szCs w:val="21"/>
        </w:rPr>
        <w:t>不</w:t>
      </w:r>
      <w:r>
        <w:rPr>
          <w:rFonts w:ascii="宋体" w:hAnsi="宋体"/>
          <w:szCs w:val="21"/>
        </w:rPr>
        <w:t>一</w:t>
      </w:r>
      <w:r>
        <w:rPr>
          <w:rFonts w:ascii="宋体" w:hAnsi="宋体"/>
          <w:spacing w:val="-3"/>
          <w:szCs w:val="21"/>
        </w:rPr>
        <w:t>致</w:t>
      </w:r>
      <w:r>
        <w:rPr>
          <w:rFonts w:ascii="宋体" w:hAnsi="宋体"/>
          <w:szCs w:val="21"/>
        </w:rPr>
        <w:t>的</w:t>
      </w:r>
      <w:r>
        <w:rPr>
          <w:rFonts w:ascii="宋体" w:hAnsi="宋体"/>
          <w:spacing w:val="-92"/>
          <w:szCs w:val="21"/>
        </w:rPr>
        <w:t>，</w:t>
      </w:r>
      <w:r>
        <w:rPr>
          <w:rFonts w:ascii="宋体" w:hAnsi="宋体"/>
          <w:spacing w:val="-3"/>
          <w:szCs w:val="21"/>
        </w:rPr>
        <w:t>由</w:t>
      </w:r>
      <w:r>
        <w:rPr>
          <w:rFonts w:ascii="宋体" w:hAnsi="宋体"/>
          <w:szCs w:val="21"/>
        </w:rPr>
        <w:t>合</w:t>
      </w:r>
      <w:r>
        <w:rPr>
          <w:rFonts w:ascii="宋体" w:hAnsi="宋体"/>
          <w:spacing w:val="-3"/>
          <w:szCs w:val="21"/>
        </w:rPr>
        <w:t>同</w:t>
      </w:r>
      <w:r>
        <w:rPr>
          <w:rFonts w:ascii="宋体" w:hAnsi="宋体"/>
          <w:szCs w:val="21"/>
        </w:rPr>
        <w:t>双方</w:t>
      </w:r>
      <w:r>
        <w:rPr>
          <w:rFonts w:ascii="宋体" w:hAnsi="宋体"/>
          <w:spacing w:val="-3"/>
          <w:szCs w:val="21"/>
        </w:rPr>
        <w:t>协商确定</w:t>
      </w:r>
      <w:r>
        <w:rPr>
          <w:rFonts w:ascii="宋体" w:hAnsi="宋体"/>
          <w:szCs w:val="21"/>
        </w:rPr>
        <w:t>。</w:t>
      </w:r>
      <w:bookmarkStart w:id="613" w:name="_bookmark150"/>
      <w:bookmarkEnd w:id="613"/>
    </w:p>
    <w:p w14:paraId="6274EA54">
      <w:pPr>
        <w:pStyle w:val="2"/>
        <w:spacing w:before="40" w:line="338" w:lineRule="auto"/>
        <w:ind w:left="100" w:right="113" w:firstLine="419"/>
        <w:rPr>
          <w:rFonts w:ascii="宋体" w:hAnsi="宋体"/>
          <w:szCs w:val="21"/>
        </w:rPr>
      </w:pPr>
      <w:r>
        <w:rPr>
          <w:rFonts w:ascii="宋体" w:hAnsi="宋体"/>
          <w:szCs w:val="21"/>
        </w:rPr>
        <w:t>10.2</w:t>
      </w:r>
      <w:r>
        <w:rPr>
          <w:rFonts w:ascii="宋体" w:hAnsi="宋体"/>
          <w:spacing w:val="68"/>
          <w:szCs w:val="21"/>
        </w:rPr>
        <w:t xml:space="preserve"> </w:t>
      </w:r>
      <w:r>
        <w:rPr>
          <w:rFonts w:ascii="宋体" w:hAnsi="宋体"/>
          <w:szCs w:val="21"/>
        </w:rPr>
        <w:t>不可抗力的通知</w:t>
      </w:r>
    </w:p>
    <w:p w14:paraId="2632D921">
      <w:pPr>
        <w:pStyle w:val="2"/>
        <w:spacing w:before="248" w:line="336" w:lineRule="auto"/>
        <w:ind w:left="100" w:right="113" w:firstLine="419"/>
        <w:rPr>
          <w:rFonts w:ascii="宋体" w:hAnsi="宋体"/>
          <w:szCs w:val="21"/>
        </w:rPr>
      </w:pPr>
      <w:r>
        <w:rPr>
          <w:rFonts w:ascii="宋体" w:hAnsi="宋体"/>
          <w:szCs w:val="21"/>
        </w:rPr>
        <w:t>10.2.1 合同一方当事人遇到不可抗力事件，使其履行合同义务受到阻碍时，应立即通知合 同另一方当事人，书面说明不可抗力和受阻碍的详细情况，并提供必要的证明。</w:t>
      </w:r>
    </w:p>
    <w:p w14:paraId="224B4EC3">
      <w:pPr>
        <w:pStyle w:val="2"/>
        <w:spacing w:before="49"/>
        <w:ind w:left="520" w:right="108"/>
        <w:rPr>
          <w:rFonts w:ascii="宋体" w:hAnsi="宋体"/>
          <w:szCs w:val="21"/>
        </w:rPr>
      </w:pPr>
      <w:r>
        <w:rPr>
          <w:rFonts w:ascii="宋体" w:hAnsi="宋体"/>
          <w:szCs w:val="21"/>
        </w:rPr>
        <w:t>10.2.2  如不可抗力持续发生，合同一方当事人应及时向合同另一方当事人提交中间报告，</w:t>
      </w:r>
    </w:p>
    <w:p w14:paraId="040DEC87">
      <w:pPr>
        <w:pStyle w:val="2"/>
        <w:spacing w:before="117" w:line="336" w:lineRule="auto"/>
        <w:ind w:left="100" w:right="108"/>
        <w:rPr>
          <w:rFonts w:ascii="宋体" w:hAnsi="宋体"/>
          <w:szCs w:val="21"/>
        </w:rPr>
      </w:pPr>
      <w:r>
        <w:rPr>
          <w:rFonts w:ascii="宋体" w:hAnsi="宋体"/>
          <w:spacing w:val="-5"/>
          <w:szCs w:val="21"/>
        </w:rPr>
        <w:t xml:space="preserve">说明不可抗力和履行合同受阻的情况，并于不可抗力事件结束后 </w:t>
      </w:r>
      <w:r>
        <w:rPr>
          <w:rFonts w:ascii="宋体" w:hAnsi="宋体"/>
          <w:szCs w:val="21"/>
        </w:rPr>
        <w:t>28 天内提交最终报告及有关资 料。</w:t>
      </w:r>
    </w:p>
    <w:p w14:paraId="51A2E310">
      <w:pPr>
        <w:pStyle w:val="2"/>
        <w:spacing w:before="11"/>
        <w:rPr>
          <w:rFonts w:ascii="宋体" w:hAnsi="宋体"/>
          <w:szCs w:val="21"/>
        </w:rPr>
      </w:pPr>
    </w:p>
    <w:p w14:paraId="333C88B9">
      <w:pPr>
        <w:pStyle w:val="269"/>
        <w:rPr>
          <w:sz w:val="21"/>
          <w:szCs w:val="21"/>
          <w:lang w:eastAsia="zh-CN"/>
        </w:rPr>
      </w:pPr>
      <w:bookmarkStart w:id="614" w:name="_bookmark151"/>
      <w:bookmarkEnd w:id="614"/>
      <w:r>
        <w:rPr>
          <w:sz w:val="21"/>
          <w:szCs w:val="21"/>
          <w:lang w:eastAsia="zh-CN"/>
        </w:rPr>
        <w:t>10.3  不可抗力后果及其处理</w:t>
      </w:r>
    </w:p>
    <w:p w14:paraId="3FCFBC37">
      <w:pPr>
        <w:pStyle w:val="2"/>
        <w:spacing w:before="248" w:line="336" w:lineRule="auto"/>
        <w:ind w:left="100" w:right="113" w:firstLine="419"/>
        <w:rPr>
          <w:rFonts w:ascii="宋体" w:hAnsi="宋体"/>
          <w:szCs w:val="21"/>
        </w:rPr>
      </w:pPr>
      <w:r>
        <w:rPr>
          <w:rFonts w:ascii="宋体" w:hAnsi="宋体"/>
          <w:szCs w:val="21"/>
        </w:rPr>
        <w:t>10.3.1 不可抗力引起的后果及其损失，应由合同当事人依据法律规定各自承担。不可抗力 发生前已完成的监理工作，应当按照合同约定进行支付。</w:t>
      </w:r>
    </w:p>
    <w:p w14:paraId="3DA7EB53">
      <w:pPr>
        <w:pStyle w:val="2"/>
        <w:spacing w:before="49" w:line="336" w:lineRule="auto"/>
        <w:ind w:left="100" w:right="113" w:firstLine="419"/>
        <w:rPr>
          <w:rFonts w:ascii="宋体" w:hAnsi="宋体"/>
          <w:szCs w:val="21"/>
        </w:rPr>
      </w:pPr>
      <w:r>
        <w:rPr>
          <w:rFonts w:ascii="宋体" w:hAnsi="宋体"/>
          <w:szCs w:val="21"/>
        </w:rPr>
        <w:t>10.3.2 不可抗力发生后，合同当事人应当采取有效措施避免损失进一步扩大，如未采取有 效措施致使损失扩大的，应当自行承担扩大部分的损失。</w:t>
      </w:r>
    </w:p>
    <w:p w14:paraId="00B9D15E">
      <w:pPr>
        <w:pStyle w:val="2"/>
        <w:spacing w:before="51" w:line="336" w:lineRule="auto"/>
        <w:ind w:left="100" w:right="113" w:firstLine="419"/>
        <w:rPr>
          <w:rFonts w:ascii="宋体" w:hAnsi="宋体"/>
          <w:szCs w:val="21"/>
        </w:rPr>
      </w:pPr>
      <w:r>
        <w:rPr>
          <w:rFonts w:ascii="宋体" w:hAnsi="宋体"/>
          <w:szCs w:val="21"/>
        </w:rPr>
        <w:t>10.3.3 因一方当事人迟延履行合同义务，致使迟延履行期间遭遇不可抗力的，应由该当事 人承担全部损失。</w:t>
      </w:r>
    </w:p>
    <w:p w14:paraId="37B7EE57">
      <w:pPr>
        <w:pStyle w:val="2"/>
        <w:spacing w:before="5"/>
        <w:rPr>
          <w:rFonts w:ascii="宋体" w:hAnsi="宋体"/>
          <w:szCs w:val="21"/>
        </w:rPr>
      </w:pPr>
    </w:p>
    <w:p w14:paraId="4F85A5EF">
      <w:pPr>
        <w:jc w:val="left"/>
        <w:rPr>
          <w:rFonts w:ascii="宋体" w:hAnsi="宋体"/>
          <w:b/>
        </w:rPr>
      </w:pPr>
      <w:bookmarkStart w:id="615" w:name="_bookmark152"/>
      <w:bookmarkEnd w:id="615"/>
      <w:bookmarkStart w:id="616" w:name="_Toc84236928"/>
      <w:r>
        <w:rPr>
          <w:rFonts w:ascii="宋体" w:hAnsi="宋体"/>
          <w:b/>
        </w:rPr>
        <w:t>11.  违约</w:t>
      </w:r>
      <w:bookmarkEnd w:id="616"/>
    </w:p>
    <w:p w14:paraId="6562C17D">
      <w:pPr>
        <w:pStyle w:val="2"/>
        <w:rPr>
          <w:rFonts w:ascii="宋体" w:hAnsi="宋体"/>
          <w:b/>
          <w:szCs w:val="21"/>
        </w:rPr>
      </w:pPr>
    </w:p>
    <w:p w14:paraId="0156C1D4">
      <w:pPr>
        <w:pStyle w:val="269"/>
        <w:rPr>
          <w:sz w:val="21"/>
          <w:szCs w:val="21"/>
          <w:lang w:eastAsia="zh-CN"/>
        </w:rPr>
      </w:pPr>
      <w:bookmarkStart w:id="617" w:name="_bookmark153"/>
      <w:bookmarkEnd w:id="617"/>
      <w:r>
        <w:rPr>
          <w:sz w:val="21"/>
          <w:szCs w:val="21"/>
          <w:lang w:eastAsia="zh-CN"/>
        </w:rPr>
        <w:t>11.1  监理人违约</w:t>
      </w:r>
    </w:p>
    <w:p w14:paraId="390A5879">
      <w:pPr>
        <w:pStyle w:val="2"/>
        <w:spacing w:before="248"/>
        <w:ind w:left="520" w:right="113"/>
        <w:rPr>
          <w:rFonts w:ascii="宋体" w:hAnsi="宋体"/>
          <w:szCs w:val="21"/>
        </w:rPr>
      </w:pPr>
      <w:r>
        <w:rPr>
          <w:rFonts w:ascii="宋体" w:hAnsi="宋体"/>
          <w:szCs w:val="21"/>
        </w:rPr>
        <w:t>11.1.1 合同履行中发生下列情况之一的，属监理人违约：</w:t>
      </w:r>
    </w:p>
    <w:p w14:paraId="039D08D6">
      <w:pPr>
        <w:pStyle w:val="2"/>
        <w:spacing w:before="117"/>
        <w:ind w:left="520" w:right="113"/>
        <w:rPr>
          <w:rFonts w:ascii="宋体" w:hAnsi="宋体"/>
          <w:szCs w:val="21"/>
        </w:rPr>
      </w:pPr>
      <w:r>
        <w:rPr>
          <w:rFonts w:ascii="宋体" w:hAnsi="宋体"/>
          <w:szCs w:val="21"/>
        </w:rPr>
        <w:t>（1）监理文件不符合规范标准以及合同约定；</w:t>
      </w:r>
    </w:p>
    <w:p w14:paraId="18C6DE4D">
      <w:pPr>
        <w:pStyle w:val="2"/>
        <w:spacing w:before="119"/>
        <w:ind w:left="520" w:right="113"/>
        <w:rPr>
          <w:rFonts w:ascii="宋体" w:hAnsi="宋体"/>
          <w:szCs w:val="21"/>
        </w:rPr>
      </w:pPr>
      <w:r>
        <w:rPr>
          <w:rFonts w:ascii="宋体" w:hAnsi="宋体"/>
          <w:szCs w:val="21"/>
        </w:rPr>
        <w:t>（2）监理人转让监理工作；</w:t>
      </w:r>
    </w:p>
    <w:p w14:paraId="2094B4E0">
      <w:pPr>
        <w:pStyle w:val="2"/>
        <w:spacing w:before="118"/>
        <w:ind w:left="520" w:right="113"/>
        <w:rPr>
          <w:rFonts w:ascii="宋体" w:hAnsi="宋体"/>
          <w:szCs w:val="21"/>
        </w:rPr>
      </w:pPr>
      <w:r>
        <w:rPr>
          <w:rFonts w:ascii="宋体" w:hAnsi="宋体"/>
          <w:szCs w:val="21"/>
        </w:rPr>
        <w:t>（3）监理人未按合同约定实施监理并造成工程损失；</w:t>
      </w:r>
    </w:p>
    <w:p w14:paraId="5E2A9D59">
      <w:pPr>
        <w:pStyle w:val="2"/>
        <w:spacing w:before="117"/>
        <w:ind w:left="520" w:right="113"/>
        <w:rPr>
          <w:rFonts w:ascii="宋体" w:hAnsi="宋体"/>
          <w:szCs w:val="21"/>
        </w:rPr>
      </w:pPr>
      <w:r>
        <w:rPr>
          <w:rFonts w:ascii="宋体" w:hAnsi="宋体"/>
          <w:szCs w:val="21"/>
        </w:rPr>
        <w:t>（4）监理人无法履行或停止履行合同；</w:t>
      </w:r>
    </w:p>
    <w:p w14:paraId="6993C1B0">
      <w:pPr>
        <w:pStyle w:val="2"/>
        <w:spacing w:before="117"/>
        <w:ind w:left="520" w:right="113"/>
        <w:rPr>
          <w:rFonts w:ascii="宋体" w:hAnsi="宋体"/>
          <w:szCs w:val="21"/>
        </w:rPr>
      </w:pPr>
      <w:r>
        <w:rPr>
          <w:rFonts w:ascii="宋体" w:hAnsi="宋体"/>
          <w:szCs w:val="21"/>
        </w:rPr>
        <w:t>（5）监理人不履行合同约定的其他义务。</w:t>
      </w:r>
    </w:p>
    <w:p w14:paraId="40DF7D05">
      <w:pPr>
        <w:pStyle w:val="2"/>
        <w:spacing w:before="117" w:line="348" w:lineRule="auto"/>
        <w:ind w:left="100" w:right="114" w:firstLine="419"/>
        <w:rPr>
          <w:rFonts w:ascii="宋体" w:hAnsi="宋体"/>
          <w:szCs w:val="21"/>
        </w:rPr>
      </w:pPr>
      <w:r>
        <w:rPr>
          <w:rFonts w:ascii="宋体" w:hAnsi="宋体"/>
          <w:szCs w:val="21"/>
        </w:rPr>
        <w:t>11.1.2 监理人发生违约情况时，委托人可向监理人发出整改通知，要求其在限定期限内纠 正；逾期仍不纠正的，委托人有权解除合同并向监理人发出解除合同通知。监理人应当承担由 于违约所造成的费用增加、周期延误和委托人损失等。</w:t>
      </w:r>
    </w:p>
    <w:p w14:paraId="4CF592B9">
      <w:pPr>
        <w:pStyle w:val="2"/>
        <w:spacing w:before="10"/>
        <w:rPr>
          <w:rFonts w:ascii="宋体" w:hAnsi="宋体"/>
          <w:szCs w:val="21"/>
        </w:rPr>
      </w:pPr>
    </w:p>
    <w:p w14:paraId="423EDE56">
      <w:pPr>
        <w:pStyle w:val="269"/>
        <w:spacing w:before="1"/>
        <w:rPr>
          <w:sz w:val="21"/>
          <w:szCs w:val="21"/>
          <w:lang w:eastAsia="zh-CN"/>
        </w:rPr>
      </w:pPr>
      <w:bookmarkStart w:id="618" w:name="_bookmark154"/>
      <w:bookmarkEnd w:id="618"/>
      <w:r>
        <w:rPr>
          <w:sz w:val="21"/>
          <w:szCs w:val="21"/>
          <w:lang w:eastAsia="zh-CN"/>
        </w:rPr>
        <w:t>12.2</w:t>
      </w:r>
      <w:r>
        <w:rPr>
          <w:spacing w:val="69"/>
          <w:sz w:val="21"/>
          <w:szCs w:val="21"/>
          <w:lang w:eastAsia="zh-CN"/>
        </w:rPr>
        <w:t xml:space="preserve"> </w:t>
      </w:r>
      <w:r>
        <w:rPr>
          <w:sz w:val="21"/>
          <w:szCs w:val="21"/>
          <w:lang w:eastAsia="zh-CN"/>
        </w:rPr>
        <w:t>委托人违约</w:t>
      </w:r>
    </w:p>
    <w:p w14:paraId="734825FF">
      <w:pPr>
        <w:pStyle w:val="2"/>
        <w:spacing w:before="249"/>
        <w:ind w:left="520" w:right="113"/>
        <w:rPr>
          <w:rFonts w:ascii="宋体" w:hAnsi="宋体"/>
          <w:szCs w:val="21"/>
        </w:rPr>
      </w:pPr>
      <w:r>
        <w:rPr>
          <w:rFonts w:ascii="宋体" w:hAnsi="宋体"/>
          <w:szCs w:val="21"/>
        </w:rPr>
        <w:t>12.2.1 合同履行中发生下列情况之一的，属委托人违约：</w:t>
      </w:r>
    </w:p>
    <w:p w14:paraId="1F2C62A1">
      <w:pPr>
        <w:pStyle w:val="2"/>
        <w:spacing w:before="6"/>
        <w:ind w:left="520" w:right="113"/>
        <w:rPr>
          <w:rFonts w:ascii="宋体" w:hAnsi="宋体"/>
          <w:szCs w:val="21"/>
        </w:rPr>
      </w:pPr>
      <w:r>
        <w:rPr>
          <w:rFonts w:ascii="宋体" w:hAnsi="宋体"/>
          <w:szCs w:val="21"/>
        </w:rPr>
        <w:t>（1）委托人未按合同约定支付监理报酬；</w:t>
      </w:r>
    </w:p>
    <w:p w14:paraId="31FDA929">
      <w:pPr>
        <w:pStyle w:val="2"/>
        <w:spacing w:before="117"/>
        <w:ind w:left="520" w:right="113"/>
        <w:rPr>
          <w:rFonts w:ascii="宋体" w:hAnsi="宋体"/>
          <w:szCs w:val="21"/>
        </w:rPr>
      </w:pPr>
      <w:r>
        <w:rPr>
          <w:rFonts w:ascii="宋体" w:hAnsi="宋体"/>
          <w:szCs w:val="21"/>
        </w:rPr>
        <w:t>（2）委托人原因造成监理停止；</w:t>
      </w:r>
    </w:p>
    <w:p w14:paraId="00BC8932">
      <w:pPr>
        <w:pStyle w:val="2"/>
        <w:spacing w:before="117"/>
        <w:ind w:left="520" w:right="113"/>
        <w:rPr>
          <w:rFonts w:ascii="宋体" w:hAnsi="宋体"/>
          <w:szCs w:val="21"/>
        </w:rPr>
      </w:pPr>
      <w:r>
        <w:rPr>
          <w:rFonts w:ascii="宋体" w:hAnsi="宋体"/>
          <w:szCs w:val="21"/>
        </w:rPr>
        <w:t>（3）委托人无法履行或停止履行合同；</w:t>
      </w:r>
    </w:p>
    <w:p w14:paraId="3B95ABFC">
      <w:pPr>
        <w:pStyle w:val="2"/>
        <w:spacing w:before="119"/>
        <w:ind w:left="520" w:right="113"/>
        <w:rPr>
          <w:rFonts w:ascii="宋体" w:hAnsi="宋体"/>
          <w:szCs w:val="21"/>
        </w:rPr>
      </w:pPr>
      <w:r>
        <w:rPr>
          <w:rFonts w:ascii="宋体" w:hAnsi="宋体"/>
          <w:szCs w:val="21"/>
        </w:rPr>
        <w:t>（4）委托人不履行合同约定的其他义务。</w:t>
      </w:r>
    </w:p>
    <w:p w14:paraId="3C9BE928">
      <w:pPr>
        <w:pStyle w:val="2"/>
        <w:spacing w:before="117" w:line="345" w:lineRule="auto"/>
        <w:ind w:left="100" w:right="113" w:firstLine="419"/>
        <w:rPr>
          <w:rFonts w:ascii="宋体" w:hAnsi="宋体"/>
          <w:szCs w:val="21"/>
        </w:rPr>
      </w:pPr>
      <w:r>
        <w:rPr>
          <w:rFonts w:ascii="宋体" w:hAnsi="宋体"/>
          <w:szCs w:val="21"/>
        </w:rPr>
        <w:t>11.2.2 委托人发生违约情况时，监理人可向委托人发出暂停监理通知，要求其在限定期限 内纠正；逾期仍不纠正的，监理人有权解除合同并向委托人发出解除合同通知。委托人应当承 担由于违约所造成的费用增加、周期延误和监理人损失等。</w:t>
      </w:r>
    </w:p>
    <w:p w14:paraId="2EF290A9">
      <w:pPr>
        <w:pStyle w:val="2"/>
        <w:spacing w:before="2"/>
        <w:rPr>
          <w:rFonts w:ascii="宋体" w:hAnsi="宋体"/>
          <w:szCs w:val="21"/>
        </w:rPr>
      </w:pPr>
    </w:p>
    <w:p w14:paraId="51971A64">
      <w:pPr>
        <w:pStyle w:val="269"/>
        <w:spacing w:before="1"/>
        <w:rPr>
          <w:sz w:val="21"/>
          <w:szCs w:val="21"/>
          <w:lang w:eastAsia="zh-CN"/>
        </w:rPr>
      </w:pPr>
      <w:bookmarkStart w:id="619" w:name="_bookmark155"/>
      <w:bookmarkEnd w:id="619"/>
      <w:r>
        <w:rPr>
          <w:sz w:val="21"/>
          <w:szCs w:val="21"/>
          <w:lang w:eastAsia="zh-CN"/>
        </w:rPr>
        <w:t>11.3  第三人造成的违约</w:t>
      </w:r>
    </w:p>
    <w:p w14:paraId="07A030FB">
      <w:pPr>
        <w:pStyle w:val="2"/>
        <w:spacing w:before="246" w:line="357" w:lineRule="auto"/>
        <w:ind w:left="100" w:right="113" w:firstLine="419"/>
        <w:rPr>
          <w:rFonts w:ascii="宋体" w:hAnsi="宋体"/>
          <w:szCs w:val="21"/>
        </w:rPr>
      </w:pPr>
      <w:r>
        <w:rPr>
          <w:rFonts w:ascii="宋体" w:hAnsi="宋体"/>
          <w:szCs w:val="21"/>
        </w:rPr>
        <w:t>在履行合同过程中，一方当事人因第三人的原因造成违约的，应当向对方当事人承担违约 责任。一方当事人和第三人之间的纠纷，依照法律规定或者按照约定解决。</w:t>
      </w:r>
    </w:p>
    <w:p w14:paraId="4B8CB4AA">
      <w:pPr>
        <w:jc w:val="left"/>
        <w:rPr>
          <w:rFonts w:ascii="宋体" w:hAnsi="宋体"/>
          <w:b/>
        </w:rPr>
      </w:pPr>
      <w:bookmarkStart w:id="620" w:name="_bookmark156"/>
      <w:bookmarkEnd w:id="620"/>
      <w:bookmarkStart w:id="621" w:name="_Toc84236929"/>
      <w:r>
        <w:rPr>
          <w:rFonts w:ascii="宋体" w:hAnsi="宋体"/>
          <w:b/>
        </w:rPr>
        <w:t>12.  争议的解决</w:t>
      </w:r>
      <w:bookmarkEnd w:id="621"/>
    </w:p>
    <w:p w14:paraId="07D4C0E6">
      <w:pPr>
        <w:pStyle w:val="2"/>
        <w:spacing w:before="12"/>
        <w:rPr>
          <w:rFonts w:ascii="宋体" w:hAnsi="宋体"/>
          <w:b/>
          <w:szCs w:val="21"/>
        </w:rPr>
      </w:pPr>
    </w:p>
    <w:p w14:paraId="08D1D0C0">
      <w:pPr>
        <w:pStyle w:val="2"/>
        <w:spacing w:line="357" w:lineRule="auto"/>
        <w:ind w:left="100" w:right="113" w:firstLine="419"/>
        <w:rPr>
          <w:rFonts w:ascii="宋体" w:hAnsi="宋体"/>
          <w:szCs w:val="21"/>
        </w:rPr>
      </w:pPr>
      <w:r>
        <w:rPr>
          <w:rFonts w:ascii="宋体" w:hAnsi="宋体"/>
          <w:szCs w:val="21"/>
        </w:rPr>
        <w:t>委托人和监理人在履行合同中发生争议的，可以友好协商解决。合同当事人友好协商解决 不成的，可在专用合同条款中约定下列一种方式解决：</w:t>
      </w:r>
    </w:p>
    <w:p w14:paraId="16290173">
      <w:pPr>
        <w:pStyle w:val="2"/>
        <w:spacing w:before="30"/>
        <w:ind w:left="520" w:right="113"/>
        <w:rPr>
          <w:rFonts w:ascii="宋体" w:hAnsi="宋体"/>
          <w:szCs w:val="21"/>
        </w:rPr>
      </w:pPr>
      <w:r>
        <w:rPr>
          <w:rFonts w:ascii="宋体" w:hAnsi="宋体"/>
          <w:szCs w:val="21"/>
        </w:rPr>
        <w:t>（1）向约定的仲裁委员会申请仲裁；</w:t>
      </w:r>
    </w:p>
    <w:p w14:paraId="01B2385D">
      <w:pPr>
        <w:pStyle w:val="2"/>
        <w:spacing w:before="117"/>
        <w:ind w:left="520" w:right="113"/>
        <w:rPr>
          <w:rFonts w:ascii="宋体" w:hAnsi="宋体"/>
          <w:szCs w:val="21"/>
        </w:rPr>
      </w:pPr>
      <w:r>
        <w:rPr>
          <w:rFonts w:ascii="宋体" w:hAnsi="宋体"/>
          <w:szCs w:val="21"/>
        </w:rPr>
        <w:t>（2）向有管辖权的人民法院提起诉讼。</w:t>
      </w:r>
    </w:p>
    <w:p w14:paraId="2BD9EB77">
      <w:pPr>
        <w:rPr>
          <w:rFonts w:ascii="宋体" w:hAnsi="宋体"/>
          <w:szCs w:val="21"/>
        </w:rPr>
        <w:sectPr>
          <w:pgSz w:w="12240" w:h="15840"/>
          <w:pgMar w:top="720" w:right="1134" w:bottom="720" w:left="1134" w:header="1077" w:footer="1021" w:gutter="0"/>
          <w:cols w:space="720" w:num="1"/>
        </w:sectPr>
      </w:pPr>
    </w:p>
    <w:p w14:paraId="74AACFD6">
      <w:pPr>
        <w:jc w:val="center"/>
        <w:rPr>
          <w:b/>
          <w:sz w:val="28"/>
          <w:szCs w:val="28"/>
        </w:rPr>
      </w:pPr>
      <w:bookmarkStart w:id="622" w:name="_bookmark157"/>
      <w:bookmarkEnd w:id="622"/>
      <w:bookmarkStart w:id="623" w:name="_Toc84236930"/>
      <w:r>
        <w:rPr>
          <w:b/>
          <w:sz w:val="28"/>
          <w:szCs w:val="28"/>
        </w:rPr>
        <w:t>第二节</w:t>
      </w:r>
      <w:r>
        <w:rPr>
          <w:rFonts w:hint="eastAsia"/>
          <w:b/>
          <w:sz w:val="28"/>
          <w:szCs w:val="28"/>
        </w:rPr>
        <w:t xml:space="preserve">  </w:t>
      </w:r>
      <w:r>
        <w:rPr>
          <w:b/>
          <w:sz w:val="28"/>
          <w:szCs w:val="28"/>
        </w:rPr>
        <w:t>专用合同条款</w:t>
      </w:r>
      <w:bookmarkEnd w:id="623"/>
    </w:p>
    <w:p w14:paraId="57392353">
      <w:pPr>
        <w:pStyle w:val="2"/>
      </w:pPr>
    </w:p>
    <w:p w14:paraId="40BDBC3D">
      <w:pPr>
        <w:spacing w:line="443" w:lineRule="exact"/>
        <w:rPr>
          <w:rFonts w:ascii="宋体" w:hAnsi="宋体"/>
          <w:szCs w:val="21"/>
        </w:rPr>
        <w:sectPr>
          <w:pgSz w:w="12240" w:h="15840"/>
          <w:pgMar w:top="720" w:right="1134" w:bottom="720" w:left="1134" w:header="1077" w:footer="1021" w:gutter="0"/>
          <w:cols w:space="720" w:num="1"/>
        </w:sectPr>
      </w:pPr>
    </w:p>
    <w:p w14:paraId="390E646C">
      <w:pPr>
        <w:jc w:val="center"/>
        <w:rPr>
          <w:b/>
          <w:sz w:val="28"/>
          <w:szCs w:val="28"/>
        </w:rPr>
      </w:pPr>
      <w:bookmarkStart w:id="624" w:name="_bookmark158"/>
      <w:bookmarkEnd w:id="624"/>
      <w:bookmarkStart w:id="625" w:name="_Toc84236931"/>
      <w:r>
        <w:rPr>
          <w:b/>
          <w:sz w:val="28"/>
          <w:szCs w:val="28"/>
        </w:rPr>
        <w:t>第三节</w:t>
      </w:r>
      <w:r>
        <w:rPr>
          <w:rFonts w:hint="eastAsia"/>
          <w:b/>
          <w:sz w:val="28"/>
          <w:szCs w:val="28"/>
        </w:rPr>
        <w:t xml:space="preserve">  </w:t>
      </w:r>
      <w:r>
        <w:rPr>
          <w:b/>
          <w:sz w:val="28"/>
          <w:szCs w:val="28"/>
        </w:rPr>
        <w:t>合同附件格式</w:t>
      </w:r>
      <w:bookmarkEnd w:id="625"/>
    </w:p>
    <w:p w14:paraId="2B73D5AC">
      <w:pPr>
        <w:pStyle w:val="2"/>
      </w:pPr>
    </w:p>
    <w:p w14:paraId="4737B4F3">
      <w:pPr>
        <w:jc w:val="center"/>
        <w:rPr>
          <w:b/>
          <w:sz w:val="28"/>
          <w:szCs w:val="28"/>
        </w:rPr>
        <w:sectPr>
          <w:pgSz w:w="12240" w:h="15840"/>
          <w:pgMar w:top="720" w:right="1134" w:bottom="720" w:left="1134" w:header="1077" w:footer="1021" w:gutter="0"/>
          <w:cols w:space="720" w:num="1"/>
        </w:sectPr>
      </w:pPr>
    </w:p>
    <w:p w14:paraId="729A9D7A">
      <w:pPr>
        <w:pStyle w:val="269"/>
        <w:spacing w:line="363" w:lineRule="exact"/>
        <w:ind w:right="108"/>
        <w:rPr>
          <w:sz w:val="21"/>
          <w:szCs w:val="21"/>
          <w:lang w:eastAsia="zh-CN"/>
        </w:rPr>
      </w:pPr>
      <w:bookmarkStart w:id="626" w:name="_bookmark159"/>
      <w:bookmarkEnd w:id="626"/>
      <w:r>
        <w:rPr>
          <w:sz w:val="21"/>
          <w:szCs w:val="21"/>
          <w:lang w:eastAsia="zh-CN"/>
        </w:rPr>
        <w:t>附件一：合同协议书</w:t>
      </w:r>
    </w:p>
    <w:p w14:paraId="624BDD53">
      <w:pPr>
        <w:spacing w:before="15"/>
        <w:ind w:right="116"/>
        <w:jc w:val="center"/>
        <w:rPr>
          <w:rFonts w:ascii="宋体" w:hAnsi="宋体"/>
          <w:szCs w:val="21"/>
        </w:rPr>
      </w:pPr>
      <w:r>
        <w:rPr>
          <w:rFonts w:ascii="宋体" w:hAnsi="宋体"/>
          <w:szCs w:val="21"/>
        </w:rPr>
        <w:t>合同协议书</w:t>
      </w:r>
    </w:p>
    <w:p w14:paraId="2AA7378C">
      <w:pPr>
        <w:pStyle w:val="2"/>
        <w:tabs>
          <w:tab w:val="left" w:pos="2457"/>
          <w:tab w:val="left" w:pos="3592"/>
          <w:tab w:val="left" w:pos="8115"/>
        </w:tabs>
        <w:spacing w:before="227" w:line="364" w:lineRule="auto"/>
        <w:ind w:left="100" w:right="109" w:firstLine="359"/>
        <w:rPr>
          <w:rFonts w:ascii="宋体" w:hAnsi="宋体"/>
          <w:szCs w:val="21"/>
        </w:rPr>
      </w:pPr>
      <w:r>
        <w:rPr>
          <w:rFonts w:ascii="宋体" w:hAnsi="宋体"/>
          <w:szCs w:val="21"/>
          <w:u w:val="single"/>
        </w:rPr>
        <w:tab/>
      </w:r>
      <w:r>
        <w:rPr>
          <w:rFonts w:ascii="宋体" w:hAnsi="宋体"/>
          <w:szCs w:val="21"/>
        </w:rPr>
        <w:t>（委托人名称，以下简称“委托人”）为实施</w:t>
      </w:r>
      <w:r>
        <w:rPr>
          <w:rFonts w:ascii="宋体" w:hAnsi="宋体"/>
          <w:szCs w:val="21"/>
          <w:u w:val="single"/>
        </w:rPr>
        <w:t xml:space="preserve"> </w:t>
      </w:r>
      <w:r>
        <w:rPr>
          <w:rFonts w:ascii="宋体" w:hAnsi="宋体"/>
          <w:szCs w:val="21"/>
          <w:u w:val="single"/>
        </w:rPr>
        <w:tab/>
      </w:r>
      <w:r>
        <w:rPr>
          <w:rFonts w:ascii="宋体" w:hAnsi="宋体"/>
          <w:szCs w:val="21"/>
        </w:rPr>
        <w:t>（项目 名称</w:t>
      </w:r>
      <w:r>
        <w:rPr>
          <w:rFonts w:ascii="宋体" w:hAnsi="宋体"/>
          <w:spacing w:val="-104"/>
          <w:szCs w:val="21"/>
        </w:rPr>
        <w:t>）</w:t>
      </w:r>
      <w:r>
        <w:rPr>
          <w:rFonts w:ascii="宋体" w:hAnsi="宋体"/>
          <w:szCs w:val="21"/>
        </w:rPr>
        <w:t>，已接受</w:t>
      </w: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rPr>
        <w:t>（监理人名称，以下简称</w:t>
      </w:r>
      <w:r>
        <w:rPr>
          <w:rFonts w:ascii="宋体" w:hAnsi="宋体"/>
          <w:spacing w:val="-1"/>
          <w:szCs w:val="21"/>
        </w:rPr>
        <w:t>“</w:t>
      </w:r>
      <w:r>
        <w:rPr>
          <w:rFonts w:ascii="宋体" w:hAnsi="宋体"/>
          <w:szCs w:val="21"/>
        </w:rPr>
        <w:t>监理人</w:t>
      </w:r>
      <w:r>
        <w:rPr>
          <w:rFonts w:ascii="宋体" w:hAnsi="宋体"/>
          <w:spacing w:val="-1"/>
          <w:szCs w:val="21"/>
        </w:rPr>
        <w:t>”</w:t>
      </w:r>
      <w:r>
        <w:rPr>
          <w:rFonts w:ascii="宋体" w:hAnsi="宋体"/>
          <w:szCs w:val="21"/>
        </w:rPr>
        <w:t>）对该项目监理投标。委托人和监理人共同达成如下协议。</w:t>
      </w:r>
    </w:p>
    <w:p w14:paraId="2BC11DCA">
      <w:pPr>
        <w:pStyle w:val="2"/>
        <w:spacing w:before="164"/>
        <w:ind w:left="520" w:right="108"/>
        <w:rPr>
          <w:rFonts w:ascii="宋体" w:hAnsi="宋体"/>
          <w:szCs w:val="21"/>
        </w:rPr>
      </w:pPr>
      <w:r>
        <w:rPr>
          <w:rFonts w:ascii="宋体" w:hAnsi="宋体"/>
          <w:szCs w:val="21"/>
        </w:rPr>
        <w:t>1. 本协议书与下列文件一起构成合同文件：</w:t>
      </w:r>
    </w:p>
    <w:p w14:paraId="0BC731BC">
      <w:pPr>
        <w:pStyle w:val="2"/>
        <w:spacing w:before="151"/>
        <w:ind w:left="520" w:right="108"/>
        <w:rPr>
          <w:rFonts w:ascii="宋体" w:hAnsi="宋体"/>
          <w:szCs w:val="21"/>
        </w:rPr>
      </w:pPr>
      <w:r>
        <w:rPr>
          <w:rFonts w:ascii="宋体" w:hAnsi="宋体"/>
          <w:szCs w:val="21"/>
        </w:rPr>
        <w:t>（1）中标通知书；</w:t>
      </w:r>
    </w:p>
    <w:p w14:paraId="08613850">
      <w:pPr>
        <w:pStyle w:val="2"/>
        <w:spacing w:before="148"/>
        <w:ind w:left="520" w:right="108"/>
        <w:rPr>
          <w:rFonts w:ascii="宋体" w:hAnsi="宋体"/>
          <w:szCs w:val="21"/>
        </w:rPr>
      </w:pPr>
      <w:r>
        <w:rPr>
          <w:rFonts w:ascii="宋体" w:hAnsi="宋体"/>
          <w:szCs w:val="21"/>
        </w:rPr>
        <w:t>（2）投标函及投标函附录；</w:t>
      </w:r>
    </w:p>
    <w:p w14:paraId="1085F012">
      <w:pPr>
        <w:pStyle w:val="2"/>
        <w:spacing w:before="148"/>
        <w:ind w:left="520" w:right="108"/>
        <w:rPr>
          <w:rFonts w:ascii="宋体" w:hAnsi="宋体"/>
          <w:szCs w:val="21"/>
        </w:rPr>
      </w:pPr>
      <w:r>
        <w:rPr>
          <w:rFonts w:ascii="宋体" w:hAnsi="宋体"/>
          <w:szCs w:val="21"/>
        </w:rPr>
        <w:t>（3）专用合同条款；</w:t>
      </w:r>
    </w:p>
    <w:p w14:paraId="2834F2E4">
      <w:pPr>
        <w:pStyle w:val="2"/>
        <w:spacing w:before="151"/>
        <w:ind w:left="520" w:right="108"/>
        <w:rPr>
          <w:rFonts w:ascii="宋体" w:hAnsi="宋体"/>
          <w:szCs w:val="21"/>
        </w:rPr>
      </w:pPr>
      <w:r>
        <w:rPr>
          <w:rFonts w:ascii="宋体" w:hAnsi="宋体"/>
          <w:szCs w:val="21"/>
        </w:rPr>
        <w:t>（4）通用合同条款；</w:t>
      </w:r>
    </w:p>
    <w:p w14:paraId="4ADDB813">
      <w:pPr>
        <w:pStyle w:val="2"/>
        <w:spacing w:before="148"/>
        <w:ind w:left="520" w:right="108"/>
        <w:rPr>
          <w:rFonts w:ascii="宋体" w:hAnsi="宋体"/>
          <w:szCs w:val="21"/>
        </w:rPr>
      </w:pPr>
      <w:r>
        <w:rPr>
          <w:rFonts w:ascii="宋体" w:hAnsi="宋体"/>
          <w:szCs w:val="21"/>
        </w:rPr>
        <w:t>（5）委托人要求；</w:t>
      </w:r>
    </w:p>
    <w:p w14:paraId="67DCF45E">
      <w:pPr>
        <w:pStyle w:val="2"/>
        <w:spacing w:before="149"/>
        <w:ind w:left="520" w:right="108"/>
        <w:rPr>
          <w:rFonts w:ascii="宋体" w:hAnsi="宋体"/>
          <w:szCs w:val="21"/>
        </w:rPr>
      </w:pPr>
      <w:r>
        <w:rPr>
          <w:rFonts w:ascii="宋体" w:hAnsi="宋体"/>
          <w:szCs w:val="21"/>
        </w:rPr>
        <w:t>（6）监理报酬清单；</w:t>
      </w:r>
    </w:p>
    <w:p w14:paraId="383245A4">
      <w:pPr>
        <w:pStyle w:val="2"/>
        <w:spacing w:before="151"/>
        <w:ind w:left="520" w:right="108"/>
        <w:rPr>
          <w:rFonts w:ascii="宋体" w:hAnsi="宋体"/>
          <w:szCs w:val="21"/>
        </w:rPr>
      </w:pPr>
      <w:r>
        <w:rPr>
          <w:rFonts w:ascii="宋体" w:hAnsi="宋体"/>
          <w:szCs w:val="21"/>
        </w:rPr>
        <w:t>（7）监理大纲；</w:t>
      </w:r>
    </w:p>
    <w:p w14:paraId="3885E943">
      <w:pPr>
        <w:pStyle w:val="2"/>
        <w:spacing w:before="148"/>
        <w:ind w:left="520" w:right="108"/>
        <w:rPr>
          <w:rFonts w:ascii="宋体" w:hAnsi="宋体"/>
          <w:szCs w:val="21"/>
        </w:rPr>
      </w:pPr>
      <w:r>
        <w:rPr>
          <w:rFonts w:ascii="宋体" w:hAnsi="宋体"/>
          <w:szCs w:val="21"/>
        </w:rPr>
        <w:t>（8）其他合同文件。</w:t>
      </w:r>
    </w:p>
    <w:p w14:paraId="33783277">
      <w:pPr>
        <w:pStyle w:val="2"/>
        <w:spacing w:before="148" w:line="364" w:lineRule="auto"/>
        <w:ind w:left="100" w:right="108" w:firstLine="419"/>
        <w:rPr>
          <w:rFonts w:ascii="宋体" w:hAnsi="宋体"/>
          <w:szCs w:val="21"/>
        </w:rPr>
      </w:pPr>
      <w:r>
        <w:rPr>
          <w:rFonts w:ascii="宋体" w:hAnsi="宋体"/>
          <w:szCs w:val="21"/>
        </w:rPr>
        <w:t>2. 上述合同文件互相补充和解释。如果合同文件之间存在矛盾或不一致之处，以上述文件 的排列顺序在先者为准。</w:t>
      </w:r>
    </w:p>
    <w:p w14:paraId="35AA67B0">
      <w:pPr>
        <w:pStyle w:val="2"/>
        <w:tabs>
          <w:tab w:val="left" w:pos="4984"/>
          <w:tab w:val="left" w:pos="6768"/>
        </w:tabs>
        <w:spacing w:before="55"/>
        <w:ind w:left="520" w:right="108"/>
        <w:rPr>
          <w:rFonts w:ascii="宋体" w:hAnsi="宋体"/>
          <w:szCs w:val="21"/>
        </w:rPr>
      </w:pPr>
      <w:r>
        <w:rPr>
          <w:rFonts w:ascii="宋体" w:hAnsi="宋体"/>
          <w:szCs w:val="21"/>
        </w:rPr>
        <w:t>3.</w:t>
      </w:r>
      <w:r>
        <w:rPr>
          <w:rFonts w:ascii="宋体" w:hAnsi="宋体"/>
          <w:spacing w:val="50"/>
          <w:szCs w:val="21"/>
        </w:rPr>
        <w:t xml:space="preserve"> </w:t>
      </w:r>
      <w:r>
        <w:rPr>
          <w:rFonts w:ascii="宋体" w:hAnsi="宋体"/>
          <w:szCs w:val="21"/>
        </w:rPr>
        <w:t>签约合同价：人民币（大写）</w:t>
      </w:r>
      <w:r>
        <w:rPr>
          <w:rFonts w:ascii="宋体" w:hAnsi="宋体"/>
          <w:szCs w:val="21"/>
          <w:u w:val="single"/>
        </w:rPr>
        <w:t xml:space="preserve"> </w:t>
      </w:r>
      <w:r>
        <w:rPr>
          <w:rFonts w:ascii="宋体" w:hAnsi="宋体"/>
          <w:szCs w:val="21"/>
          <w:u w:val="single"/>
        </w:rPr>
        <w:tab/>
      </w:r>
      <w:r>
        <w:rPr>
          <w:rFonts w:ascii="宋体" w:hAnsi="宋体"/>
          <w:spacing w:val="-3"/>
          <w:szCs w:val="21"/>
        </w:rPr>
        <w:t>（¥</w:t>
      </w:r>
      <w:r>
        <w:rPr>
          <w:rFonts w:ascii="宋体" w:hAnsi="宋体"/>
          <w:spacing w:val="-3"/>
          <w:szCs w:val="21"/>
          <w:u w:val="single"/>
        </w:rPr>
        <w:t xml:space="preserve"> </w:t>
      </w:r>
      <w:r>
        <w:rPr>
          <w:rFonts w:ascii="宋体" w:hAnsi="宋体"/>
          <w:spacing w:val="-3"/>
          <w:szCs w:val="21"/>
          <w:u w:val="single"/>
        </w:rPr>
        <w:tab/>
      </w:r>
      <w:r>
        <w:rPr>
          <w:rFonts w:ascii="宋体" w:hAnsi="宋体"/>
          <w:spacing w:val="-106"/>
          <w:szCs w:val="21"/>
        </w:rPr>
        <w:t>）。</w:t>
      </w:r>
    </w:p>
    <w:p w14:paraId="24DCA20E">
      <w:pPr>
        <w:pStyle w:val="2"/>
        <w:tabs>
          <w:tab w:val="left" w:pos="3304"/>
        </w:tabs>
        <w:spacing w:before="149"/>
        <w:ind w:left="520" w:right="108"/>
        <w:rPr>
          <w:rFonts w:ascii="宋体" w:hAnsi="宋体"/>
          <w:szCs w:val="21"/>
        </w:rPr>
      </w:pPr>
      <w:r>
        <w:rPr>
          <w:rFonts w:ascii="宋体" w:hAnsi="宋体"/>
          <w:szCs w:val="21"/>
        </w:rPr>
        <w:t>4.</w:t>
      </w:r>
      <w:r>
        <w:rPr>
          <w:rFonts w:ascii="宋体" w:hAnsi="宋体"/>
          <w:spacing w:val="52"/>
          <w:szCs w:val="21"/>
        </w:rPr>
        <w:t xml:space="preserve"> </w:t>
      </w:r>
      <w:r>
        <w:rPr>
          <w:rFonts w:ascii="宋体" w:hAnsi="宋体"/>
          <w:szCs w:val="21"/>
        </w:rPr>
        <w:t>总监理工程师：</w:t>
      </w:r>
      <w:r>
        <w:rPr>
          <w:rFonts w:ascii="宋体" w:hAnsi="宋体"/>
          <w:szCs w:val="21"/>
          <w:u w:val="single"/>
        </w:rPr>
        <w:t xml:space="preserve"> </w:t>
      </w:r>
      <w:r>
        <w:rPr>
          <w:rFonts w:ascii="宋体" w:hAnsi="宋体"/>
          <w:szCs w:val="21"/>
          <w:u w:val="single"/>
        </w:rPr>
        <w:tab/>
      </w:r>
      <w:r>
        <w:rPr>
          <w:rFonts w:ascii="宋体" w:hAnsi="宋体"/>
          <w:szCs w:val="21"/>
        </w:rPr>
        <w:t>。</w:t>
      </w:r>
    </w:p>
    <w:p w14:paraId="6B331850">
      <w:pPr>
        <w:pStyle w:val="2"/>
        <w:tabs>
          <w:tab w:val="left" w:pos="6348"/>
        </w:tabs>
        <w:spacing w:before="151"/>
        <w:ind w:left="520" w:right="108"/>
        <w:rPr>
          <w:rFonts w:ascii="宋体" w:hAnsi="宋体"/>
          <w:szCs w:val="21"/>
        </w:rPr>
      </w:pPr>
      <w:r>
        <w:rPr>
          <w:rFonts w:ascii="宋体" w:hAnsi="宋体"/>
          <w:szCs w:val="21"/>
        </w:rPr>
        <w:t>5.</w:t>
      </w:r>
      <w:r>
        <w:rPr>
          <w:rFonts w:ascii="宋体" w:hAnsi="宋体"/>
          <w:spacing w:val="50"/>
          <w:szCs w:val="21"/>
        </w:rPr>
        <w:t xml:space="preserve"> </w:t>
      </w:r>
      <w:r>
        <w:rPr>
          <w:rFonts w:ascii="宋体" w:hAnsi="宋体"/>
          <w:szCs w:val="21"/>
        </w:rPr>
        <w:t>监理工作质量符合的标准和要求：</w:t>
      </w:r>
      <w:r>
        <w:rPr>
          <w:rFonts w:ascii="宋体" w:hAnsi="宋体"/>
          <w:szCs w:val="21"/>
          <w:u w:val="single"/>
        </w:rPr>
        <w:t xml:space="preserve"> </w:t>
      </w:r>
      <w:r>
        <w:rPr>
          <w:rFonts w:ascii="宋体" w:hAnsi="宋体"/>
          <w:szCs w:val="21"/>
          <w:u w:val="single"/>
        </w:rPr>
        <w:tab/>
      </w:r>
      <w:r>
        <w:rPr>
          <w:rFonts w:ascii="宋体" w:hAnsi="宋体"/>
          <w:szCs w:val="21"/>
        </w:rPr>
        <w:t>。</w:t>
      </w:r>
    </w:p>
    <w:p w14:paraId="44081A1B">
      <w:pPr>
        <w:pStyle w:val="2"/>
        <w:spacing w:before="148"/>
        <w:ind w:left="520" w:right="108"/>
        <w:rPr>
          <w:rFonts w:ascii="宋体" w:hAnsi="宋体"/>
          <w:szCs w:val="21"/>
        </w:rPr>
      </w:pPr>
      <w:r>
        <w:rPr>
          <w:rFonts w:ascii="宋体" w:hAnsi="宋体"/>
          <w:szCs w:val="21"/>
        </w:rPr>
        <w:t>6. 监理人承诺按合同约定承担工程的监理工作。</w:t>
      </w:r>
    </w:p>
    <w:p w14:paraId="24B8CBDF">
      <w:pPr>
        <w:pStyle w:val="2"/>
        <w:spacing w:before="148"/>
        <w:ind w:left="520" w:right="108"/>
        <w:rPr>
          <w:rFonts w:ascii="宋体" w:hAnsi="宋体"/>
          <w:szCs w:val="21"/>
        </w:rPr>
      </w:pPr>
      <w:r>
        <w:rPr>
          <w:rFonts w:ascii="宋体" w:hAnsi="宋体"/>
          <w:szCs w:val="21"/>
        </w:rPr>
        <w:t>7. 委托人承诺按合同约定的条件、时间和方式向监理人支付合同价款。</w:t>
      </w:r>
    </w:p>
    <w:p w14:paraId="0CEC890F">
      <w:pPr>
        <w:pStyle w:val="2"/>
        <w:tabs>
          <w:tab w:val="left" w:pos="4718"/>
        </w:tabs>
        <w:spacing w:before="151"/>
        <w:ind w:left="520" w:right="108"/>
        <w:rPr>
          <w:rFonts w:ascii="宋体" w:hAnsi="宋体"/>
          <w:szCs w:val="21"/>
        </w:rPr>
      </w:pPr>
      <w:r>
        <w:rPr>
          <w:rFonts w:ascii="宋体" w:hAnsi="宋体"/>
          <w:szCs w:val="21"/>
        </w:rPr>
        <w:t xml:space="preserve">8. </w:t>
      </w:r>
      <w:r>
        <w:rPr>
          <w:rFonts w:ascii="宋体" w:hAnsi="宋体"/>
          <w:spacing w:val="9"/>
          <w:szCs w:val="21"/>
        </w:rPr>
        <w:t xml:space="preserve"> </w:t>
      </w:r>
      <w:r>
        <w:rPr>
          <w:rFonts w:ascii="宋体" w:hAnsi="宋体"/>
          <w:szCs w:val="21"/>
        </w:rPr>
        <w:t>监理人计划开始监理日期：</w:t>
      </w:r>
      <w:r>
        <w:rPr>
          <w:rFonts w:ascii="宋体" w:hAnsi="宋体"/>
          <w:szCs w:val="21"/>
          <w:u w:val="single"/>
        </w:rPr>
        <w:t xml:space="preserve"> </w:t>
      </w:r>
      <w:r>
        <w:rPr>
          <w:rFonts w:ascii="宋体" w:hAnsi="宋体"/>
          <w:szCs w:val="21"/>
          <w:u w:val="single"/>
        </w:rPr>
        <w:tab/>
      </w:r>
      <w:r>
        <w:rPr>
          <w:rFonts w:ascii="宋体" w:hAnsi="宋体"/>
          <w:szCs w:val="21"/>
        </w:rPr>
        <w:t>，实际日期按照委托人在开始监理通知中载</w:t>
      </w:r>
    </w:p>
    <w:p w14:paraId="060B9906">
      <w:pPr>
        <w:pStyle w:val="2"/>
        <w:tabs>
          <w:tab w:val="left" w:pos="4303"/>
        </w:tabs>
        <w:spacing w:before="37"/>
        <w:ind w:left="100" w:right="108"/>
        <w:rPr>
          <w:rFonts w:ascii="宋体" w:hAnsi="宋体"/>
          <w:szCs w:val="21"/>
        </w:rPr>
      </w:pPr>
      <w:r>
        <w:rPr>
          <w:rFonts w:ascii="宋体" w:hAnsi="宋体"/>
          <w:szCs w:val="21"/>
        </w:rPr>
        <w:t>明的开始监理日期为准。监理服务期限为</w:t>
      </w:r>
      <w:r>
        <w:rPr>
          <w:rFonts w:ascii="宋体" w:hAnsi="宋体"/>
          <w:szCs w:val="21"/>
          <w:u w:val="single"/>
        </w:rPr>
        <w:t xml:space="preserve"> </w:t>
      </w:r>
      <w:r>
        <w:rPr>
          <w:rFonts w:ascii="宋体" w:hAnsi="宋体"/>
          <w:szCs w:val="21"/>
          <w:u w:val="single"/>
        </w:rPr>
        <w:tab/>
      </w:r>
      <w:r>
        <w:rPr>
          <w:rFonts w:ascii="宋体" w:hAnsi="宋体"/>
          <w:szCs w:val="21"/>
        </w:rPr>
        <w:t>天。</w:t>
      </w:r>
    </w:p>
    <w:p w14:paraId="13C30212">
      <w:pPr>
        <w:pStyle w:val="2"/>
        <w:tabs>
          <w:tab w:val="left" w:pos="3199"/>
          <w:tab w:val="left" w:pos="5614"/>
        </w:tabs>
        <w:spacing w:before="36"/>
        <w:ind w:left="520" w:right="108"/>
        <w:rPr>
          <w:rFonts w:ascii="宋体" w:hAnsi="宋体"/>
          <w:szCs w:val="21"/>
        </w:rPr>
      </w:pPr>
      <w:r>
        <w:rPr>
          <w:rFonts w:ascii="宋体" w:hAnsi="宋体"/>
          <w:szCs w:val="21"/>
        </w:rPr>
        <w:t>9.</w:t>
      </w:r>
      <w:r>
        <w:rPr>
          <w:rFonts w:ascii="宋体" w:hAnsi="宋体"/>
          <w:spacing w:val="51"/>
          <w:szCs w:val="21"/>
        </w:rPr>
        <w:t xml:space="preserve"> </w:t>
      </w:r>
      <w:r>
        <w:rPr>
          <w:rFonts w:ascii="宋体" w:hAnsi="宋体"/>
          <w:szCs w:val="21"/>
        </w:rPr>
        <w:t>本合同协议书一式</w:t>
      </w:r>
      <w:r>
        <w:rPr>
          <w:rFonts w:ascii="宋体" w:hAnsi="宋体"/>
          <w:szCs w:val="21"/>
          <w:u w:val="single"/>
        </w:rPr>
        <w:t xml:space="preserve"> </w:t>
      </w:r>
      <w:r>
        <w:rPr>
          <w:rFonts w:ascii="宋体" w:hAnsi="宋体"/>
          <w:szCs w:val="21"/>
          <w:u w:val="single"/>
        </w:rPr>
        <w:tab/>
      </w:r>
      <w:r>
        <w:rPr>
          <w:rFonts w:ascii="宋体" w:hAnsi="宋体"/>
          <w:szCs w:val="21"/>
        </w:rPr>
        <w:t>份，合同双方各执</w:t>
      </w:r>
      <w:r>
        <w:rPr>
          <w:rFonts w:ascii="宋体" w:hAnsi="宋体"/>
          <w:szCs w:val="21"/>
          <w:u w:val="single"/>
        </w:rPr>
        <w:t xml:space="preserve"> </w:t>
      </w:r>
      <w:r>
        <w:rPr>
          <w:rFonts w:ascii="宋体" w:hAnsi="宋体"/>
          <w:szCs w:val="21"/>
          <w:u w:val="single"/>
        </w:rPr>
        <w:tab/>
      </w:r>
      <w:r>
        <w:rPr>
          <w:rFonts w:ascii="宋体" w:hAnsi="宋体"/>
          <w:spacing w:val="-3"/>
          <w:szCs w:val="21"/>
        </w:rPr>
        <w:t>份。</w:t>
      </w:r>
    </w:p>
    <w:p w14:paraId="7F9E0E79">
      <w:pPr>
        <w:pStyle w:val="2"/>
        <w:spacing w:before="151"/>
        <w:ind w:left="520" w:right="108"/>
        <w:rPr>
          <w:rFonts w:ascii="宋体" w:hAnsi="宋体"/>
          <w:szCs w:val="21"/>
        </w:rPr>
      </w:pPr>
      <w:r>
        <w:rPr>
          <w:rFonts w:ascii="宋体" w:hAnsi="宋体"/>
          <w:szCs w:val="21"/>
        </w:rPr>
        <w:t>10. 合同未尽事宜，双方另行签订补充协议。补充协议是合同的组成部分。</w:t>
      </w:r>
    </w:p>
    <w:p w14:paraId="26BF74C5">
      <w:pPr>
        <w:pStyle w:val="2"/>
        <w:tabs>
          <w:tab w:val="left" w:pos="2620"/>
          <w:tab w:val="left" w:pos="4512"/>
          <w:tab w:val="left" w:pos="7344"/>
        </w:tabs>
        <w:spacing w:before="37"/>
        <w:ind w:left="100"/>
        <w:rPr>
          <w:rFonts w:ascii="宋体" w:hAnsi="宋体"/>
          <w:szCs w:val="21"/>
        </w:rPr>
      </w:pPr>
    </w:p>
    <w:p w14:paraId="027A543B">
      <w:pPr>
        <w:pStyle w:val="2"/>
        <w:tabs>
          <w:tab w:val="left" w:pos="2620"/>
          <w:tab w:val="left" w:pos="4512"/>
          <w:tab w:val="left" w:pos="7344"/>
        </w:tabs>
        <w:spacing w:before="37"/>
        <w:ind w:left="100"/>
        <w:rPr>
          <w:rFonts w:ascii="宋体" w:hAnsi="宋体"/>
          <w:szCs w:val="21"/>
        </w:rPr>
      </w:pPr>
      <w:r>
        <w:rPr>
          <w:rFonts w:ascii="宋体" w:hAnsi="宋体"/>
          <w:szCs w:val="21"/>
        </w:rPr>
        <w:t>委托人：</w:t>
      </w:r>
      <w:r>
        <w:rPr>
          <w:rFonts w:ascii="宋体" w:hAnsi="宋体"/>
          <w:szCs w:val="21"/>
          <w:u w:val="single"/>
        </w:rPr>
        <w:t xml:space="preserve"> </w:t>
      </w:r>
      <w:r>
        <w:rPr>
          <w:rFonts w:ascii="宋体" w:hAnsi="宋体"/>
          <w:szCs w:val="21"/>
          <w:u w:val="single"/>
        </w:rPr>
        <w:tab/>
      </w:r>
      <w:r>
        <w:rPr>
          <w:rFonts w:ascii="宋体" w:hAnsi="宋体"/>
          <w:szCs w:val="21"/>
        </w:rPr>
        <w:t>（盖单位章）</w:t>
      </w:r>
      <w:r>
        <w:rPr>
          <w:rFonts w:ascii="宋体" w:hAnsi="宋体"/>
          <w:szCs w:val="21"/>
        </w:rPr>
        <w:tab/>
      </w:r>
      <w:r>
        <w:rPr>
          <w:rFonts w:ascii="宋体" w:hAnsi="宋体"/>
          <w:szCs w:val="21"/>
        </w:rPr>
        <w:t>监理人：</w:t>
      </w:r>
      <w:r>
        <w:rPr>
          <w:rFonts w:ascii="宋体" w:hAnsi="宋体"/>
          <w:szCs w:val="21"/>
          <w:u w:val="single"/>
        </w:rPr>
        <w:t xml:space="preserve"> </w:t>
      </w:r>
      <w:r>
        <w:rPr>
          <w:rFonts w:ascii="宋体" w:hAnsi="宋体"/>
          <w:szCs w:val="21"/>
          <w:u w:val="single"/>
        </w:rPr>
        <w:tab/>
      </w:r>
      <w:r>
        <w:rPr>
          <w:rFonts w:ascii="宋体" w:hAnsi="宋体"/>
          <w:szCs w:val="21"/>
        </w:rPr>
        <w:t>（盖单位章）</w:t>
      </w:r>
    </w:p>
    <w:p w14:paraId="641C2EAF">
      <w:pPr>
        <w:pStyle w:val="2"/>
        <w:tabs>
          <w:tab w:val="left" w:pos="3254"/>
          <w:tab w:val="left" w:pos="4514"/>
          <w:tab w:val="left" w:pos="7877"/>
        </w:tabs>
        <w:spacing w:before="37"/>
        <w:ind w:left="1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u w:val="single"/>
        </w:rPr>
        <w:tab/>
      </w:r>
      <w:r>
        <w:rPr>
          <w:rFonts w:ascii="宋体" w:hAnsi="宋体"/>
          <w:szCs w:val="21"/>
        </w:rPr>
        <w:t>（签字）</w:t>
      </w:r>
      <w:r>
        <w:rPr>
          <w:rFonts w:ascii="宋体" w:hAnsi="宋体"/>
          <w:szCs w:val="21"/>
        </w:rPr>
        <w:tab/>
      </w:r>
      <w:r>
        <w:rPr>
          <w:rFonts w:ascii="宋体" w:hAnsi="宋体"/>
          <w:szCs w:val="21"/>
        </w:rPr>
        <w:t>法定代表人或其委托代理人：</w:t>
      </w:r>
      <w:r>
        <w:rPr>
          <w:rFonts w:ascii="宋体" w:hAnsi="宋体"/>
          <w:szCs w:val="21"/>
          <w:u w:val="single"/>
        </w:rPr>
        <w:t xml:space="preserve"> </w:t>
      </w:r>
      <w:r>
        <w:rPr>
          <w:rFonts w:ascii="宋体" w:hAnsi="宋体"/>
          <w:szCs w:val="21"/>
          <w:u w:val="single"/>
        </w:rPr>
        <w:tab/>
      </w:r>
      <w:r>
        <w:rPr>
          <w:rFonts w:ascii="宋体" w:hAnsi="宋体"/>
          <w:szCs w:val="21"/>
        </w:rPr>
        <w:t>（签字）</w:t>
      </w:r>
    </w:p>
    <w:p w14:paraId="7ECEC078">
      <w:pPr>
        <w:pStyle w:val="2"/>
        <w:tabs>
          <w:tab w:val="left" w:pos="1045"/>
          <w:tab w:val="left" w:pos="1991"/>
          <w:tab w:val="left" w:pos="3091"/>
          <w:tab w:val="left" w:pos="4406"/>
          <w:tab w:val="left" w:pos="5246"/>
          <w:tab w:val="left" w:pos="6401"/>
          <w:tab w:val="left" w:pos="7661"/>
        </w:tabs>
        <w:spacing w:before="36"/>
        <w:ind w:left="100"/>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rPr>
        <w:t>年</w:t>
      </w:r>
      <w:r>
        <w:rPr>
          <w:rFonts w:ascii="宋体" w:hAnsi="宋体"/>
          <w:szCs w:val="21"/>
          <w:u w:val="single"/>
        </w:rPr>
        <w:t xml:space="preserve"> </w:t>
      </w:r>
      <w:r>
        <w:rPr>
          <w:rFonts w:ascii="宋体" w:hAnsi="宋体"/>
          <w:szCs w:val="21"/>
          <w:u w:val="single"/>
        </w:rPr>
        <w:tab/>
      </w:r>
      <w:r>
        <w:rPr>
          <w:rFonts w:ascii="宋体" w:hAnsi="宋体"/>
          <w:szCs w:val="21"/>
        </w:rPr>
        <w:t>月</w:t>
      </w:r>
      <w:r>
        <w:rPr>
          <w:rFonts w:ascii="宋体" w:hAnsi="宋体"/>
          <w:szCs w:val="21"/>
          <w:u w:val="single"/>
        </w:rPr>
        <w:tab/>
      </w:r>
      <w:r>
        <w:rPr>
          <w:rFonts w:ascii="宋体" w:hAnsi="宋体"/>
          <w:szCs w:val="21"/>
        </w:rPr>
        <w:t>日</w:t>
      </w:r>
      <w:r>
        <w:rPr>
          <w:rFonts w:ascii="宋体" w:hAnsi="宋体"/>
          <w:szCs w:val="21"/>
        </w:rPr>
        <w:tab/>
      </w:r>
      <w:r>
        <w:rPr>
          <w:rFonts w:ascii="宋体" w:hAnsi="宋体"/>
          <w:szCs w:val="21"/>
          <w:u w:val="single"/>
        </w:rPr>
        <w:t xml:space="preserve"> </w:t>
      </w:r>
      <w:r>
        <w:rPr>
          <w:rFonts w:ascii="宋体" w:hAnsi="宋体"/>
          <w:szCs w:val="21"/>
          <w:u w:val="single"/>
        </w:rPr>
        <w:tab/>
      </w:r>
      <w:r>
        <w:rPr>
          <w:rFonts w:ascii="宋体" w:hAnsi="宋体"/>
          <w:szCs w:val="21"/>
        </w:rPr>
        <w:t>年</w:t>
      </w:r>
      <w:r>
        <w:rPr>
          <w:rFonts w:ascii="宋体" w:hAnsi="宋体"/>
          <w:szCs w:val="21"/>
          <w:u w:val="single"/>
        </w:rPr>
        <w:t xml:space="preserve"> </w:t>
      </w:r>
      <w:r>
        <w:rPr>
          <w:rFonts w:ascii="宋体" w:hAnsi="宋体"/>
          <w:szCs w:val="21"/>
          <w:u w:val="single"/>
        </w:rPr>
        <w:tab/>
      </w:r>
      <w:r>
        <w:rPr>
          <w:rFonts w:ascii="宋体" w:hAnsi="宋体"/>
          <w:szCs w:val="21"/>
        </w:rPr>
        <w:t>月</w:t>
      </w:r>
      <w:r>
        <w:rPr>
          <w:rFonts w:ascii="宋体" w:hAnsi="宋体"/>
          <w:szCs w:val="21"/>
          <w:u w:val="single"/>
        </w:rPr>
        <w:t xml:space="preserve"> </w:t>
      </w:r>
      <w:r>
        <w:rPr>
          <w:rFonts w:ascii="宋体" w:hAnsi="宋体"/>
          <w:szCs w:val="21"/>
          <w:u w:val="single"/>
        </w:rPr>
        <w:tab/>
      </w:r>
      <w:r>
        <w:rPr>
          <w:rFonts w:ascii="宋体" w:hAnsi="宋体"/>
          <w:szCs w:val="21"/>
        </w:rPr>
        <w:t>日</w:t>
      </w:r>
    </w:p>
    <w:p w14:paraId="54F39F77">
      <w:pPr>
        <w:spacing w:line="600" w:lineRule="exact"/>
        <w:rPr>
          <w:rFonts w:ascii="宋体" w:hAnsi="宋体"/>
          <w:szCs w:val="21"/>
        </w:rPr>
      </w:pPr>
    </w:p>
    <w:p w14:paraId="228F26DF">
      <w:pPr>
        <w:pStyle w:val="3"/>
        <w:jc w:val="center"/>
        <w:rPr>
          <w:rFonts w:ascii="宋体" w:hAnsi="宋体"/>
          <w:sz w:val="32"/>
          <w:szCs w:val="32"/>
        </w:rPr>
      </w:pPr>
      <w:bookmarkStart w:id="627" w:name="_Toc167311827"/>
      <w:bookmarkStart w:id="628" w:name="_Toc399596309"/>
      <w:bookmarkStart w:id="629" w:name="_Toc246997096"/>
      <w:bookmarkStart w:id="630" w:name="_Toc246996353"/>
      <w:bookmarkStart w:id="631" w:name="_Toc9725"/>
      <w:bookmarkStart w:id="632" w:name="_Toc144974854"/>
      <w:bookmarkStart w:id="633" w:name="_Toc247085870"/>
      <w:bookmarkStart w:id="634" w:name="_Toc152042574"/>
      <w:bookmarkStart w:id="635" w:name="_Toc152045785"/>
      <w:bookmarkStart w:id="636" w:name="_Toc179632804"/>
      <w:r>
        <w:rPr>
          <w:rFonts w:hint="eastAsia" w:ascii="宋体" w:hAnsi="宋体"/>
          <w:sz w:val="32"/>
          <w:szCs w:val="32"/>
        </w:rPr>
        <w:t>第五章 图纸</w:t>
      </w:r>
      <w:bookmarkEnd w:id="627"/>
    </w:p>
    <w:p w14:paraId="78F3E0C8">
      <w:pPr>
        <w:jc w:val="center"/>
        <w:rPr>
          <w:rFonts w:ascii="宋体" w:hAnsi="宋体"/>
          <w:szCs w:val="21"/>
        </w:rPr>
      </w:pPr>
      <w:r>
        <w:rPr>
          <w:rFonts w:hint="eastAsia" w:ascii="宋体" w:hAnsi="宋体"/>
          <w:szCs w:val="21"/>
        </w:rPr>
        <w:t>系统附件下载</w:t>
      </w:r>
    </w:p>
    <w:p w14:paraId="7C43F96D">
      <w:pPr>
        <w:pStyle w:val="26"/>
        <w:rPr>
          <w:rFonts w:ascii="宋体" w:hAnsi="宋体"/>
          <w:szCs w:val="32"/>
        </w:rPr>
      </w:pPr>
    </w:p>
    <w:p w14:paraId="2C1F6D1F">
      <w:pPr>
        <w:pStyle w:val="26"/>
        <w:rPr>
          <w:rFonts w:ascii="宋体" w:hAnsi="宋体"/>
          <w:szCs w:val="32"/>
        </w:rPr>
      </w:pPr>
    </w:p>
    <w:p w14:paraId="27BC3B14">
      <w:pPr>
        <w:pStyle w:val="26"/>
        <w:rPr>
          <w:rFonts w:ascii="宋体" w:hAnsi="宋体"/>
          <w:szCs w:val="32"/>
        </w:rPr>
      </w:pPr>
    </w:p>
    <w:p w14:paraId="6747FE49">
      <w:pPr>
        <w:pStyle w:val="26"/>
        <w:rPr>
          <w:rFonts w:ascii="宋体" w:hAnsi="宋体"/>
          <w:szCs w:val="32"/>
        </w:rPr>
      </w:pPr>
    </w:p>
    <w:p w14:paraId="5DA9C2D9">
      <w:pPr>
        <w:pStyle w:val="26"/>
        <w:rPr>
          <w:rFonts w:ascii="宋体" w:hAnsi="宋体"/>
          <w:szCs w:val="32"/>
        </w:rPr>
      </w:pPr>
    </w:p>
    <w:p w14:paraId="1FD59E89">
      <w:pPr>
        <w:pStyle w:val="26"/>
        <w:rPr>
          <w:rFonts w:ascii="宋体" w:hAnsi="宋体"/>
          <w:szCs w:val="32"/>
        </w:rPr>
      </w:pPr>
    </w:p>
    <w:p w14:paraId="30267676">
      <w:pPr>
        <w:pStyle w:val="26"/>
        <w:rPr>
          <w:rFonts w:ascii="宋体" w:hAnsi="宋体"/>
          <w:szCs w:val="32"/>
        </w:rPr>
      </w:pPr>
    </w:p>
    <w:p w14:paraId="486D5C56">
      <w:pPr>
        <w:pStyle w:val="26"/>
        <w:rPr>
          <w:rFonts w:ascii="宋体" w:hAnsi="宋体"/>
          <w:szCs w:val="32"/>
        </w:rPr>
      </w:pPr>
    </w:p>
    <w:p w14:paraId="49F18F4C">
      <w:pPr>
        <w:pStyle w:val="26"/>
        <w:rPr>
          <w:rFonts w:ascii="宋体" w:hAnsi="宋体"/>
          <w:szCs w:val="32"/>
        </w:rPr>
        <w:sectPr>
          <w:footerReference r:id="rId9" w:type="default"/>
          <w:pgSz w:w="11906" w:h="16838"/>
          <w:pgMar w:top="1440" w:right="1080" w:bottom="1440" w:left="1080" w:header="1077" w:footer="1021" w:gutter="0"/>
          <w:cols w:space="720" w:num="1"/>
          <w:docGrid w:type="linesAndChars" w:linePitch="312" w:charSpace="0"/>
        </w:sectPr>
      </w:pPr>
    </w:p>
    <w:p w14:paraId="6B392CD5">
      <w:pPr>
        <w:pStyle w:val="26"/>
        <w:rPr>
          <w:rFonts w:ascii="宋体" w:hAnsi="宋体"/>
          <w:szCs w:val="32"/>
        </w:rPr>
      </w:pPr>
    </w:p>
    <w:p w14:paraId="6E025FCB">
      <w:pPr>
        <w:pStyle w:val="3"/>
        <w:jc w:val="center"/>
        <w:rPr>
          <w:rFonts w:ascii="宋体" w:hAnsi="宋体"/>
          <w:sz w:val="32"/>
          <w:szCs w:val="32"/>
        </w:rPr>
      </w:pPr>
      <w:bookmarkStart w:id="637" w:name="_Toc167311828"/>
      <w:bookmarkStart w:id="638" w:name="_Toc13872"/>
      <w:r>
        <w:rPr>
          <w:rFonts w:hint="eastAsia" w:ascii="宋体" w:hAnsi="宋体"/>
          <w:sz w:val="32"/>
          <w:szCs w:val="32"/>
        </w:rPr>
        <w:t>第六章 技术标准和要求</w:t>
      </w:r>
      <w:bookmarkEnd w:id="628"/>
      <w:bookmarkEnd w:id="629"/>
      <w:bookmarkEnd w:id="630"/>
      <w:bookmarkEnd w:id="631"/>
      <w:bookmarkEnd w:id="632"/>
      <w:bookmarkEnd w:id="633"/>
      <w:bookmarkEnd w:id="634"/>
      <w:bookmarkEnd w:id="635"/>
      <w:bookmarkEnd w:id="636"/>
      <w:bookmarkEnd w:id="637"/>
      <w:bookmarkEnd w:id="638"/>
    </w:p>
    <w:p w14:paraId="38AEA6DE">
      <w:pPr>
        <w:jc w:val="center"/>
        <w:rPr>
          <w:rFonts w:ascii="宋体" w:hAnsi="宋体"/>
          <w:szCs w:val="21"/>
        </w:rPr>
      </w:pPr>
      <w:r>
        <w:rPr>
          <w:rFonts w:hint="eastAsia" w:ascii="宋体" w:hAnsi="宋体"/>
          <w:szCs w:val="21"/>
        </w:rPr>
        <w:t>参考国家最新相关规范及要求</w:t>
      </w:r>
    </w:p>
    <w:p w14:paraId="70F6A5C6">
      <w:pPr>
        <w:spacing w:line="360" w:lineRule="auto"/>
        <w:ind w:firstLine="420" w:firstLineChars="200"/>
        <w:rPr>
          <w:rFonts w:ascii="宋体" w:hAnsi="宋体"/>
          <w:szCs w:val="21"/>
        </w:rPr>
      </w:pPr>
    </w:p>
    <w:p w14:paraId="6866E23F">
      <w:pPr>
        <w:spacing w:line="360" w:lineRule="auto"/>
        <w:ind w:firstLine="420" w:firstLineChars="200"/>
        <w:rPr>
          <w:rFonts w:ascii="宋体" w:hAnsi="宋体"/>
          <w:szCs w:val="21"/>
        </w:rPr>
      </w:pPr>
    </w:p>
    <w:p w14:paraId="28588F33">
      <w:pPr>
        <w:spacing w:line="360" w:lineRule="auto"/>
        <w:ind w:firstLine="420" w:firstLineChars="200"/>
        <w:rPr>
          <w:rFonts w:ascii="宋体" w:hAnsi="宋体"/>
          <w:szCs w:val="21"/>
        </w:rPr>
      </w:pPr>
    </w:p>
    <w:p w14:paraId="4875527B">
      <w:pPr>
        <w:spacing w:line="360" w:lineRule="auto"/>
        <w:ind w:firstLine="420" w:firstLineChars="200"/>
        <w:rPr>
          <w:rFonts w:ascii="宋体" w:hAnsi="宋体"/>
          <w:szCs w:val="21"/>
        </w:rPr>
      </w:pPr>
    </w:p>
    <w:p w14:paraId="5D45CDC3">
      <w:pPr>
        <w:spacing w:line="360" w:lineRule="auto"/>
        <w:ind w:firstLine="420" w:firstLineChars="200"/>
        <w:rPr>
          <w:rFonts w:ascii="宋体" w:hAnsi="宋体"/>
          <w:szCs w:val="21"/>
        </w:rPr>
      </w:pPr>
      <w:r>
        <w:rPr>
          <w:rFonts w:hint="eastAsia" w:ascii="宋体" w:hAnsi="宋体"/>
          <w:szCs w:val="21"/>
        </w:rPr>
        <w:br w:type="page"/>
      </w:r>
    </w:p>
    <w:p w14:paraId="0421B595">
      <w:pPr>
        <w:pStyle w:val="3"/>
        <w:jc w:val="center"/>
        <w:rPr>
          <w:rFonts w:ascii="宋体" w:hAnsi="宋体"/>
          <w:sz w:val="32"/>
          <w:szCs w:val="32"/>
        </w:rPr>
      </w:pPr>
      <w:bookmarkStart w:id="639" w:name="_Toc9011"/>
      <w:bookmarkStart w:id="640" w:name="_Toc247085872"/>
      <w:bookmarkStart w:id="641" w:name="_Toc246996354"/>
      <w:bookmarkStart w:id="642" w:name="_Toc179632806"/>
      <w:bookmarkStart w:id="643" w:name="_Toc399596310"/>
      <w:bookmarkStart w:id="644" w:name="_Toc152042575"/>
      <w:bookmarkStart w:id="645" w:name="_Toc167311829"/>
      <w:bookmarkStart w:id="646" w:name="_Toc32378"/>
      <w:bookmarkStart w:id="647" w:name="_Toc152045786"/>
      <w:bookmarkStart w:id="648" w:name="_Toc144974855"/>
      <w:bookmarkStart w:id="649" w:name="_Toc246997097"/>
      <w:r>
        <w:rPr>
          <w:rFonts w:hint="eastAsia" w:ascii="宋体" w:hAnsi="宋体"/>
          <w:sz w:val="32"/>
          <w:szCs w:val="32"/>
        </w:rPr>
        <w:t>第七章 投标文件格式</w:t>
      </w:r>
      <w:bookmarkEnd w:id="639"/>
      <w:bookmarkEnd w:id="640"/>
      <w:bookmarkEnd w:id="641"/>
      <w:bookmarkEnd w:id="642"/>
      <w:bookmarkEnd w:id="643"/>
      <w:bookmarkEnd w:id="644"/>
      <w:bookmarkEnd w:id="645"/>
      <w:bookmarkEnd w:id="646"/>
      <w:bookmarkEnd w:id="647"/>
      <w:bookmarkEnd w:id="648"/>
      <w:bookmarkEnd w:id="649"/>
    </w:p>
    <w:p w14:paraId="77550A37">
      <w:pPr>
        <w:spacing w:before="100" w:beforeAutospacing="1" w:after="100" w:afterAutospacing="1" w:line="360" w:lineRule="auto"/>
        <w:textAlignment w:val="baseline"/>
        <w:outlineLvl w:val="1"/>
      </w:pPr>
      <w:bookmarkStart w:id="650" w:name="_Toc246996356"/>
      <w:bookmarkStart w:id="651" w:name="_Toc247085874"/>
      <w:bookmarkStart w:id="652" w:name="_Toc144974857"/>
      <w:bookmarkStart w:id="653" w:name="_Toc399596312"/>
      <w:bookmarkStart w:id="654" w:name="_Toc179632808"/>
      <w:bookmarkStart w:id="655" w:name="_Toc246997099"/>
      <w:bookmarkStart w:id="656" w:name="_Toc5459"/>
      <w:bookmarkStart w:id="657" w:name="_Toc152045788"/>
      <w:bookmarkStart w:id="658" w:name="_Toc152042577"/>
    </w:p>
    <w:p w14:paraId="53A04EF9">
      <w:pPr>
        <w:spacing w:line="600" w:lineRule="auto"/>
        <w:jc w:val="center"/>
        <w:rPr>
          <w:rFonts w:ascii="宋体" w:hAnsi="宋体"/>
          <w:bCs/>
          <w:sz w:val="36"/>
          <w:szCs w:val="36"/>
        </w:rPr>
      </w:pPr>
      <w:r>
        <w:rPr>
          <w:rFonts w:hint="eastAsia" w:ascii="宋体" w:hAnsi="宋体"/>
          <w:bCs/>
          <w:sz w:val="36"/>
          <w:szCs w:val="36"/>
        </w:rPr>
        <w:t>（项目名称/标段）</w:t>
      </w:r>
    </w:p>
    <w:p w14:paraId="2127DF45">
      <w:pPr>
        <w:spacing w:line="360" w:lineRule="auto"/>
        <w:rPr>
          <w:rFonts w:ascii="宋体" w:hAnsi="宋体"/>
          <w:sz w:val="72"/>
          <w:szCs w:val="72"/>
        </w:rPr>
      </w:pPr>
    </w:p>
    <w:p w14:paraId="42339B71">
      <w:pPr>
        <w:spacing w:line="480" w:lineRule="auto"/>
        <w:jc w:val="center"/>
        <w:rPr>
          <w:rFonts w:ascii="宋体" w:hAnsi="宋体"/>
          <w:bCs/>
          <w:sz w:val="80"/>
          <w:szCs w:val="80"/>
        </w:rPr>
      </w:pPr>
      <w:r>
        <w:rPr>
          <w:rFonts w:hint="eastAsia" w:ascii="宋体" w:hAnsi="宋体"/>
          <w:bCs/>
          <w:sz w:val="80"/>
          <w:szCs w:val="80"/>
        </w:rPr>
        <w:t>投 标 文 件</w:t>
      </w:r>
    </w:p>
    <w:p w14:paraId="29782BEC">
      <w:pPr>
        <w:pStyle w:val="2"/>
        <w:jc w:val="center"/>
        <w:rPr>
          <w:rFonts w:ascii="宋体" w:hAnsi="宋体"/>
          <w:bCs/>
          <w:sz w:val="36"/>
          <w:szCs w:val="36"/>
        </w:rPr>
      </w:pPr>
      <w:r>
        <w:rPr>
          <w:rFonts w:hint="eastAsia" w:ascii="宋体" w:hAnsi="宋体"/>
          <w:bCs/>
          <w:sz w:val="36"/>
          <w:szCs w:val="36"/>
        </w:rPr>
        <w:t>项目编号：</w:t>
      </w:r>
    </w:p>
    <w:p w14:paraId="2BAC57AD">
      <w:pPr>
        <w:spacing w:line="240" w:lineRule="atLeast"/>
        <w:jc w:val="center"/>
        <w:rPr>
          <w:rFonts w:ascii="宋体" w:hAnsi="宋体"/>
          <w:b/>
          <w:bCs/>
          <w:sz w:val="28"/>
          <w:szCs w:val="20"/>
        </w:rPr>
      </w:pPr>
    </w:p>
    <w:p w14:paraId="265B89E3">
      <w:pPr>
        <w:spacing w:line="240" w:lineRule="atLeast"/>
        <w:jc w:val="center"/>
        <w:rPr>
          <w:rFonts w:ascii="宋体" w:hAnsi="宋体"/>
          <w:b/>
          <w:bCs/>
          <w:sz w:val="28"/>
        </w:rPr>
      </w:pPr>
    </w:p>
    <w:p w14:paraId="65E65CF3">
      <w:pPr>
        <w:spacing w:line="240" w:lineRule="atLeast"/>
        <w:jc w:val="center"/>
        <w:rPr>
          <w:rFonts w:ascii="宋体" w:hAnsi="宋体"/>
          <w:b/>
          <w:bCs/>
          <w:sz w:val="28"/>
        </w:rPr>
      </w:pPr>
    </w:p>
    <w:p w14:paraId="033149A4">
      <w:pPr>
        <w:spacing w:line="240" w:lineRule="atLeast"/>
        <w:jc w:val="center"/>
        <w:rPr>
          <w:rFonts w:ascii="宋体" w:hAnsi="宋体"/>
          <w:b/>
          <w:bCs/>
          <w:sz w:val="28"/>
        </w:rPr>
      </w:pPr>
    </w:p>
    <w:p w14:paraId="4B503A0D">
      <w:pPr>
        <w:spacing w:line="240" w:lineRule="atLeast"/>
        <w:jc w:val="center"/>
        <w:rPr>
          <w:rFonts w:ascii="宋体" w:hAnsi="宋体"/>
          <w:b/>
          <w:bCs/>
          <w:sz w:val="28"/>
        </w:rPr>
      </w:pPr>
    </w:p>
    <w:p w14:paraId="5657A98E">
      <w:pPr>
        <w:spacing w:line="240" w:lineRule="atLeast"/>
        <w:jc w:val="center"/>
        <w:rPr>
          <w:rFonts w:ascii="宋体" w:hAnsi="宋体"/>
          <w:b/>
          <w:bCs/>
          <w:sz w:val="28"/>
        </w:rPr>
      </w:pPr>
    </w:p>
    <w:p w14:paraId="2F701344">
      <w:pPr>
        <w:pStyle w:val="2"/>
      </w:pPr>
    </w:p>
    <w:p w14:paraId="6720ADEC">
      <w:pPr>
        <w:pStyle w:val="64"/>
        <w:rPr>
          <w:color w:val="auto"/>
        </w:rPr>
      </w:pPr>
    </w:p>
    <w:p w14:paraId="4B9EB0EF">
      <w:pPr>
        <w:pStyle w:val="64"/>
        <w:rPr>
          <w:color w:val="auto"/>
        </w:rPr>
      </w:pPr>
    </w:p>
    <w:p w14:paraId="4693F6DD">
      <w:pPr>
        <w:spacing w:line="240" w:lineRule="atLeast"/>
        <w:rPr>
          <w:rFonts w:ascii="宋体" w:hAnsi="宋体"/>
          <w:b/>
          <w:bCs/>
          <w:sz w:val="28"/>
        </w:rPr>
      </w:pPr>
    </w:p>
    <w:p w14:paraId="4B9A0A5D">
      <w:pPr>
        <w:spacing w:line="360" w:lineRule="auto"/>
        <w:ind w:firstLine="1260" w:firstLineChars="450"/>
        <w:rPr>
          <w:rFonts w:ascii="宋体" w:hAnsi="宋体"/>
          <w:sz w:val="28"/>
          <w:szCs w:val="28"/>
        </w:rPr>
      </w:pPr>
      <w:r>
        <w:rPr>
          <w:rFonts w:hint="eastAsia" w:ascii="宋体" w:hAnsi="宋体"/>
          <w:sz w:val="28"/>
          <w:szCs w:val="28"/>
        </w:rPr>
        <w:t>投标人：（电子签章）</w:t>
      </w:r>
    </w:p>
    <w:p w14:paraId="2579B7A9">
      <w:pPr>
        <w:spacing w:line="360" w:lineRule="auto"/>
        <w:ind w:firstLine="1260" w:firstLineChars="450"/>
        <w:rPr>
          <w:rFonts w:ascii="宋体" w:hAnsi="宋体"/>
          <w:sz w:val="28"/>
          <w:szCs w:val="28"/>
        </w:rPr>
      </w:pPr>
      <w:r>
        <w:rPr>
          <w:rFonts w:hint="eastAsia" w:ascii="宋体" w:hAnsi="宋体"/>
          <w:sz w:val="28"/>
          <w:szCs w:val="28"/>
        </w:rPr>
        <w:t>法定代表人：（电子签章）</w:t>
      </w:r>
    </w:p>
    <w:p w14:paraId="67BA6ECD">
      <w:pPr>
        <w:spacing w:line="360" w:lineRule="auto"/>
        <w:ind w:firstLine="1820" w:firstLineChars="650"/>
        <w:rPr>
          <w:rFonts w:ascii="宋体" w:hAnsi="宋体"/>
          <w:b/>
          <w:sz w:val="32"/>
          <w:szCs w:val="32"/>
          <w:u w:val="single"/>
        </w:rPr>
      </w:pPr>
      <w:r>
        <w:rPr>
          <w:rFonts w:hint="eastAsia" w:ascii="宋体" w:hAnsi="宋体"/>
          <w:sz w:val="28"/>
          <w:szCs w:val="28"/>
        </w:rPr>
        <w:t>年  月  日</w:t>
      </w:r>
    </w:p>
    <w:p w14:paraId="407DA02B">
      <w:pPr>
        <w:spacing w:line="440" w:lineRule="exact"/>
        <w:rPr>
          <w:rFonts w:ascii="宋体" w:hAnsi="宋体"/>
          <w:sz w:val="20"/>
          <w:szCs w:val="20"/>
        </w:rPr>
      </w:pPr>
    </w:p>
    <w:p w14:paraId="195E0A19">
      <w:pPr>
        <w:spacing w:line="440" w:lineRule="exact"/>
        <w:rPr>
          <w:rFonts w:ascii="宋体" w:hAnsi="宋体"/>
          <w:sz w:val="20"/>
          <w:szCs w:val="20"/>
        </w:rPr>
      </w:pPr>
    </w:p>
    <w:p w14:paraId="5F3AAAD2">
      <w:pPr>
        <w:spacing w:before="100" w:beforeAutospacing="1" w:after="100" w:afterAutospacing="1" w:line="360" w:lineRule="auto"/>
        <w:textAlignment w:val="baseline"/>
        <w:outlineLvl w:val="1"/>
        <w:rPr>
          <w:rFonts w:ascii="宋体" w:hAnsi="宋体"/>
          <w:b/>
        </w:rPr>
      </w:pPr>
    </w:p>
    <w:bookmarkEnd w:id="650"/>
    <w:bookmarkEnd w:id="651"/>
    <w:bookmarkEnd w:id="652"/>
    <w:bookmarkEnd w:id="653"/>
    <w:bookmarkEnd w:id="654"/>
    <w:bookmarkEnd w:id="655"/>
    <w:bookmarkEnd w:id="656"/>
    <w:bookmarkEnd w:id="657"/>
    <w:bookmarkEnd w:id="658"/>
    <w:p w14:paraId="71395E1D">
      <w:pPr>
        <w:jc w:val="center"/>
        <w:rPr>
          <w:rFonts w:ascii="宋体" w:hAnsi="宋体"/>
          <w:b/>
          <w:sz w:val="28"/>
          <w:szCs w:val="28"/>
        </w:rPr>
      </w:pPr>
      <w:r>
        <w:rPr>
          <w:rFonts w:hint="eastAsia" w:ascii="宋体" w:hAnsi="宋体"/>
          <w:b/>
          <w:sz w:val="28"/>
          <w:szCs w:val="28"/>
        </w:rPr>
        <w:t>目   录</w:t>
      </w:r>
    </w:p>
    <w:p w14:paraId="3CDE492A">
      <w:pPr>
        <w:ind w:firstLine="210" w:firstLineChars="100"/>
        <w:jc w:val="center"/>
        <w:rPr>
          <w:rFonts w:ascii="宋体" w:hAnsi="宋体"/>
        </w:rPr>
      </w:pPr>
      <w:r>
        <w:rPr>
          <w:rFonts w:hint="eastAsia" w:ascii="宋体" w:hAnsi="宋体"/>
        </w:rPr>
        <w:t>（由投标单位自行编制并设置页码）</w:t>
      </w:r>
    </w:p>
    <w:p w14:paraId="43BA8DF8">
      <w:pPr>
        <w:ind w:firstLine="210" w:firstLineChars="100"/>
        <w:jc w:val="center"/>
        <w:rPr>
          <w:rFonts w:ascii="宋体" w:hAnsi="宋体"/>
        </w:rPr>
      </w:pPr>
      <w:r>
        <w:rPr>
          <w:rFonts w:ascii="宋体" w:hAnsi="宋体"/>
        </w:rPr>
        <w:br w:type="page"/>
      </w:r>
    </w:p>
    <w:p w14:paraId="5935900E">
      <w:pPr>
        <w:ind w:firstLine="210" w:firstLineChars="100"/>
        <w:jc w:val="center"/>
      </w:pPr>
    </w:p>
    <w:p w14:paraId="1C976CAD">
      <w:pPr>
        <w:pStyle w:val="4"/>
        <w:jc w:val="center"/>
        <w:rPr>
          <w:rFonts w:ascii="宋体" w:hAnsi="宋体" w:eastAsia="宋体"/>
        </w:rPr>
      </w:pPr>
      <w:bookmarkStart w:id="659" w:name="_Toc28637"/>
      <w:bookmarkStart w:id="660" w:name="_Toc395200025"/>
      <w:bookmarkStart w:id="661" w:name="_Toc167311830"/>
      <w:bookmarkStart w:id="662" w:name="_Toc84236935"/>
      <w:bookmarkStart w:id="663" w:name="_Toc527397780"/>
      <w:bookmarkStart w:id="664" w:name="_Toc534107365"/>
      <w:bookmarkStart w:id="665" w:name="_Toc17401"/>
      <w:bookmarkStart w:id="666" w:name="_Toc395200026"/>
      <w:bookmarkStart w:id="667" w:name="_Toc534107366"/>
      <w:bookmarkStart w:id="668" w:name="_Toc9096"/>
      <w:bookmarkStart w:id="669" w:name="_Toc6447"/>
      <w:bookmarkStart w:id="670" w:name="_Toc527397781"/>
      <w:r>
        <w:rPr>
          <w:rFonts w:hint="eastAsia" w:ascii="宋体" w:hAnsi="宋体" w:eastAsia="宋体"/>
        </w:rPr>
        <w:t>第一部分  投标函部分格式</w:t>
      </w:r>
      <w:bookmarkEnd w:id="659"/>
      <w:bookmarkEnd w:id="660"/>
      <w:bookmarkEnd w:id="661"/>
      <w:bookmarkEnd w:id="662"/>
      <w:bookmarkEnd w:id="663"/>
      <w:bookmarkEnd w:id="664"/>
      <w:bookmarkEnd w:id="665"/>
    </w:p>
    <w:p w14:paraId="20CFAE0C">
      <w:pPr>
        <w:widowControl/>
        <w:jc w:val="left"/>
        <w:rPr>
          <w:rFonts w:ascii="宋体" w:hAnsi="宋体"/>
          <w:b/>
          <w:bCs/>
          <w:sz w:val="32"/>
          <w:szCs w:val="32"/>
        </w:rPr>
      </w:pPr>
      <w:r>
        <w:rPr>
          <w:rFonts w:ascii="宋体" w:hAnsi="宋体"/>
        </w:rPr>
        <w:br w:type="page"/>
      </w:r>
    </w:p>
    <w:p w14:paraId="2454C703">
      <w:pPr>
        <w:pStyle w:val="5"/>
        <w:jc w:val="center"/>
        <w:rPr>
          <w:rFonts w:ascii="宋体" w:hAnsi="宋体"/>
        </w:rPr>
      </w:pPr>
    </w:p>
    <w:p w14:paraId="1A54C9A0">
      <w:pPr>
        <w:pStyle w:val="5"/>
        <w:jc w:val="center"/>
        <w:rPr>
          <w:rFonts w:ascii="宋体" w:hAnsi="宋体"/>
        </w:rPr>
      </w:pPr>
      <w:bookmarkStart w:id="671" w:name="_Toc167311831"/>
      <w:r>
        <w:rPr>
          <w:rFonts w:hint="eastAsia" w:ascii="宋体" w:hAnsi="宋体"/>
        </w:rPr>
        <w:t>一、开标一览表</w:t>
      </w:r>
      <w:bookmarkEnd w:id="666"/>
      <w:bookmarkEnd w:id="667"/>
      <w:bookmarkEnd w:id="668"/>
      <w:bookmarkEnd w:id="669"/>
      <w:bookmarkEnd w:id="670"/>
      <w:bookmarkEnd w:id="671"/>
    </w:p>
    <w:tbl>
      <w:tblPr>
        <w:tblStyle w:val="46"/>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86"/>
        <w:gridCol w:w="6249"/>
      </w:tblGrid>
      <w:tr w14:paraId="6BE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694" w:type="dxa"/>
            <w:vAlign w:val="center"/>
          </w:tcPr>
          <w:p w14:paraId="1DD4B7EA">
            <w:pPr>
              <w:jc w:val="center"/>
              <w:rPr>
                <w:rFonts w:ascii="宋体" w:hAnsi="宋体"/>
              </w:rPr>
            </w:pPr>
            <w:r>
              <w:rPr>
                <w:rFonts w:hint="eastAsia" w:ascii="宋体" w:hAnsi="宋体"/>
              </w:rPr>
              <w:t>序号</w:t>
            </w:r>
          </w:p>
        </w:tc>
        <w:tc>
          <w:tcPr>
            <w:tcW w:w="1786" w:type="dxa"/>
            <w:vAlign w:val="center"/>
          </w:tcPr>
          <w:p w14:paraId="7AB7DBA9">
            <w:pPr>
              <w:jc w:val="center"/>
              <w:rPr>
                <w:rFonts w:ascii="宋体" w:hAnsi="宋体"/>
              </w:rPr>
            </w:pPr>
            <w:r>
              <w:rPr>
                <w:rFonts w:hint="eastAsia" w:ascii="宋体" w:hAnsi="宋体"/>
              </w:rPr>
              <w:t>项 目 内 容</w:t>
            </w:r>
          </w:p>
        </w:tc>
        <w:tc>
          <w:tcPr>
            <w:tcW w:w="6249" w:type="dxa"/>
            <w:vAlign w:val="center"/>
          </w:tcPr>
          <w:p w14:paraId="711C2D9E">
            <w:pPr>
              <w:jc w:val="center"/>
              <w:rPr>
                <w:rFonts w:ascii="宋体" w:hAnsi="宋体"/>
              </w:rPr>
            </w:pPr>
            <w:r>
              <w:rPr>
                <w:rFonts w:hint="eastAsia" w:ascii="宋体" w:hAnsi="宋体"/>
              </w:rPr>
              <w:t>约 定 内 容</w:t>
            </w:r>
          </w:p>
        </w:tc>
      </w:tr>
      <w:tr w14:paraId="026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94" w:type="dxa"/>
            <w:vAlign w:val="center"/>
          </w:tcPr>
          <w:p w14:paraId="3B849802">
            <w:pPr>
              <w:jc w:val="center"/>
              <w:rPr>
                <w:rFonts w:ascii="宋体" w:hAnsi="宋体"/>
              </w:rPr>
            </w:pPr>
            <w:r>
              <w:rPr>
                <w:rFonts w:hint="eastAsia" w:ascii="宋体" w:hAnsi="宋体"/>
              </w:rPr>
              <w:t>1</w:t>
            </w:r>
          </w:p>
        </w:tc>
        <w:tc>
          <w:tcPr>
            <w:tcW w:w="1786" w:type="dxa"/>
            <w:vAlign w:val="center"/>
          </w:tcPr>
          <w:p w14:paraId="689569FC">
            <w:pPr>
              <w:jc w:val="center"/>
              <w:rPr>
                <w:rFonts w:ascii="宋体" w:hAnsi="宋体"/>
              </w:rPr>
            </w:pPr>
            <w:r>
              <w:rPr>
                <w:rFonts w:hint="eastAsia" w:ascii="宋体" w:hAnsi="宋体"/>
              </w:rPr>
              <w:t>项目名称/标段</w:t>
            </w:r>
          </w:p>
        </w:tc>
        <w:tc>
          <w:tcPr>
            <w:tcW w:w="6249" w:type="dxa"/>
            <w:vAlign w:val="center"/>
          </w:tcPr>
          <w:p w14:paraId="0ABF3B2F">
            <w:pPr>
              <w:jc w:val="center"/>
              <w:rPr>
                <w:rFonts w:ascii="宋体" w:hAnsi="宋体"/>
              </w:rPr>
            </w:pPr>
          </w:p>
        </w:tc>
      </w:tr>
      <w:tr w14:paraId="6A33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94" w:type="dxa"/>
            <w:vAlign w:val="center"/>
          </w:tcPr>
          <w:p w14:paraId="604F5F11">
            <w:pPr>
              <w:jc w:val="center"/>
              <w:rPr>
                <w:rFonts w:ascii="宋体" w:hAnsi="宋体"/>
              </w:rPr>
            </w:pPr>
            <w:r>
              <w:rPr>
                <w:rFonts w:hint="eastAsia" w:ascii="宋体" w:hAnsi="宋体"/>
              </w:rPr>
              <w:t>2</w:t>
            </w:r>
          </w:p>
        </w:tc>
        <w:tc>
          <w:tcPr>
            <w:tcW w:w="1786" w:type="dxa"/>
            <w:vAlign w:val="center"/>
          </w:tcPr>
          <w:p w14:paraId="67665041">
            <w:pPr>
              <w:jc w:val="center"/>
              <w:rPr>
                <w:rFonts w:ascii="宋体" w:hAnsi="宋体"/>
              </w:rPr>
            </w:pPr>
            <w:r>
              <w:rPr>
                <w:rFonts w:hint="eastAsia" w:ascii="宋体" w:hAnsi="宋体"/>
              </w:rPr>
              <w:t>投标人名称</w:t>
            </w:r>
          </w:p>
        </w:tc>
        <w:tc>
          <w:tcPr>
            <w:tcW w:w="6249" w:type="dxa"/>
            <w:vAlign w:val="center"/>
          </w:tcPr>
          <w:p w14:paraId="51E827DC">
            <w:pPr>
              <w:rPr>
                <w:rFonts w:ascii="宋体" w:hAnsi="宋体"/>
              </w:rPr>
            </w:pPr>
          </w:p>
        </w:tc>
      </w:tr>
      <w:tr w14:paraId="48C3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94" w:type="dxa"/>
            <w:vAlign w:val="center"/>
          </w:tcPr>
          <w:p w14:paraId="04FC0AE4">
            <w:pPr>
              <w:jc w:val="center"/>
              <w:rPr>
                <w:rFonts w:ascii="宋体" w:hAnsi="宋体"/>
              </w:rPr>
            </w:pPr>
            <w:r>
              <w:rPr>
                <w:rFonts w:hint="eastAsia" w:ascii="宋体" w:hAnsi="宋体"/>
              </w:rPr>
              <w:t>3</w:t>
            </w:r>
          </w:p>
        </w:tc>
        <w:tc>
          <w:tcPr>
            <w:tcW w:w="1786" w:type="dxa"/>
            <w:vAlign w:val="center"/>
          </w:tcPr>
          <w:p w14:paraId="6A9A47B8">
            <w:pPr>
              <w:jc w:val="center"/>
              <w:rPr>
                <w:rFonts w:ascii="宋体" w:hAnsi="宋体"/>
              </w:rPr>
            </w:pPr>
            <w:r>
              <w:rPr>
                <w:rFonts w:hint="eastAsia" w:ascii="宋体" w:hAnsi="宋体"/>
              </w:rPr>
              <w:t>投标范围</w:t>
            </w:r>
          </w:p>
        </w:tc>
        <w:tc>
          <w:tcPr>
            <w:tcW w:w="6249" w:type="dxa"/>
            <w:vAlign w:val="center"/>
          </w:tcPr>
          <w:p w14:paraId="0906B533">
            <w:pPr>
              <w:jc w:val="center"/>
              <w:rPr>
                <w:rFonts w:ascii="宋体" w:hAnsi="宋体"/>
              </w:rPr>
            </w:pPr>
          </w:p>
        </w:tc>
      </w:tr>
      <w:tr w14:paraId="3E75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694" w:type="dxa"/>
            <w:vAlign w:val="center"/>
          </w:tcPr>
          <w:p w14:paraId="4FBD9BB0">
            <w:pPr>
              <w:jc w:val="center"/>
              <w:rPr>
                <w:rFonts w:ascii="宋体" w:hAnsi="宋体"/>
              </w:rPr>
            </w:pPr>
            <w:r>
              <w:rPr>
                <w:rFonts w:hint="eastAsia" w:ascii="宋体" w:hAnsi="宋体"/>
              </w:rPr>
              <w:t>4</w:t>
            </w:r>
          </w:p>
        </w:tc>
        <w:tc>
          <w:tcPr>
            <w:tcW w:w="1786" w:type="dxa"/>
            <w:vAlign w:val="center"/>
          </w:tcPr>
          <w:p w14:paraId="1FC03B88">
            <w:pPr>
              <w:jc w:val="center"/>
              <w:rPr>
                <w:rFonts w:ascii="宋体" w:hAnsi="宋体"/>
              </w:rPr>
            </w:pPr>
            <w:r>
              <w:rPr>
                <w:rFonts w:hint="eastAsia" w:ascii="宋体" w:hAnsi="宋体"/>
              </w:rPr>
              <w:t>投标总报价</w:t>
            </w:r>
          </w:p>
        </w:tc>
        <w:tc>
          <w:tcPr>
            <w:tcW w:w="6249" w:type="dxa"/>
            <w:vAlign w:val="center"/>
          </w:tcPr>
          <w:p w14:paraId="494BDF26">
            <w:pPr>
              <w:ind w:firstLine="1470" w:firstLineChars="700"/>
              <w:rPr>
                <w:rFonts w:ascii="宋体" w:hAnsi="宋体"/>
              </w:rPr>
            </w:pPr>
            <w:r>
              <w:rPr>
                <w:rFonts w:hint="eastAsia" w:ascii="宋体" w:hAnsi="宋体"/>
              </w:rPr>
              <w:t>（小写）</w:t>
            </w:r>
          </w:p>
          <w:p w14:paraId="2354E6B2">
            <w:pPr>
              <w:ind w:firstLine="1470" w:firstLineChars="700"/>
              <w:rPr>
                <w:rFonts w:ascii="宋体" w:hAnsi="宋体"/>
              </w:rPr>
            </w:pPr>
            <w:r>
              <w:rPr>
                <w:rFonts w:hint="eastAsia" w:ascii="宋体" w:hAnsi="宋体"/>
              </w:rPr>
              <w:t>（大写）</w:t>
            </w:r>
          </w:p>
        </w:tc>
      </w:tr>
      <w:tr w14:paraId="3434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94" w:type="dxa"/>
            <w:vAlign w:val="center"/>
          </w:tcPr>
          <w:p w14:paraId="4C46CDFF">
            <w:pPr>
              <w:jc w:val="center"/>
              <w:rPr>
                <w:rFonts w:ascii="宋体" w:hAnsi="宋体"/>
              </w:rPr>
            </w:pPr>
            <w:r>
              <w:rPr>
                <w:rFonts w:hint="eastAsia" w:ascii="宋体" w:hAnsi="宋体"/>
              </w:rPr>
              <w:t>5</w:t>
            </w:r>
          </w:p>
        </w:tc>
        <w:tc>
          <w:tcPr>
            <w:tcW w:w="1786" w:type="dxa"/>
            <w:vAlign w:val="center"/>
          </w:tcPr>
          <w:p w14:paraId="5B089149">
            <w:pPr>
              <w:jc w:val="center"/>
              <w:rPr>
                <w:rFonts w:ascii="宋体" w:hAnsi="宋体"/>
              </w:rPr>
            </w:pPr>
            <w:r>
              <w:rPr>
                <w:rFonts w:hint="eastAsia" w:ascii="宋体" w:hAnsi="宋体"/>
              </w:rPr>
              <w:t>项目总监</w:t>
            </w:r>
          </w:p>
        </w:tc>
        <w:tc>
          <w:tcPr>
            <w:tcW w:w="6249" w:type="dxa"/>
            <w:vAlign w:val="center"/>
          </w:tcPr>
          <w:p w14:paraId="40A24855">
            <w:pPr>
              <w:jc w:val="center"/>
              <w:rPr>
                <w:rFonts w:ascii="宋体" w:hAnsi="宋体"/>
              </w:rPr>
            </w:pPr>
            <w:r>
              <w:rPr>
                <w:rFonts w:hint="eastAsia" w:ascii="宋体" w:hAnsi="宋体"/>
              </w:rPr>
              <w:t>姓名：          （级别、编号）</w:t>
            </w:r>
          </w:p>
        </w:tc>
      </w:tr>
      <w:tr w14:paraId="1807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94" w:type="dxa"/>
            <w:vAlign w:val="center"/>
          </w:tcPr>
          <w:p w14:paraId="1E931676">
            <w:pPr>
              <w:jc w:val="center"/>
              <w:rPr>
                <w:rFonts w:ascii="宋体" w:hAnsi="宋体"/>
              </w:rPr>
            </w:pPr>
            <w:r>
              <w:rPr>
                <w:rFonts w:hint="eastAsia" w:ascii="宋体" w:hAnsi="宋体"/>
              </w:rPr>
              <w:t>6</w:t>
            </w:r>
          </w:p>
        </w:tc>
        <w:tc>
          <w:tcPr>
            <w:tcW w:w="1786" w:type="dxa"/>
            <w:vAlign w:val="center"/>
          </w:tcPr>
          <w:p w14:paraId="58769A25">
            <w:pPr>
              <w:jc w:val="center"/>
              <w:rPr>
                <w:rFonts w:ascii="宋体" w:hAnsi="宋体"/>
              </w:rPr>
            </w:pPr>
            <w:r>
              <w:rPr>
                <w:rFonts w:hint="eastAsia" w:ascii="宋体" w:hAnsi="宋体"/>
              </w:rPr>
              <w:t>质量</w:t>
            </w:r>
          </w:p>
        </w:tc>
        <w:tc>
          <w:tcPr>
            <w:tcW w:w="6249" w:type="dxa"/>
            <w:vAlign w:val="center"/>
          </w:tcPr>
          <w:p w14:paraId="10E5B275">
            <w:pPr>
              <w:jc w:val="center"/>
              <w:rPr>
                <w:rFonts w:ascii="宋体" w:hAnsi="宋体"/>
              </w:rPr>
            </w:pPr>
          </w:p>
        </w:tc>
      </w:tr>
      <w:tr w14:paraId="37C3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94" w:type="dxa"/>
            <w:vAlign w:val="center"/>
          </w:tcPr>
          <w:p w14:paraId="5A4336EA">
            <w:pPr>
              <w:jc w:val="center"/>
              <w:rPr>
                <w:rFonts w:ascii="宋体" w:hAnsi="宋体"/>
              </w:rPr>
            </w:pPr>
            <w:r>
              <w:rPr>
                <w:rFonts w:hint="eastAsia" w:ascii="宋体" w:hAnsi="宋体"/>
              </w:rPr>
              <w:t>7</w:t>
            </w:r>
          </w:p>
        </w:tc>
        <w:tc>
          <w:tcPr>
            <w:tcW w:w="1786" w:type="dxa"/>
            <w:vAlign w:val="center"/>
          </w:tcPr>
          <w:p w14:paraId="0CA9F4B6">
            <w:pPr>
              <w:jc w:val="center"/>
              <w:rPr>
                <w:rFonts w:ascii="宋体" w:hAnsi="宋体"/>
              </w:rPr>
            </w:pPr>
            <w:r>
              <w:rPr>
                <w:rFonts w:hint="eastAsia" w:ascii="宋体" w:hAnsi="宋体"/>
              </w:rPr>
              <w:t>监理期限</w:t>
            </w:r>
          </w:p>
        </w:tc>
        <w:tc>
          <w:tcPr>
            <w:tcW w:w="6249" w:type="dxa"/>
            <w:vAlign w:val="center"/>
          </w:tcPr>
          <w:p w14:paraId="2CE106A3">
            <w:pPr>
              <w:jc w:val="center"/>
              <w:rPr>
                <w:rFonts w:ascii="宋体" w:hAnsi="宋体"/>
              </w:rPr>
            </w:pPr>
          </w:p>
        </w:tc>
      </w:tr>
      <w:tr w14:paraId="49F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694" w:type="dxa"/>
            <w:vAlign w:val="center"/>
          </w:tcPr>
          <w:p w14:paraId="1F1663E4">
            <w:pPr>
              <w:jc w:val="center"/>
              <w:rPr>
                <w:rFonts w:ascii="宋体" w:hAnsi="宋体"/>
              </w:rPr>
            </w:pPr>
            <w:r>
              <w:rPr>
                <w:rFonts w:hint="eastAsia" w:ascii="宋体" w:hAnsi="宋体"/>
              </w:rPr>
              <w:t>8</w:t>
            </w:r>
          </w:p>
        </w:tc>
        <w:tc>
          <w:tcPr>
            <w:tcW w:w="1786" w:type="dxa"/>
            <w:vAlign w:val="center"/>
          </w:tcPr>
          <w:p w14:paraId="37800B78">
            <w:pPr>
              <w:jc w:val="center"/>
              <w:rPr>
                <w:rFonts w:ascii="宋体" w:hAnsi="宋体"/>
              </w:rPr>
            </w:pPr>
            <w:r>
              <w:rPr>
                <w:rFonts w:hint="eastAsia" w:ascii="宋体" w:hAnsi="宋体"/>
              </w:rPr>
              <w:t>备注</w:t>
            </w:r>
          </w:p>
        </w:tc>
        <w:tc>
          <w:tcPr>
            <w:tcW w:w="6249" w:type="dxa"/>
            <w:vAlign w:val="center"/>
          </w:tcPr>
          <w:p w14:paraId="04C6A8BE">
            <w:pPr>
              <w:jc w:val="center"/>
              <w:rPr>
                <w:rFonts w:ascii="宋体" w:hAnsi="宋体"/>
              </w:rPr>
            </w:pPr>
          </w:p>
        </w:tc>
      </w:tr>
    </w:tbl>
    <w:p w14:paraId="581CFE52">
      <w:pPr>
        <w:jc w:val="center"/>
        <w:rPr>
          <w:rFonts w:ascii="宋体" w:hAnsi="宋体"/>
          <w:sz w:val="24"/>
        </w:rPr>
      </w:pPr>
    </w:p>
    <w:p w14:paraId="4D7ED8A9">
      <w:pPr>
        <w:rPr>
          <w:rFonts w:ascii="宋体" w:hAnsi="宋体"/>
          <w:sz w:val="24"/>
        </w:rPr>
      </w:pPr>
    </w:p>
    <w:p w14:paraId="29A4D989">
      <w:pPr>
        <w:spacing w:line="520" w:lineRule="exact"/>
        <w:jc w:val="right"/>
        <w:rPr>
          <w:rFonts w:ascii="宋体" w:hAnsi="宋体" w:cs="宋体"/>
          <w:szCs w:val="21"/>
        </w:rPr>
      </w:pPr>
      <w:r>
        <w:rPr>
          <w:rFonts w:hint="eastAsia" w:ascii="宋体" w:hAnsi="宋体" w:cs="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0BA8B3F2">
      <w:pPr>
        <w:spacing w:line="52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szCs w:val="21"/>
        </w:rPr>
        <w:t>（电子签章或签字）</w:t>
      </w:r>
    </w:p>
    <w:p w14:paraId="689113B8">
      <w:pPr>
        <w:spacing w:line="520" w:lineRule="exact"/>
        <w:jc w:val="right"/>
        <w:rPr>
          <w:rFonts w:ascii="宋体" w:hAnsi="宋体" w:cs="宋体"/>
          <w:szCs w:val="21"/>
        </w:rPr>
      </w:pPr>
      <w:r>
        <w:rPr>
          <w:rFonts w:hint="eastAsia" w:ascii="宋体" w:hAnsi="宋体" w:cs="宋体"/>
          <w:szCs w:val="21"/>
        </w:rPr>
        <w:t>年月日</w:t>
      </w:r>
    </w:p>
    <w:p w14:paraId="4908FCE8">
      <w:pPr>
        <w:rPr>
          <w:rFonts w:ascii="宋体" w:hAnsi="宋体"/>
        </w:rPr>
      </w:pPr>
    </w:p>
    <w:p w14:paraId="11647E5C">
      <w:pPr>
        <w:rPr>
          <w:rFonts w:ascii="宋体" w:hAnsi="宋体"/>
        </w:rPr>
      </w:pPr>
    </w:p>
    <w:p w14:paraId="5D0EB3A9">
      <w:pPr>
        <w:rPr>
          <w:rFonts w:ascii="宋体" w:hAnsi="宋体"/>
        </w:rPr>
      </w:pPr>
    </w:p>
    <w:p w14:paraId="678F43A8">
      <w:pPr>
        <w:rPr>
          <w:rFonts w:ascii="宋体" w:hAnsi="宋体"/>
        </w:rPr>
      </w:pPr>
    </w:p>
    <w:p w14:paraId="2BAE1E83">
      <w:pPr>
        <w:pStyle w:val="5"/>
        <w:jc w:val="center"/>
        <w:rPr>
          <w:rFonts w:ascii="宋体" w:hAnsi="宋体"/>
        </w:rPr>
      </w:pPr>
      <w:bookmarkStart w:id="672" w:name="_Toc12484"/>
      <w:bookmarkStart w:id="673" w:name="_Toc395200027"/>
      <w:bookmarkStart w:id="674" w:name="_Toc534107367"/>
      <w:bookmarkStart w:id="675" w:name="_Toc27099"/>
      <w:bookmarkStart w:id="676" w:name="_Toc527397782"/>
      <w:bookmarkStart w:id="677" w:name="_Toc167311832"/>
      <w:r>
        <w:rPr>
          <w:rFonts w:hint="eastAsia" w:ascii="宋体" w:hAnsi="宋体"/>
        </w:rPr>
        <w:t>二、投标函</w:t>
      </w:r>
      <w:bookmarkEnd w:id="672"/>
      <w:bookmarkEnd w:id="673"/>
      <w:bookmarkEnd w:id="674"/>
      <w:bookmarkEnd w:id="675"/>
      <w:bookmarkEnd w:id="676"/>
      <w:bookmarkEnd w:id="677"/>
    </w:p>
    <w:p w14:paraId="01D09B3C">
      <w:pPr>
        <w:tabs>
          <w:tab w:val="left" w:pos="36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w:t>
      </w:r>
    </w:p>
    <w:p w14:paraId="728996C3">
      <w:pPr>
        <w:pStyle w:val="64"/>
        <w:spacing w:line="400" w:lineRule="exact"/>
        <w:ind w:firstLine="480" w:firstLineChars="200"/>
        <w:rPr>
          <w:rFonts w:hAnsi="宋体"/>
          <w:color w:val="auto"/>
          <w:szCs w:val="21"/>
        </w:rPr>
      </w:pPr>
      <w:r>
        <w:rPr>
          <w:rFonts w:hint="eastAsia" w:hAnsi="宋体"/>
          <w:color w:val="auto"/>
          <w:szCs w:val="21"/>
        </w:rPr>
        <w:t>1．我方己仔细研究</w:t>
      </w:r>
      <w:r>
        <w:rPr>
          <w:rFonts w:hint="eastAsia" w:hAnsi="宋体"/>
          <w:color w:val="auto"/>
          <w:szCs w:val="21"/>
          <w:u w:val="single"/>
        </w:rPr>
        <w:t xml:space="preserve">              </w:t>
      </w:r>
      <w:r>
        <w:rPr>
          <w:rFonts w:hint="eastAsia" w:hAnsi="宋体"/>
          <w:color w:val="auto"/>
          <w:szCs w:val="21"/>
        </w:rPr>
        <w:t>（项目名称）监理招标文件的全部内容（含补遗书第</w:t>
      </w:r>
      <w:r>
        <w:rPr>
          <w:rFonts w:hint="eastAsia" w:hAnsi="宋体"/>
          <w:color w:val="auto"/>
          <w:szCs w:val="21"/>
          <w:u w:val="single"/>
        </w:rPr>
        <w:t xml:space="preserve">    </w:t>
      </w:r>
      <w:r>
        <w:rPr>
          <w:rFonts w:hint="eastAsia" w:hAnsi="宋体"/>
          <w:color w:val="auto"/>
          <w:szCs w:val="21"/>
        </w:rPr>
        <w:t>号至第</w:t>
      </w:r>
      <w:r>
        <w:rPr>
          <w:rFonts w:hint="eastAsia" w:hAnsi="宋体"/>
          <w:color w:val="auto"/>
          <w:szCs w:val="21"/>
          <w:u w:val="single"/>
        </w:rPr>
        <w:t xml:space="preserve">    </w:t>
      </w:r>
      <w:r>
        <w:rPr>
          <w:rFonts w:hint="eastAsia" w:hAnsi="宋体"/>
          <w:color w:val="auto"/>
          <w:szCs w:val="21"/>
        </w:rPr>
        <w:t>号），在考察工程现场后，愿意以投标报价为：人民币（大写）</w:t>
      </w:r>
      <w:r>
        <w:rPr>
          <w:rFonts w:hint="eastAsia" w:hAnsi="宋体"/>
          <w:color w:val="auto"/>
          <w:szCs w:val="21"/>
          <w:u w:val="single"/>
        </w:rPr>
        <w:t xml:space="preserve">       </w:t>
      </w:r>
      <w:r>
        <w:rPr>
          <w:rFonts w:hint="eastAsia" w:hAnsi="宋体"/>
          <w:color w:val="auto"/>
          <w:szCs w:val="21"/>
        </w:rPr>
        <w:t>元（RMB</w:t>
      </w:r>
      <w:r>
        <w:rPr>
          <w:rFonts w:hint="eastAsia" w:hAnsi="宋体"/>
          <w:color w:val="auto"/>
          <w:szCs w:val="21"/>
          <w:u w:val="single"/>
        </w:rPr>
        <w:t xml:space="preserve">     </w:t>
      </w:r>
      <w:r>
        <w:rPr>
          <w:rFonts w:hint="eastAsia" w:hAnsi="宋体"/>
          <w:color w:val="auto"/>
          <w:szCs w:val="21"/>
        </w:rPr>
        <w:t>元），按合同约定完成监理工作。</w:t>
      </w:r>
    </w:p>
    <w:p w14:paraId="6CDBFF5D">
      <w:pPr>
        <w:pStyle w:val="64"/>
        <w:spacing w:line="400" w:lineRule="exact"/>
        <w:ind w:firstLine="480" w:firstLineChars="200"/>
        <w:rPr>
          <w:rFonts w:hAnsi="宋体"/>
          <w:color w:val="auto"/>
          <w:szCs w:val="21"/>
        </w:rPr>
      </w:pPr>
      <w:r>
        <w:rPr>
          <w:rFonts w:hAnsi="宋体"/>
          <w:color w:val="auto"/>
          <w:szCs w:val="21"/>
        </w:rPr>
        <w:t xml:space="preserve">2. </w:t>
      </w:r>
      <w:r>
        <w:rPr>
          <w:rFonts w:hint="eastAsia"/>
          <w:color w:val="auto"/>
          <w:szCs w:val="21"/>
        </w:rPr>
        <w:t>我方承诺在招标文件规定的投标有效期（投标有效期</w:t>
      </w:r>
      <w:r>
        <w:rPr>
          <w:rFonts w:hint="eastAsia"/>
          <w:color w:val="auto"/>
          <w:szCs w:val="21"/>
          <w:u w:val="single"/>
        </w:rPr>
        <w:t xml:space="preserve"> </w:t>
      </w:r>
      <w:r>
        <w:rPr>
          <w:rFonts w:hint="eastAsia"/>
          <w:color w:val="auto"/>
          <w:szCs w:val="21"/>
        </w:rPr>
        <w:t>天）内不撤销投标文件。</w:t>
      </w:r>
      <w:r>
        <w:rPr>
          <w:rFonts w:hAnsi="宋体"/>
          <w:color w:val="auto"/>
          <w:szCs w:val="21"/>
        </w:rPr>
        <w:t xml:space="preserve"> </w:t>
      </w:r>
    </w:p>
    <w:p w14:paraId="231A7EC7">
      <w:pPr>
        <w:pStyle w:val="64"/>
        <w:spacing w:line="400" w:lineRule="exact"/>
        <w:ind w:firstLine="480" w:firstLineChars="200"/>
        <w:rPr>
          <w:rFonts w:hAnsi="宋体"/>
          <w:color w:val="auto"/>
          <w:szCs w:val="21"/>
        </w:rPr>
      </w:pPr>
      <w:r>
        <w:rPr>
          <w:rFonts w:hAnsi="宋体"/>
          <w:color w:val="auto"/>
          <w:szCs w:val="21"/>
        </w:rPr>
        <w:t xml:space="preserve">3. </w:t>
      </w:r>
      <w:r>
        <w:rPr>
          <w:rFonts w:hint="eastAsia" w:hAnsi="宋体"/>
          <w:color w:val="auto"/>
          <w:szCs w:val="21"/>
        </w:rPr>
        <w:t>总监理工程师姓名____，年龄：____，职称：____，监理工程师证书：____。</w:t>
      </w:r>
    </w:p>
    <w:p w14:paraId="05C54082">
      <w:pPr>
        <w:pStyle w:val="64"/>
        <w:spacing w:line="400" w:lineRule="exact"/>
        <w:ind w:firstLine="480" w:firstLineChars="200"/>
        <w:rPr>
          <w:rFonts w:hAnsi="宋体"/>
          <w:color w:val="auto"/>
          <w:szCs w:val="21"/>
        </w:rPr>
      </w:pPr>
      <w:r>
        <w:rPr>
          <w:rFonts w:hint="eastAsia" w:hAnsi="宋体"/>
          <w:color w:val="auto"/>
          <w:szCs w:val="21"/>
        </w:rPr>
        <w:t>4．质量要求：____，监理期限：____。</w:t>
      </w:r>
    </w:p>
    <w:p w14:paraId="39299B8C">
      <w:pPr>
        <w:pStyle w:val="64"/>
        <w:spacing w:line="400" w:lineRule="exact"/>
        <w:ind w:firstLine="480" w:firstLineChars="200"/>
        <w:rPr>
          <w:rFonts w:hAnsi="宋体"/>
          <w:color w:val="auto"/>
          <w:szCs w:val="21"/>
        </w:rPr>
      </w:pPr>
      <w:r>
        <w:rPr>
          <w:rFonts w:hint="eastAsia" w:hAnsi="宋体"/>
          <w:color w:val="auto"/>
          <w:szCs w:val="21"/>
        </w:rPr>
        <w:t>5．如我方中标，我方承诺：</w:t>
      </w:r>
    </w:p>
    <w:p w14:paraId="04A97B2E">
      <w:pPr>
        <w:pStyle w:val="64"/>
        <w:spacing w:line="400" w:lineRule="exact"/>
        <w:ind w:firstLine="480" w:firstLineChars="200"/>
        <w:rPr>
          <w:rFonts w:hAnsi="宋体"/>
          <w:color w:val="auto"/>
          <w:szCs w:val="21"/>
        </w:rPr>
      </w:pPr>
      <w:r>
        <w:rPr>
          <w:rFonts w:hint="eastAsia" w:hAnsi="宋体"/>
          <w:color w:val="auto"/>
          <w:szCs w:val="21"/>
        </w:rPr>
        <w:t>(1)在收到中标通知书后，在中标通知书规定的期限内与你方签订合同；</w:t>
      </w:r>
    </w:p>
    <w:p w14:paraId="66DA05AB">
      <w:pPr>
        <w:pStyle w:val="64"/>
        <w:spacing w:line="400" w:lineRule="exact"/>
        <w:ind w:firstLine="480" w:firstLineChars="200"/>
        <w:rPr>
          <w:rFonts w:hAnsi="宋体"/>
          <w:color w:val="auto"/>
          <w:szCs w:val="21"/>
        </w:rPr>
      </w:pPr>
      <w:r>
        <w:rPr>
          <w:rFonts w:hint="eastAsia" w:hAnsi="宋体"/>
          <w:color w:val="auto"/>
          <w:szCs w:val="21"/>
        </w:rPr>
        <w:t>(2)在签订合同时不向你方提出附加条件；</w:t>
      </w:r>
    </w:p>
    <w:p w14:paraId="2D69541A">
      <w:pPr>
        <w:pStyle w:val="64"/>
        <w:spacing w:line="400" w:lineRule="exact"/>
        <w:ind w:firstLine="480" w:firstLineChars="200"/>
        <w:rPr>
          <w:rFonts w:hAnsi="宋体"/>
          <w:color w:val="auto"/>
          <w:szCs w:val="21"/>
        </w:rPr>
      </w:pPr>
      <w:r>
        <w:rPr>
          <w:rFonts w:hint="eastAsia" w:hAnsi="宋体"/>
          <w:color w:val="auto"/>
          <w:szCs w:val="21"/>
        </w:rPr>
        <w:t>(3)按照招标文件要求提交履约保证金；</w:t>
      </w:r>
    </w:p>
    <w:p w14:paraId="34AA8946">
      <w:pPr>
        <w:pStyle w:val="64"/>
        <w:spacing w:line="400" w:lineRule="exact"/>
        <w:ind w:firstLine="360" w:firstLineChars="150"/>
        <w:rPr>
          <w:rFonts w:hAnsi="宋体"/>
          <w:color w:val="auto"/>
          <w:szCs w:val="21"/>
        </w:rPr>
      </w:pPr>
      <w:r>
        <w:rPr>
          <w:rFonts w:hint="eastAsia" w:hAnsi="宋体"/>
          <w:color w:val="auto"/>
          <w:szCs w:val="21"/>
        </w:rPr>
        <w:t xml:space="preserve"> (4)在合同约定的期限内完成合同规定的全部义务；</w:t>
      </w:r>
    </w:p>
    <w:p w14:paraId="6AE2BEF7">
      <w:pPr>
        <w:pStyle w:val="64"/>
        <w:spacing w:line="400" w:lineRule="exact"/>
        <w:ind w:firstLine="480" w:firstLineChars="200"/>
        <w:rPr>
          <w:rFonts w:hAnsi="宋体"/>
          <w:color w:val="auto"/>
          <w:szCs w:val="21"/>
        </w:rPr>
      </w:pPr>
      <w:r>
        <w:rPr>
          <w:rFonts w:hint="eastAsia" w:hAnsi="宋体"/>
          <w:color w:val="auto"/>
          <w:szCs w:val="21"/>
        </w:rPr>
        <w:t>(5)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14:paraId="7C90C6AA">
      <w:pPr>
        <w:pStyle w:val="64"/>
        <w:spacing w:line="400" w:lineRule="exact"/>
        <w:ind w:firstLine="480" w:firstLineChars="200"/>
        <w:rPr>
          <w:rFonts w:hAnsi="宋体"/>
          <w:color w:val="auto"/>
          <w:szCs w:val="21"/>
        </w:rPr>
      </w:pPr>
      <w:r>
        <w:rPr>
          <w:rFonts w:hint="eastAsia" w:hAnsi="宋体"/>
          <w:color w:val="auto"/>
          <w:szCs w:val="21"/>
        </w:rPr>
        <w:t>6．我方在此声明，所递交的投标文件及有关资料内容完整、真实和准确，且不存在招标文件第二章“投标人须知”第1.4.3项和第1.4.4项规定的任何一种情形。</w:t>
      </w:r>
    </w:p>
    <w:p w14:paraId="2EACB534">
      <w:pPr>
        <w:pStyle w:val="64"/>
        <w:spacing w:line="400" w:lineRule="exact"/>
        <w:ind w:firstLine="480" w:firstLineChars="200"/>
        <w:rPr>
          <w:rFonts w:hAnsi="宋体"/>
          <w:color w:val="auto"/>
          <w:szCs w:val="21"/>
        </w:rPr>
      </w:pPr>
      <w:r>
        <w:rPr>
          <w:rFonts w:hint="eastAsia" w:hAnsi="宋体"/>
          <w:color w:val="auto"/>
          <w:szCs w:val="21"/>
        </w:rPr>
        <w:t xml:space="preserve">7．在合同协议书正式签署生效之前，本投标函连同你方的中标通知书将构成我们双方之间共同遵守的文件，对双方具有约束力。 </w:t>
      </w:r>
    </w:p>
    <w:p w14:paraId="1A436507">
      <w:pPr>
        <w:pStyle w:val="64"/>
        <w:spacing w:line="400" w:lineRule="exact"/>
        <w:ind w:firstLine="480" w:firstLineChars="200"/>
        <w:rPr>
          <w:rFonts w:hAnsi="宋体"/>
          <w:color w:val="auto"/>
          <w:szCs w:val="21"/>
        </w:rPr>
      </w:pPr>
      <w:r>
        <w:rPr>
          <w:rFonts w:hint="eastAsia" w:hAnsi="宋体"/>
          <w:color w:val="auto"/>
          <w:szCs w:val="21"/>
        </w:rPr>
        <w:t>8.</w:t>
      </w:r>
      <w:r>
        <w:rPr>
          <w:rFonts w:hint="eastAsia" w:hAnsi="宋体"/>
          <w:color w:val="auto"/>
          <w:szCs w:val="21"/>
          <w:u w:val="single"/>
        </w:rPr>
        <w:t xml:space="preserve">                                          </w:t>
      </w:r>
      <w:r>
        <w:rPr>
          <w:rFonts w:hint="eastAsia" w:hAnsi="宋体"/>
          <w:color w:val="auto"/>
          <w:szCs w:val="21"/>
        </w:rPr>
        <w:t>（其他补充说明）。</w:t>
      </w:r>
    </w:p>
    <w:p w14:paraId="0005B1C6">
      <w:pPr>
        <w:pStyle w:val="64"/>
        <w:spacing w:line="400" w:lineRule="exact"/>
        <w:ind w:firstLine="480" w:firstLineChars="200"/>
        <w:rPr>
          <w:rFonts w:hAnsi="宋体"/>
          <w:color w:val="auto"/>
          <w:szCs w:val="21"/>
        </w:rPr>
      </w:pPr>
    </w:p>
    <w:p w14:paraId="71B7AE75">
      <w:pPr>
        <w:spacing w:line="520" w:lineRule="exact"/>
        <w:jc w:val="right"/>
        <w:rPr>
          <w:rFonts w:ascii="宋体" w:hAnsi="宋体" w:cs="宋体"/>
          <w:szCs w:val="21"/>
        </w:rPr>
      </w:pPr>
      <w:r>
        <w:rPr>
          <w:rFonts w:hint="eastAsia" w:ascii="宋体" w:hAnsi="宋体" w:cs="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66581005">
      <w:pPr>
        <w:spacing w:line="52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szCs w:val="21"/>
        </w:rPr>
        <w:t>（电子签章或签字）</w:t>
      </w:r>
    </w:p>
    <w:p w14:paraId="40C132A6">
      <w:pPr>
        <w:spacing w:line="520" w:lineRule="exact"/>
        <w:jc w:val="right"/>
        <w:rPr>
          <w:rFonts w:ascii="宋体" w:hAnsi="宋体" w:cs="宋体"/>
          <w:szCs w:val="21"/>
        </w:rPr>
      </w:pPr>
      <w:r>
        <w:rPr>
          <w:rFonts w:hint="eastAsia" w:ascii="宋体" w:hAnsi="宋体" w:cs="宋体"/>
          <w:szCs w:val="21"/>
        </w:rPr>
        <w:t>年月日</w:t>
      </w:r>
    </w:p>
    <w:p w14:paraId="1AEB806E">
      <w:pPr>
        <w:jc w:val="left"/>
        <w:rPr>
          <w:rFonts w:ascii="宋体" w:hAnsi="宋体" w:cs="宋体"/>
          <w:sz w:val="24"/>
        </w:rPr>
      </w:pPr>
    </w:p>
    <w:p w14:paraId="7C41DBDC">
      <w:pPr>
        <w:jc w:val="center"/>
        <w:rPr>
          <w:rFonts w:ascii="宋体" w:hAnsi="宋体" w:cs="宋体"/>
          <w:b/>
          <w:sz w:val="24"/>
        </w:rPr>
      </w:pPr>
      <w:r>
        <w:rPr>
          <w:rFonts w:hint="eastAsia" w:ascii="宋体" w:hAnsi="宋体" w:cs="宋体"/>
          <w:b/>
          <w:sz w:val="24"/>
        </w:rPr>
        <w:t>注：因电子投标系统设定的投标函格式无法修改，投标单位可依照系统要求，参照本投标函内容逐项填写；本投标函作为投标文件格式要求，投标单位依然要严格按照格式填写。</w:t>
      </w:r>
    </w:p>
    <w:p w14:paraId="3B1B4E83">
      <w:pPr>
        <w:adjustRightInd w:val="0"/>
        <w:snapToGrid w:val="0"/>
        <w:spacing w:line="360" w:lineRule="exact"/>
        <w:jc w:val="right"/>
        <w:rPr>
          <w:rFonts w:ascii="宋体" w:hAnsi="宋体"/>
        </w:rPr>
      </w:pPr>
    </w:p>
    <w:p w14:paraId="606FA2ED">
      <w:pPr>
        <w:adjustRightInd w:val="0"/>
        <w:snapToGrid w:val="0"/>
        <w:spacing w:line="360" w:lineRule="exact"/>
        <w:jc w:val="right"/>
        <w:rPr>
          <w:rFonts w:ascii="宋体" w:hAnsi="宋体"/>
        </w:rPr>
      </w:pPr>
    </w:p>
    <w:p w14:paraId="0E72734E">
      <w:pPr>
        <w:pStyle w:val="5"/>
        <w:jc w:val="center"/>
        <w:rPr>
          <w:rFonts w:ascii="宋体" w:hAnsi="宋体"/>
        </w:rPr>
      </w:pPr>
      <w:bookmarkStart w:id="678" w:name="_Toc114980911"/>
      <w:bookmarkStart w:id="679" w:name="_Toc395200028"/>
    </w:p>
    <w:p w14:paraId="4FF32091">
      <w:pPr>
        <w:pStyle w:val="5"/>
        <w:jc w:val="center"/>
        <w:rPr>
          <w:rFonts w:ascii="宋体" w:hAnsi="宋体"/>
        </w:rPr>
      </w:pPr>
      <w:bookmarkStart w:id="680" w:name="_Toc6749"/>
      <w:bookmarkStart w:id="681" w:name="_Toc25542"/>
      <w:bookmarkStart w:id="682" w:name="_Toc534107368"/>
      <w:bookmarkStart w:id="683" w:name="_Toc167311833"/>
      <w:bookmarkStart w:id="684" w:name="_Toc527397783"/>
      <w:r>
        <w:rPr>
          <w:rFonts w:hint="eastAsia" w:ascii="宋体" w:hAnsi="宋体"/>
        </w:rPr>
        <w:t>三、法定代表人身份证明书</w:t>
      </w:r>
      <w:bookmarkEnd w:id="678"/>
      <w:bookmarkEnd w:id="679"/>
      <w:bookmarkEnd w:id="680"/>
      <w:bookmarkEnd w:id="681"/>
      <w:bookmarkEnd w:id="682"/>
      <w:bookmarkEnd w:id="683"/>
      <w:bookmarkEnd w:id="684"/>
    </w:p>
    <w:p w14:paraId="0E4CB35F">
      <w:pPr>
        <w:spacing w:line="440" w:lineRule="exact"/>
        <w:ind w:firstLine="480" w:firstLineChars="200"/>
        <w:rPr>
          <w:rFonts w:ascii="宋体" w:hAnsi="宋体" w:cs="宋体"/>
          <w:sz w:val="24"/>
        </w:rPr>
      </w:pPr>
      <w:r>
        <w:rPr>
          <w:rFonts w:hint="eastAsia" w:ascii="宋体" w:hAnsi="宋体" w:cs="宋体"/>
          <w:sz w:val="24"/>
        </w:rPr>
        <w:t>投标人名称：______________</w:t>
      </w:r>
    </w:p>
    <w:p w14:paraId="19E038DC">
      <w:pPr>
        <w:spacing w:line="440" w:lineRule="exact"/>
        <w:ind w:firstLine="480" w:firstLineChars="200"/>
        <w:rPr>
          <w:rFonts w:ascii="宋体" w:hAnsi="宋体" w:cs="宋体"/>
          <w:sz w:val="24"/>
        </w:rPr>
      </w:pPr>
      <w:r>
        <w:rPr>
          <w:rFonts w:hint="eastAsia" w:ascii="宋体" w:hAnsi="宋体" w:cs="宋体"/>
          <w:sz w:val="24"/>
        </w:rPr>
        <w:t>单位性质：________________</w:t>
      </w:r>
    </w:p>
    <w:p w14:paraId="7DAA8374">
      <w:pPr>
        <w:spacing w:line="440" w:lineRule="exact"/>
        <w:ind w:firstLine="480" w:firstLineChars="200"/>
        <w:rPr>
          <w:rFonts w:ascii="宋体" w:hAnsi="宋体" w:cs="宋体"/>
          <w:sz w:val="24"/>
        </w:rPr>
      </w:pPr>
      <w:r>
        <w:rPr>
          <w:rFonts w:hint="eastAsia" w:ascii="宋体" w:hAnsi="宋体" w:cs="宋体"/>
          <w:sz w:val="24"/>
        </w:rPr>
        <w:t>地址：____________________</w:t>
      </w:r>
    </w:p>
    <w:p w14:paraId="5FCAB7C2">
      <w:pPr>
        <w:spacing w:line="440" w:lineRule="exact"/>
        <w:ind w:firstLine="480" w:firstLineChars="200"/>
        <w:rPr>
          <w:rFonts w:ascii="宋体" w:hAnsi="宋体" w:cs="宋体"/>
          <w:sz w:val="24"/>
        </w:rPr>
      </w:pPr>
      <w:r>
        <w:rPr>
          <w:rFonts w:hint="eastAsia" w:ascii="宋体" w:hAnsi="宋体" w:cs="宋体"/>
          <w:sz w:val="24"/>
        </w:rPr>
        <w:t>成立时间：______年______月______日</w:t>
      </w:r>
    </w:p>
    <w:p w14:paraId="452AD8B8">
      <w:pPr>
        <w:spacing w:line="440" w:lineRule="exact"/>
        <w:ind w:firstLine="480" w:firstLineChars="200"/>
        <w:rPr>
          <w:rFonts w:ascii="宋体" w:hAnsi="宋体" w:cs="宋体"/>
          <w:sz w:val="24"/>
        </w:rPr>
      </w:pPr>
      <w:r>
        <w:rPr>
          <w:rFonts w:hint="eastAsia" w:ascii="宋体" w:hAnsi="宋体" w:cs="宋体"/>
          <w:sz w:val="24"/>
        </w:rPr>
        <w:t>经营期限：________________</w:t>
      </w:r>
    </w:p>
    <w:p w14:paraId="68E0BA2E">
      <w:pPr>
        <w:spacing w:line="440" w:lineRule="exact"/>
        <w:ind w:firstLine="480" w:firstLineChars="200"/>
        <w:rPr>
          <w:rFonts w:ascii="宋体" w:hAnsi="宋体" w:cs="宋体"/>
          <w:sz w:val="24"/>
        </w:rPr>
      </w:pPr>
      <w:r>
        <w:rPr>
          <w:rFonts w:hint="eastAsia" w:ascii="宋体" w:hAnsi="宋体" w:cs="宋体"/>
          <w:sz w:val="24"/>
        </w:rPr>
        <w:t>姓名：_________性别：_____年龄：______职务：________</w:t>
      </w:r>
    </w:p>
    <w:p w14:paraId="434CF63F">
      <w:pPr>
        <w:spacing w:line="440" w:lineRule="exact"/>
        <w:ind w:firstLine="480" w:firstLineChars="200"/>
        <w:rPr>
          <w:rFonts w:ascii="宋体" w:hAnsi="宋体" w:cs="宋体"/>
          <w:sz w:val="24"/>
        </w:rPr>
      </w:pPr>
      <w:r>
        <w:rPr>
          <w:rFonts w:hint="eastAsia" w:ascii="宋体" w:hAnsi="宋体" w:cs="宋体"/>
          <w:sz w:val="24"/>
        </w:rPr>
        <w:t>系________________（投标人名称）的法定代表人。</w:t>
      </w:r>
    </w:p>
    <w:p w14:paraId="0F80CF4A">
      <w:pPr>
        <w:spacing w:line="440" w:lineRule="exact"/>
        <w:ind w:firstLine="480" w:firstLineChars="200"/>
        <w:rPr>
          <w:rFonts w:ascii="宋体" w:hAnsi="宋体" w:cs="宋体"/>
          <w:sz w:val="24"/>
        </w:rPr>
      </w:pPr>
      <w:r>
        <w:rPr>
          <w:rFonts w:hint="eastAsia" w:ascii="宋体" w:hAnsi="宋体" w:cs="宋体"/>
          <w:sz w:val="24"/>
        </w:rPr>
        <w:t>特此证明。</w:t>
      </w:r>
    </w:p>
    <w:p w14:paraId="52011EFD">
      <w:pPr>
        <w:spacing w:line="440" w:lineRule="exact"/>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2B19A75E">
      <w:pPr>
        <w:spacing w:line="440" w:lineRule="exact"/>
        <w:ind w:firstLine="480" w:firstLineChars="200"/>
        <w:jc w:val="center"/>
        <w:rPr>
          <w:rFonts w:ascii="宋体" w:hAnsi="宋体" w:cs="宋体"/>
          <w:sz w:val="24"/>
          <w:u w:val="single"/>
        </w:rPr>
      </w:pPr>
      <w:r>
        <w:rPr>
          <w:rFonts w:hint="eastAsia" w:ascii="宋体" w:hAnsi="宋体" w:cs="宋体"/>
          <w:bCs/>
          <w:sz w:val="24"/>
        </w:rPr>
        <w:t xml:space="preserve">              日  期：</w:t>
      </w:r>
      <w:r>
        <w:rPr>
          <w:rFonts w:hint="eastAsia" w:ascii="宋体" w:hAnsi="宋体" w:cs="宋体"/>
          <w:sz w:val="24"/>
          <w:u w:val="single"/>
        </w:rPr>
        <w:t xml:space="preserve">               </w:t>
      </w:r>
    </w:p>
    <w:p w14:paraId="76D6515F">
      <w:pPr>
        <w:pStyle w:val="44"/>
        <w:ind w:firstLine="240"/>
        <w:rPr>
          <w:rFonts w:ascii="宋体" w:hAnsi="宋体" w:cs="宋体"/>
          <w:sz w:val="24"/>
        </w:rPr>
      </w:pPr>
      <w:r>
        <w:rPr>
          <w:rFonts w:hint="eastAsia" w:ascii="宋体" w:hAnsi="宋体" w:cs="宋体"/>
          <w:sz w:val="24"/>
        </w:rPr>
        <w:t>附：法定代表人身份证扫描件</w:t>
      </w:r>
    </w:p>
    <w:p w14:paraId="6792F3A6">
      <w:pPr>
        <w:rPr>
          <w:rFonts w:ascii="宋体" w:hAnsi="宋体"/>
        </w:rPr>
      </w:pPr>
    </w:p>
    <w:p w14:paraId="1E229C0B">
      <w:pPr>
        <w:pStyle w:val="5"/>
        <w:jc w:val="center"/>
        <w:rPr>
          <w:rFonts w:ascii="宋体" w:hAnsi="宋体"/>
          <w:b w:val="0"/>
          <w:bCs w:val="0"/>
          <w:sz w:val="21"/>
          <w:szCs w:val="24"/>
        </w:rPr>
      </w:pPr>
      <w:bookmarkStart w:id="685" w:name="_Toc534107369"/>
      <w:bookmarkStart w:id="686" w:name="_Toc9973"/>
      <w:bookmarkStart w:id="687" w:name="_Toc527397784"/>
      <w:bookmarkStart w:id="688" w:name="_Toc395200029"/>
      <w:bookmarkStart w:id="689" w:name="_Toc114980912"/>
      <w:bookmarkStart w:id="690" w:name="_Toc80"/>
      <w:r>
        <w:rPr>
          <w:rFonts w:ascii="宋体" w:hAnsi="宋体"/>
          <w:b w:val="0"/>
          <w:bCs w:val="0"/>
          <w:sz w:val="21"/>
          <w:szCs w:val="24"/>
        </w:rPr>
        <w:br w:type="page"/>
      </w:r>
    </w:p>
    <w:p w14:paraId="7A63C9B1">
      <w:pPr>
        <w:pStyle w:val="5"/>
        <w:jc w:val="center"/>
        <w:rPr>
          <w:rFonts w:ascii="宋体" w:hAnsi="宋体"/>
        </w:rPr>
      </w:pPr>
      <w:bookmarkStart w:id="691" w:name="_Toc167311834"/>
      <w:r>
        <w:rPr>
          <w:rFonts w:hint="eastAsia" w:ascii="宋体" w:hAnsi="宋体"/>
        </w:rPr>
        <w:t>四、</w:t>
      </w:r>
      <w:bookmarkEnd w:id="685"/>
      <w:bookmarkEnd w:id="686"/>
      <w:bookmarkEnd w:id="687"/>
      <w:bookmarkEnd w:id="688"/>
      <w:bookmarkEnd w:id="689"/>
      <w:bookmarkEnd w:id="690"/>
      <w:r>
        <w:rPr>
          <w:rFonts w:hint="eastAsia" w:ascii="宋体" w:hAnsi="宋体"/>
        </w:rPr>
        <w:t>法定代表人授权委托书</w:t>
      </w:r>
      <w:bookmarkEnd w:id="691"/>
    </w:p>
    <w:p w14:paraId="6D60A437">
      <w:pPr>
        <w:spacing w:line="440" w:lineRule="exact"/>
        <w:ind w:firstLine="480" w:firstLineChars="200"/>
        <w:rPr>
          <w:rFonts w:ascii="宋体" w:hAnsi="宋体" w:cs="宋体"/>
          <w:sz w:val="24"/>
        </w:rPr>
      </w:pPr>
      <w:bookmarkStart w:id="692" w:name="_Toc534107370"/>
      <w:bookmarkStart w:id="693" w:name="_Toc527397785"/>
      <w:bookmarkStart w:id="694" w:name="_Toc21954"/>
      <w:bookmarkStart w:id="695" w:name="_Toc395200030"/>
      <w:bookmarkStart w:id="696" w:name="_Toc30965"/>
      <w:r>
        <w:rPr>
          <w:rFonts w:hint="eastAsia" w:ascii="宋体" w:hAnsi="宋体" w:cs="宋体"/>
          <w:sz w:val="24"/>
        </w:rPr>
        <w:t>本人________（姓名）系________________（投标人名称）的法定代表人，现委托________（姓名）为我方代理人。代理人根据授权，以我方名义签署、澄清、说明、补正、递交、撤回、修改___________（项目名称）的投标文件、签订合同和处理有关事宜，其法律后果由我方承担。</w:t>
      </w:r>
    </w:p>
    <w:p w14:paraId="43C61A29">
      <w:pPr>
        <w:spacing w:line="44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14:paraId="142A7D7F">
      <w:pPr>
        <w:spacing w:line="440" w:lineRule="exact"/>
        <w:ind w:firstLine="480" w:firstLineChars="200"/>
        <w:rPr>
          <w:rFonts w:ascii="宋体" w:hAnsi="宋体" w:cs="宋体"/>
          <w:sz w:val="24"/>
        </w:rPr>
      </w:pPr>
      <w:r>
        <w:rPr>
          <w:rFonts w:hint="eastAsia" w:ascii="宋体" w:hAnsi="宋体" w:cs="宋体"/>
          <w:sz w:val="24"/>
        </w:rPr>
        <w:t>代理人无转委托权。</w:t>
      </w:r>
    </w:p>
    <w:p w14:paraId="601077B1">
      <w:pPr>
        <w:spacing w:line="440" w:lineRule="exact"/>
        <w:ind w:firstLine="480" w:firstLineChars="200"/>
        <w:rPr>
          <w:rFonts w:ascii="宋体" w:hAnsi="宋体" w:cs="宋体"/>
          <w:sz w:val="24"/>
        </w:rPr>
      </w:pPr>
      <w:r>
        <w:rPr>
          <w:rFonts w:hint="eastAsia" w:ascii="宋体" w:hAnsi="宋体" w:cs="宋体"/>
          <w:sz w:val="24"/>
        </w:rPr>
        <w:t>附：法定代表人身份证复印件</w:t>
      </w:r>
    </w:p>
    <w:p w14:paraId="5B4CC3DB">
      <w:pPr>
        <w:spacing w:line="440" w:lineRule="exact"/>
        <w:ind w:firstLine="480" w:firstLineChars="200"/>
        <w:rPr>
          <w:rFonts w:ascii="宋体" w:hAnsi="宋体" w:cs="宋体"/>
          <w:sz w:val="24"/>
        </w:rPr>
      </w:pPr>
      <w:r>
        <w:rPr>
          <w:rFonts w:hint="eastAsia" w:ascii="宋体" w:hAnsi="宋体" w:cs="宋体"/>
          <w:sz w:val="24"/>
        </w:rPr>
        <w:t xml:space="preserve">    授权委托人身份证复印件</w:t>
      </w:r>
    </w:p>
    <w:p w14:paraId="5B6E60DC">
      <w:pPr>
        <w:spacing w:line="440" w:lineRule="exact"/>
        <w:ind w:firstLine="480" w:firstLineChars="200"/>
        <w:rPr>
          <w:rFonts w:ascii="宋体" w:hAnsi="宋体" w:cs="宋体"/>
          <w:sz w:val="24"/>
        </w:rPr>
      </w:pPr>
      <w:r>
        <w:rPr>
          <w:rFonts w:hint="eastAsia" w:ascii="宋体" w:hAnsi="宋体" w:cs="宋体"/>
          <w:sz w:val="24"/>
        </w:rPr>
        <w:t>投标人：________________（电子签章）</w:t>
      </w:r>
    </w:p>
    <w:p w14:paraId="4F1640B1">
      <w:pPr>
        <w:spacing w:line="440" w:lineRule="exact"/>
        <w:ind w:firstLine="480" w:firstLineChars="200"/>
        <w:rPr>
          <w:rFonts w:ascii="宋体" w:hAnsi="宋体" w:cs="宋体"/>
          <w:sz w:val="24"/>
        </w:rPr>
      </w:pPr>
      <w:r>
        <w:rPr>
          <w:rFonts w:hint="eastAsia" w:ascii="宋体" w:hAnsi="宋体" w:cs="宋体"/>
          <w:sz w:val="24"/>
        </w:rPr>
        <w:t>法定代表人：________________（电子签名或签字）</w:t>
      </w:r>
    </w:p>
    <w:p w14:paraId="6212E530">
      <w:pPr>
        <w:spacing w:line="440" w:lineRule="exact"/>
        <w:ind w:firstLine="480" w:firstLineChars="200"/>
        <w:rPr>
          <w:rFonts w:ascii="宋体" w:hAnsi="宋体" w:cs="宋体"/>
          <w:sz w:val="24"/>
        </w:rPr>
      </w:pPr>
      <w:r>
        <w:rPr>
          <w:rFonts w:hint="eastAsia" w:ascii="宋体" w:hAnsi="宋体" w:cs="宋体"/>
          <w:sz w:val="24"/>
        </w:rPr>
        <w:t>身份证号码：________________________</w:t>
      </w:r>
    </w:p>
    <w:p w14:paraId="22AB279C">
      <w:pPr>
        <w:spacing w:line="440" w:lineRule="exact"/>
        <w:ind w:firstLine="480" w:firstLineChars="200"/>
        <w:rPr>
          <w:rFonts w:ascii="宋体" w:hAnsi="宋体" w:cs="宋体"/>
          <w:sz w:val="24"/>
        </w:rPr>
      </w:pPr>
      <w:r>
        <w:rPr>
          <w:rFonts w:hint="eastAsia" w:ascii="宋体" w:hAnsi="宋体" w:cs="宋体"/>
          <w:sz w:val="24"/>
        </w:rPr>
        <w:t>授权委托人：________________（电子签名或签字或打印）</w:t>
      </w:r>
    </w:p>
    <w:p w14:paraId="35615DD5">
      <w:pPr>
        <w:spacing w:line="440" w:lineRule="exact"/>
        <w:ind w:firstLine="480" w:firstLineChars="200"/>
        <w:rPr>
          <w:rFonts w:ascii="宋体" w:hAnsi="宋体" w:cs="宋体"/>
          <w:sz w:val="24"/>
        </w:rPr>
      </w:pPr>
      <w:r>
        <w:rPr>
          <w:rFonts w:hint="eastAsia" w:ascii="宋体" w:hAnsi="宋体" w:cs="宋体"/>
          <w:sz w:val="24"/>
        </w:rPr>
        <w:t>身份证号码：________________________</w:t>
      </w:r>
    </w:p>
    <w:p w14:paraId="23F8D621">
      <w:r>
        <w:br w:type="page"/>
      </w:r>
    </w:p>
    <w:p w14:paraId="0C741278">
      <w:pPr>
        <w:pStyle w:val="5"/>
        <w:jc w:val="center"/>
        <w:rPr>
          <w:rFonts w:ascii="宋体" w:hAnsi="宋体"/>
        </w:rPr>
      </w:pPr>
      <w:bookmarkStart w:id="697" w:name="_Toc167311835"/>
      <w:r>
        <w:rPr>
          <w:rFonts w:hint="eastAsia" w:ascii="宋体" w:hAnsi="宋体"/>
        </w:rPr>
        <w:t>五、投标人基本情况表</w:t>
      </w:r>
      <w:bookmarkEnd w:id="692"/>
      <w:bookmarkEnd w:id="693"/>
      <w:bookmarkEnd w:id="694"/>
      <w:bookmarkEnd w:id="695"/>
      <w:bookmarkEnd w:id="696"/>
      <w:bookmarkEnd w:id="697"/>
    </w:p>
    <w:p w14:paraId="0979CE18">
      <w:pPr>
        <w:jc w:val="center"/>
        <w:rPr>
          <w:rFonts w:ascii="宋体" w:hAnsi="宋体"/>
        </w:rPr>
      </w:pPr>
      <w:r>
        <w:rPr>
          <w:rFonts w:hint="eastAsia" w:ascii="宋体" w:hAnsi="宋体"/>
        </w:rPr>
        <w:t>（后附企业营业执照、资质证明等相关复印件）</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14:paraId="35A27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0A7B6BC9">
            <w:pPr>
              <w:pStyle w:val="261"/>
              <w:spacing w:before="142"/>
              <w:ind w:left="426"/>
            </w:pPr>
            <w:r>
              <w:t>投标人名称</w:t>
            </w:r>
          </w:p>
        </w:tc>
        <w:tc>
          <w:tcPr>
            <w:tcW w:w="7021" w:type="dxa"/>
            <w:gridSpan w:val="8"/>
          </w:tcPr>
          <w:p w14:paraId="117D0A39">
            <w:pPr>
              <w:pStyle w:val="261"/>
              <w:rPr>
                <w:rFonts w:ascii="Times New Roman"/>
                <w:sz w:val="20"/>
              </w:rPr>
            </w:pPr>
          </w:p>
        </w:tc>
      </w:tr>
      <w:tr w14:paraId="2B40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1787C12C">
            <w:pPr>
              <w:pStyle w:val="261"/>
              <w:spacing w:before="142"/>
              <w:ind w:left="532"/>
            </w:pPr>
            <w:r>
              <w:t>注册地址</w:t>
            </w:r>
          </w:p>
        </w:tc>
        <w:tc>
          <w:tcPr>
            <w:tcW w:w="3241" w:type="dxa"/>
            <w:gridSpan w:val="4"/>
          </w:tcPr>
          <w:p w14:paraId="25FD67BA">
            <w:pPr>
              <w:pStyle w:val="261"/>
              <w:rPr>
                <w:rFonts w:ascii="Times New Roman"/>
                <w:sz w:val="20"/>
              </w:rPr>
            </w:pPr>
          </w:p>
        </w:tc>
        <w:tc>
          <w:tcPr>
            <w:tcW w:w="1077" w:type="dxa"/>
          </w:tcPr>
          <w:p w14:paraId="3AFB03D8">
            <w:pPr>
              <w:pStyle w:val="261"/>
              <w:spacing w:before="142"/>
              <w:ind w:left="98" w:right="88"/>
              <w:jc w:val="center"/>
            </w:pPr>
            <w:r>
              <w:t>邮政编码</w:t>
            </w:r>
          </w:p>
        </w:tc>
        <w:tc>
          <w:tcPr>
            <w:tcW w:w="2703" w:type="dxa"/>
            <w:gridSpan w:val="3"/>
          </w:tcPr>
          <w:p w14:paraId="63570BD4">
            <w:pPr>
              <w:pStyle w:val="261"/>
              <w:rPr>
                <w:rFonts w:ascii="Times New Roman"/>
                <w:sz w:val="20"/>
              </w:rPr>
            </w:pPr>
          </w:p>
        </w:tc>
      </w:tr>
      <w:tr w14:paraId="4C20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vMerge w:val="restart"/>
          </w:tcPr>
          <w:p w14:paraId="2E9A5C1A">
            <w:pPr>
              <w:pStyle w:val="261"/>
              <w:spacing w:before="9"/>
              <w:rPr>
                <w:rFonts w:ascii="黑体"/>
                <w:sz w:val="28"/>
              </w:rPr>
            </w:pPr>
          </w:p>
          <w:p w14:paraId="5216D6CF">
            <w:pPr>
              <w:pStyle w:val="261"/>
              <w:ind w:left="532"/>
            </w:pPr>
            <w:r>
              <w:t>联系方式</w:t>
            </w:r>
          </w:p>
        </w:tc>
        <w:tc>
          <w:tcPr>
            <w:tcW w:w="901" w:type="dxa"/>
          </w:tcPr>
          <w:p w14:paraId="6E72EA7F">
            <w:pPr>
              <w:pStyle w:val="261"/>
              <w:spacing w:before="142"/>
              <w:ind w:left="10"/>
              <w:jc w:val="center"/>
            </w:pPr>
            <w:r>
              <w:t>联系人</w:t>
            </w:r>
          </w:p>
        </w:tc>
        <w:tc>
          <w:tcPr>
            <w:tcW w:w="2340" w:type="dxa"/>
            <w:gridSpan w:val="3"/>
          </w:tcPr>
          <w:p w14:paraId="0704B1E2">
            <w:pPr>
              <w:pStyle w:val="261"/>
              <w:rPr>
                <w:rFonts w:ascii="Times New Roman"/>
                <w:sz w:val="20"/>
              </w:rPr>
            </w:pPr>
          </w:p>
        </w:tc>
        <w:tc>
          <w:tcPr>
            <w:tcW w:w="1077" w:type="dxa"/>
          </w:tcPr>
          <w:p w14:paraId="72EF681A">
            <w:pPr>
              <w:pStyle w:val="261"/>
              <w:spacing w:before="142"/>
              <w:ind w:left="98" w:right="86"/>
              <w:jc w:val="center"/>
            </w:pPr>
            <w:r>
              <w:t>电 话</w:t>
            </w:r>
          </w:p>
        </w:tc>
        <w:tc>
          <w:tcPr>
            <w:tcW w:w="2703" w:type="dxa"/>
            <w:gridSpan w:val="3"/>
          </w:tcPr>
          <w:p w14:paraId="34CE8596">
            <w:pPr>
              <w:pStyle w:val="261"/>
              <w:rPr>
                <w:rFonts w:ascii="Times New Roman"/>
                <w:sz w:val="20"/>
              </w:rPr>
            </w:pPr>
          </w:p>
        </w:tc>
      </w:tr>
      <w:tr w14:paraId="3417C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vMerge w:val="continue"/>
            <w:tcBorders>
              <w:top w:val="nil"/>
            </w:tcBorders>
          </w:tcPr>
          <w:p w14:paraId="5764E1FC">
            <w:pPr>
              <w:rPr>
                <w:sz w:val="2"/>
                <w:szCs w:val="2"/>
              </w:rPr>
            </w:pPr>
          </w:p>
        </w:tc>
        <w:tc>
          <w:tcPr>
            <w:tcW w:w="901" w:type="dxa"/>
          </w:tcPr>
          <w:p w14:paraId="4995FFA7">
            <w:pPr>
              <w:pStyle w:val="261"/>
              <w:tabs>
                <w:tab w:val="left" w:pos="434"/>
              </w:tabs>
              <w:spacing w:before="142"/>
              <w:ind w:left="11"/>
              <w:jc w:val="center"/>
            </w:pPr>
            <w:r>
              <w:t>传</w:t>
            </w:r>
            <w:r>
              <w:tab/>
            </w:r>
            <w:r>
              <w:t>真</w:t>
            </w:r>
          </w:p>
        </w:tc>
        <w:tc>
          <w:tcPr>
            <w:tcW w:w="2340" w:type="dxa"/>
            <w:gridSpan w:val="3"/>
          </w:tcPr>
          <w:p w14:paraId="5ECAF9D6">
            <w:pPr>
              <w:pStyle w:val="261"/>
              <w:rPr>
                <w:rFonts w:ascii="Times New Roman"/>
                <w:sz w:val="20"/>
              </w:rPr>
            </w:pPr>
          </w:p>
        </w:tc>
        <w:tc>
          <w:tcPr>
            <w:tcW w:w="1077" w:type="dxa"/>
          </w:tcPr>
          <w:p w14:paraId="794B5927">
            <w:pPr>
              <w:pStyle w:val="261"/>
              <w:spacing w:before="142"/>
              <w:ind w:left="98" w:right="88"/>
              <w:jc w:val="center"/>
            </w:pPr>
            <w:r>
              <w:t>电子邮件</w:t>
            </w:r>
          </w:p>
        </w:tc>
        <w:tc>
          <w:tcPr>
            <w:tcW w:w="2703" w:type="dxa"/>
            <w:gridSpan w:val="3"/>
          </w:tcPr>
          <w:p w14:paraId="70E37AD6">
            <w:pPr>
              <w:pStyle w:val="261"/>
              <w:rPr>
                <w:rFonts w:ascii="Times New Roman"/>
                <w:sz w:val="20"/>
              </w:rPr>
            </w:pPr>
          </w:p>
        </w:tc>
      </w:tr>
      <w:tr w14:paraId="5FC6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0E3A9268">
            <w:pPr>
              <w:pStyle w:val="261"/>
              <w:spacing w:before="143"/>
              <w:ind w:left="426"/>
            </w:pPr>
            <w:r>
              <w:t>法定代表人</w:t>
            </w:r>
          </w:p>
        </w:tc>
        <w:tc>
          <w:tcPr>
            <w:tcW w:w="901" w:type="dxa"/>
          </w:tcPr>
          <w:p w14:paraId="4F60FEBA">
            <w:pPr>
              <w:pStyle w:val="261"/>
              <w:spacing w:before="143"/>
              <w:ind w:left="10"/>
              <w:jc w:val="center"/>
            </w:pPr>
            <w:r>
              <w:t>姓名</w:t>
            </w:r>
          </w:p>
        </w:tc>
        <w:tc>
          <w:tcPr>
            <w:tcW w:w="1080" w:type="dxa"/>
          </w:tcPr>
          <w:p w14:paraId="3A861B10">
            <w:pPr>
              <w:pStyle w:val="261"/>
              <w:rPr>
                <w:rFonts w:ascii="Times New Roman"/>
                <w:sz w:val="20"/>
              </w:rPr>
            </w:pPr>
          </w:p>
        </w:tc>
        <w:tc>
          <w:tcPr>
            <w:tcW w:w="1260" w:type="dxa"/>
            <w:gridSpan w:val="2"/>
          </w:tcPr>
          <w:p w14:paraId="648704DF">
            <w:pPr>
              <w:pStyle w:val="261"/>
              <w:spacing w:before="143"/>
              <w:ind w:left="208"/>
            </w:pPr>
            <w:r>
              <w:t>技术职称</w:t>
            </w:r>
          </w:p>
        </w:tc>
        <w:tc>
          <w:tcPr>
            <w:tcW w:w="1077" w:type="dxa"/>
          </w:tcPr>
          <w:p w14:paraId="66C917BF">
            <w:pPr>
              <w:pStyle w:val="261"/>
              <w:rPr>
                <w:rFonts w:ascii="Times New Roman"/>
                <w:sz w:val="20"/>
              </w:rPr>
            </w:pPr>
          </w:p>
        </w:tc>
        <w:tc>
          <w:tcPr>
            <w:tcW w:w="1082" w:type="dxa"/>
            <w:gridSpan w:val="2"/>
          </w:tcPr>
          <w:p w14:paraId="1D57DAB5">
            <w:pPr>
              <w:pStyle w:val="261"/>
              <w:spacing w:before="143"/>
              <w:ind w:left="331"/>
            </w:pPr>
            <w:r>
              <w:t>电话</w:t>
            </w:r>
          </w:p>
        </w:tc>
        <w:tc>
          <w:tcPr>
            <w:tcW w:w="1621" w:type="dxa"/>
          </w:tcPr>
          <w:p w14:paraId="4D312F8B">
            <w:pPr>
              <w:pStyle w:val="261"/>
              <w:rPr>
                <w:rFonts w:ascii="Times New Roman"/>
                <w:sz w:val="20"/>
              </w:rPr>
            </w:pPr>
          </w:p>
        </w:tc>
      </w:tr>
      <w:tr w14:paraId="3030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429D7779">
            <w:pPr>
              <w:pStyle w:val="261"/>
              <w:spacing w:before="142"/>
              <w:ind w:left="426"/>
            </w:pPr>
            <w:r>
              <w:t>技术负责人</w:t>
            </w:r>
          </w:p>
        </w:tc>
        <w:tc>
          <w:tcPr>
            <w:tcW w:w="901" w:type="dxa"/>
          </w:tcPr>
          <w:p w14:paraId="0DA78C3C">
            <w:pPr>
              <w:pStyle w:val="261"/>
              <w:spacing w:before="142"/>
              <w:ind w:left="10"/>
              <w:jc w:val="center"/>
            </w:pPr>
            <w:r>
              <w:t>姓名</w:t>
            </w:r>
          </w:p>
        </w:tc>
        <w:tc>
          <w:tcPr>
            <w:tcW w:w="1080" w:type="dxa"/>
          </w:tcPr>
          <w:p w14:paraId="14A342BD">
            <w:pPr>
              <w:pStyle w:val="261"/>
              <w:rPr>
                <w:rFonts w:ascii="Times New Roman"/>
                <w:sz w:val="20"/>
              </w:rPr>
            </w:pPr>
          </w:p>
        </w:tc>
        <w:tc>
          <w:tcPr>
            <w:tcW w:w="1260" w:type="dxa"/>
            <w:gridSpan w:val="2"/>
          </w:tcPr>
          <w:p w14:paraId="2E883031">
            <w:pPr>
              <w:pStyle w:val="261"/>
              <w:spacing w:before="142"/>
              <w:ind w:left="208"/>
            </w:pPr>
            <w:r>
              <w:t>技术职称</w:t>
            </w:r>
          </w:p>
        </w:tc>
        <w:tc>
          <w:tcPr>
            <w:tcW w:w="1077" w:type="dxa"/>
          </w:tcPr>
          <w:p w14:paraId="475E267D">
            <w:pPr>
              <w:pStyle w:val="261"/>
              <w:rPr>
                <w:rFonts w:ascii="Times New Roman"/>
                <w:sz w:val="20"/>
              </w:rPr>
            </w:pPr>
          </w:p>
        </w:tc>
        <w:tc>
          <w:tcPr>
            <w:tcW w:w="1082" w:type="dxa"/>
            <w:gridSpan w:val="2"/>
          </w:tcPr>
          <w:p w14:paraId="031E3A57">
            <w:pPr>
              <w:pStyle w:val="261"/>
              <w:spacing w:before="142"/>
              <w:ind w:left="331"/>
            </w:pPr>
            <w:r>
              <w:t>电话</w:t>
            </w:r>
          </w:p>
        </w:tc>
        <w:tc>
          <w:tcPr>
            <w:tcW w:w="1621" w:type="dxa"/>
          </w:tcPr>
          <w:p w14:paraId="64669B74">
            <w:pPr>
              <w:pStyle w:val="261"/>
              <w:rPr>
                <w:rFonts w:ascii="Times New Roman"/>
                <w:sz w:val="20"/>
              </w:rPr>
            </w:pPr>
          </w:p>
        </w:tc>
      </w:tr>
      <w:tr w14:paraId="7802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5F98AFC0">
            <w:pPr>
              <w:pStyle w:val="261"/>
              <w:spacing w:before="142"/>
              <w:jc w:val="center"/>
            </w:pPr>
            <w:r>
              <w:t>企业</w:t>
            </w:r>
            <w:r>
              <w:rPr>
                <w:rFonts w:hint="eastAsia"/>
              </w:rPr>
              <w:t>监理</w:t>
            </w:r>
            <w:r>
              <w:t>资质</w:t>
            </w:r>
            <w:r>
              <w:rPr>
                <w:rFonts w:hint="eastAsia"/>
              </w:rPr>
              <w:t>证书</w:t>
            </w:r>
          </w:p>
        </w:tc>
        <w:tc>
          <w:tcPr>
            <w:tcW w:w="7021" w:type="dxa"/>
            <w:gridSpan w:val="8"/>
          </w:tcPr>
          <w:p w14:paraId="0D076A57">
            <w:pPr>
              <w:pStyle w:val="261"/>
              <w:rPr>
                <w:rFonts w:ascii="Times New Roman"/>
                <w:sz w:val="20"/>
              </w:rPr>
            </w:pPr>
            <w:r>
              <w:rPr>
                <w:rFonts w:hint="eastAsia" w:ascii="Times New Roman"/>
                <w:sz w:val="20"/>
              </w:rPr>
              <w:t xml:space="preserve">  类型：    等级：    证书号：               </w:t>
            </w:r>
          </w:p>
        </w:tc>
      </w:tr>
      <w:tr w14:paraId="542B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2C1C755A">
            <w:pPr>
              <w:pStyle w:val="261"/>
              <w:spacing w:before="142"/>
              <w:ind w:left="426"/>
            </w:pPr>
            <w:r>
              <w:t>营业执照号</w:t>
            </w:r>
          </w:p>
        </w:tc>
        <w:tc>
          <w:tcPr>
            <w:tcW w:w="1981" w:type="dxa"/>
            <w:gridSpan w:val="2"/>
            <w:tcBorders>
              <w:bottom w:val="single" w:color="auto" w:sz="4" w:space="0"/>
            </w:tcBorders>
          </w:tcPr>
          <w:p w14:paraId="2331AA8B">
            <w:pPr>
              <w:pStyle w:val="261"/>
              <w:rPr>
                <w:rFonts w:ascii="Times New Roman"/>
                <w:sz w:val="20"/>
              </w:rPr>
            </w:pPr>
          </w:p>
        </w:tc>
        <w:tc>
          <w:tcPr>
            <w:tcW w:w="5040" w:type="dxa"/>
            <w:gridSpan w:val="6"/>
            <w:tcBorders>
              <w:bottom w:val="single" w:color="auto" w:sz="4" w:space="0"/>
            </w:tcBorders>
          </w:tcPr>
          <w:p w14:paraId="444F6580">
            <w:pPr>
              <w:pStyle w:val="261"/>
              <w:spacing w:before="142"/>
              <w:ind w:left="1922" w:right="1807"/>
              <w:jc w:val="center"/>
            </w:pPr>
            <w:r>
              <w:t>员工总人数：</w:t>
            </w:r>
          </w:p>
        </w:tc>
      </w:tr>
      <w:tr w14:paraId="3D25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266821D7">
            <w:pPr>
              <w:pStyle w:val="261"/>
              <w:spacing w:before="142"/>
              <w:ind w:left="532"/>
            </w:pPr>
            <w:r>
              <w:t>注册资本</w:t>
            </w:r>
          </w:p>
        </w:tc>
        <w:tc>
          <w:tcPr>
            <w:tcW w:w="1981" w:type="dxa"/>
            <w:gridSpan w:val="2"/>
          </w:tcPr>
          <w:p w14:paraId="77B0E8DB">
            <w:pPr>
              <w:pStyle w:val="261"/>
              <w:rPr>
                <w:rFonts w:ascii="Times New Roman"/>
                <w:sz w:val="20"/>
              </w:rPr>
            </w:pPr>
          </w:p>
        </w:tc>
        <w:tc>
          <w:tcPr>
            <w:tcW w:w="528" w:type="dxa"/>
            <w:vMerge w:val="restart"/>
            <w:tcBorders>
              <w:top w:val="single" w:color="auto" w:sz="4" w:space="0"/>
            </w:tcBorders>
          </w:tcPr>
          <w:p w14:paraId="4BC293A1">
            <w:pPr>
              <w:pStyle w:val="261"/>
              <w:spacing w:before="4"/>
              <w:rPr>
                <w:rFonts w:ascii="黑体"/>
                <w:sz w:val="24"/>
              </w:rPr>
            </w:pPr>
          </w:p>
          <w:p w14:paraId="2E21556C">
            <w:pPr>
              <w:pStyle w:val="261"/>
              <w:spacing w:line="391" w:lineRule="auto"/>
              <w:ind w:left="157" w:right="147"/>
              <w:rPr>
                <w:sz w:val="2"/>
                <w:szCs w:val="2"/>
              </w:rPr>
            </w:pPr>
            <w:r>
              <w:t>其中</w:t>
            </w:r>
          </w:p>
        </w:tc>
        <w:tc>
          <w:tcPr>
            <w:tcW w:w="1991" w:type="dxa"/>
            <w:gridSpan w:val="3"/>
          </w:tcPr>
          <w:p w14:paraId="0ECEE607">
            <w:pPr>
              <w:pStyle w:val="261"/>
              <w:spacing w:before="142"/>
              <w:ind w:left="364"/>
            </w:pPr>
            <w:r>
              <w:t>高级职称人员</w:t>
            </w:r>
          </w:p>
        </w:tc>
        <w:tc>
          <w:tcPr>
            <w:tcW w:w="2521" w:type="dxa"/>
            <w:gridSpan w:val="2"/>
          </w:tcPr>
          <w:p w14:paraId="2BC238F2">
            <w:pPr>
              <w:pStyle w:val="261"/>
              <w:rPr>
                <w:rFonts w:ascii="Times New Roman"/>
                <w:sz w:val="20"/>
              </w:rPr>
            </w:pPr>
          </w:p>
        </w:tc>
      </w:tr>
      <w:tr w14:paraId="23EF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764753C3">
            <w:pPr>
              <w:pStyle w:val="261"/>
              <w:spacing w:before="142"/>
              <w:ind w:left="532"/>
            </w:pPr>
            <w:r>
              <w:t>成立日期</w:t>
            </w:r>
          </w:p>
        </w:tc>
        <w:tc>
          <w:tcPr>
            <w:tcW w:w="1981" w:type="dxa"/>
            <w:gridSpan w:val="2"/>
          </w:tcPr>
          <w:p w14:paraId="4543D23E">
            <w:pPr>
              <w:pStyle w:val="261"/>
              <w:rPr>
                <w:rFonts w:ascii="Times New Roman"/>
                <w:sz w:val="20"/>
              </w:rPr>
            </w:pPr>
          </w:p>
        </w:tc>
        <w:tc>
          <w:tcPr>
            <w:tcW w:w="528" w:type="dxa"/>
            <w:vMerge w:val="continue"/>
            <w:tcBorders>
              <w:top w:val="nil"/>
            </w:tcBorders>
          </w:tcPr>
          <w:p w14:paraId="1CADEFB7">
            <w:pPr>
              <w:rPr>
                <w:sz w:val="2"/>
                <w:szCs w:val="2"/>
              </w:rPr>
            </w:pPr>
          </w:p>
        </w:tc>
        <w:tc>
          <w:tcPr>
            <w:tcW w:w="1991" w:type="dxa"/>
            <w:gridSpan w:val="3"/>
          </w:tcPr>
          <w:p w14:paraId="5E6AAC95">
            <w:pPr>
              <w:pStyle w:val="261"/>
              <w:spacing w:before="142"/>
              <w:ind w:left="364"/>
            </w:pPr>
            <w:r>
              <w:t>中级职称人员</w:t>
            </w:r>
          </w:p>
        </w:tc>
        <w:tc>
          <w:tcPr>
            <w:tcW w:w="2521" w:type="dxa"/>
            <w:gridSpan w:val="2"/>
          </w:tcPr>
          <w:p w14:paraId="2105CD26">
            <w:pPr>
              <w:pStyle w:val="261"/>
              <w:rPr>
                <w:rFonts w:ascii="Times New Roman"/>
                <w:sz w:val="20"/>
              </w:rPr>
            </w:pPr>
          </w:p>
        </w:tc>
      </w:tr>
      <w:tr w14:paraId="2E66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60553AA4">
            <w:pPr>
              <w:pStyle w:val="261"/>
              <w:spacing w:before="142"/>
              <w:ind w:right="100"/>
              <w:jc w:val="right"/>
            </w:pPr>
            <w:r>
              <w:t>基本账户开户银行</w:t>
            </w:r>
          </w:p>
        </w:tc>
        <w:tc>
          <w:tcPr>
            <w:tcW w:w="1981" w:type="dxa"/>
            <w:gridSpan w:val="2"/>
          </w:tcPr>
          <w:p w14:paraId="3E330257">
            <w:pPr>
              <w:pStyle w:val="261"/>
              <w:rPr>
                <w:rFonts w:ascii="Times New Roman"/>
                <w:sz w:val="20"/>
              </w:rPr>
            </w:pPr>
          </w:p>
        </w:tc>
        <w:tc>
          <w:tcPr>
            <w:tcW w:w="528" w:type="dxa"/>
            <w:vMerge w:val="continue"/>
            <w:tcBorders>
              <w:top w:val="nil"/>
            </w:tcBorders>
          </w:tcPr>
          <w:p w14:paraId="1864EA81">
            <w:pPr>
              <w:rPr>
                <w:sz w:val="2"/>
                <w:szCs w:val="2"/>
              </w:rPr>
            </w:pPr>
          </w:p>
        </w:tc>
        <w:tc>
          <w:tcPr>
            <w:tcW w:w="1991" w:type="dxa"/>
            <w:gridSpan w:val="3"/>
          </w:tcPr>
          <w:p w14:paraId="50FEE964">
            <w:pPr>
              <w:pStyle w:val="261"/>
              <w:spacing w:before="142"/>
              <w:ind w:left="364"/>
            </w:pPr>
            <w:r>
              <w:rPr>
                <w:rFonts w:hint="eastAsia"/>
              </w:rPr>
              <w:t>技术人员数量</w:t>
            </w:r>
          </w:p>
        </w:tc>
        <w:tc>
          <w:tcPr>
            <w:tcW w:w="2521" w:type="dxa"/>
            <w:gridSpan w:val="2"/>
          </w:tcPr>
          <w:p w14:paraId="1EC39F79">
            <w:pPr>
              <w:pStyle w:val="261"/>
              <w:rPr>
                <w:rFonts w:ascii="Times New Roman"/>
                <w:sz w:val="20"/>
              </w:rPr>
            </w:pPr>
          </w:p>
        </w:tc>
      </w:tr>
      <w:tr w14:paraId="16C2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37328442">
            <w:pPr>
              <w:pStyle w:val="261"/>
              <w:spacing w:before="143"/>
              <w:ind w:right="103"/>
              <w:jc w:val="right"/>
            </w:pPr>
            <w:r>
              <w:t>基本账户银行账号</w:t>
            </w:r>
          </w:p>
        </w:tc>
        <w:tc>
          <w:tcPr>
            <w:tcW w:w="1981" w:type="dxa"/>
            <w:gridSpan w:val="2"/>
          </w:tcPr>
          <w:p w14:paraId="4A644122">
            <w:pPr>
              <w:pStyle w:val="261"/>
              <w:rPr>
                <w:rFonts w:ascii="Times New Roman"/>
                <w:sz w:val="20"/>
              </w:rPr>
            </w:pPr>
          </w:p>
        </w:tc>
        <w:tc>
          <w:tcPr>
            <w:tcW w:w="528" w:type="dxa"/>
            <w:vMerge w:val="continue"/>
            <w:tcBorders>
              <w:top w:val="nil"/>
            </w:tcBorders>
          </w:tcPr>
          <w:p w14:paraId="4F0D4A3A">
            <w:pPr>
              <w:rPr>
                <w:sz w:val="2"/>
                <w:szCs w:val="2"/>
              </w:rPr>
            </w:pPr>
          </w:p>
        </w:tc>
        <w:tc>
          <w:tcPr>
            <w:tcW w:w="1991" w:type="dxa"/>
            <w:gridSpan w:val="3"/>
            <w:vAlign w:val="center"/>
          </w:tcPr>
          <w:p w14:paraId="38DAE219">
            <w:pPr>
              <w:jc w:val="center"/>
            </w:pPr>
            <w:r>
              <w:rPr>
                <w:rFonts w:hint="eastAsia"/>
                <w:kern w:val="0"/>
              </w:rPr>
              <w:t>各类注册人员</w:t>
            </w:r>
          </w:p>
        </w:tc>
        <w:tc>
          <w:tcPr>
            <w:tcW w:w="2521" w:type="dxa"/>
            <w:gridSpan w:val="2"/>
          </w:tcPr>
          <w:p w14:paraId="6A1B4A00">
            <w:pPr>
              <w:pStyle w:val="261"/>
              <w:rPr>
                <w:rFonts w:ascii="Times New Roman"/>
                <w:sz w:val="20"/>
              </w:rPr>
            </w:pPr>
          </w:p>
        </w:tc>
      </w:tr>
      <w:tr w14:paraId="5C83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7BB23820">
            <w:pPr>
              <w:pStyle w:val="261"/>
              <w:ind w:left="638"/>
            </w:pPr>
            <w:r>
              <w:t>经营范围</w:t>
            </w:r>
          </w:p>
        </w:tc>
        <w:tc>
          <w:tcPr>
            <w:tcW w:w="7021" w:type="dxa"/>
            <w:gridSpan w:val="8"/>
          </w:tcPr>
          <w:p w14:paraId="6BA8600F">
            <w:pPr>
              <w:pStyle w:val="261"/>
              <w:rPr>
                <w:rFonts w:ascii="Times New Roman"/>
                <w:sz w:val="20"/>
              </w:rPr>
            </w:pPr>
          </w:p>
        </w:tc>
      </w:tr>
      <w:tr w14:paraId="6ACA0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exact"/>
          <w:jc w:val="center"/>
        </w:trPr>
        <w:tc>
          <w:tcPr>
            <w:tcW w:w="1908" w:type="dxa"/>
            <w:vAlign w:val="center"/>
          </w:tcPr>
          <w:p w14:paraId="10C4E1B5">
            <w:pPr>
              <w:pStyle w:val="263"/>
              <w:jc w:val="center"/>
              <w:rPr>
                <w:szCs w:val="19"/>
                <w:lang w:val="zh-CN"/>
              </w:rPr>
            </w:pPr>
            <w:r>
              <w:rPr>
                <w:rFonts w:hint="eastAsia"/>
                <w:szCs w:val="19"/>
                <w:lang w:val="zh-CN"/>
              </w:rPr>
              <w:t>投资参股的关联企业情况</w:t>
            </w:r>
          </w:p>
        </w:tc>
        <w:tc>
          <w:tcPr>
            <w:tcW w:w="7021" w:type="dxa"/>
            <w:gridSpan w:val="8"/>
            <w:vAlign w:val="center"/>
          </w:tcPr>
          <w:p w14:paraId="64DEB55C">
            <w:pPr>
              <w:pStyle w:val="263"/>
              <w:rPr>
                <w:b/>
                <w:szCs w:val="19"/>
                <w:lang w:val="zh-CN"/>
              </w:rPr>
            </w:pPr>
          </w:p>
        </w:tc>
      </w:tr>
      <w:tr w14:paraId="4D39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908" w:type="dxa"/>
          </w:tcPr>
          <w:p w14:paraId="3219F5F9">
            <w:pPr>
              <w:pStyle w:val="261"/>
              <w:spacing w:before="142"/>
              <w:ind w:left="724" w:right="713"/>
              <w:jc w:val="center"/>
            </w:pPr>
            <w:r>
              <w:t>备注</w:t>
            </w:r>
          </w:p>
        </w:tc>
        <w:tc>
          <w:tcPr>
            <w:tcW w:w="7021" w:type="dxa"/>
            <w:gridSpan w:val="8"/>
          </w:tcPr>
          <w:p w14:paraId="058D4E29">
            <w:pPr>
              <w:pStyle w:val="261"/>
              <w:rPr>
                <w:rFonts w:ascii="Times New Roman"/>
                <w:sz w:val="20"/>
              </w:rPr>
            </w:pPr>
          </w:p>
        </w:tc>
      </w:tr>
    </w:tbl>
    <w:p w14:paraId="0D6D7D10">
      <w:pPr>
        <w:pStyle w:val="2"/>
      </w:pPr>
      <w:r>
        <w:br w:type="page"/>
      </w:r>
    </w:p>
    <w:p w14:paraId="340C6B46">
      <w:pPr>
        <w:pStyle w:val="5"/>
        <w:tabs>
          <w:tab w:val="center" w:pos="4479"/>
          <w:tab w:val="left" w:pos="8190"/>
        </w:tabs>
        <w:jc w:val="center"/>
        <w:rPr>
          <w:rFonts w:ascii="宋体" w:hAnsi="宋体"/>
        </w:rPr>
      </w:pPr>
      <w:bookmarkStart w:id="698" w:name="_Toc534107371"/>
      <w:bookmarkStart w:id="699" w:name="_Toc527397786"/>
      <w:bookmarkStart w:id="700" w:name="_Toc32464"/>
      <w:bookmarkStart w:id="701" w:name="_Toc404156552"/>
      <w:bookmarkStart w:id="702" w:name="_Toc167311836"/>
      <w:r>
        <w:rPr>
          <w:rFonts w:hint="eastAsia" w:ascii="宋体" w:hAnsi="宋体"/>
        </w:rPr>
        <w:t>六、</w:t>
      </w:r>
      <w:bookmarkEnd w:id="698"/>
      <w:bookmarkEnd w:id="699"/>
      <w:bookmarkEnd w:id="700"/>
      <w:bookmarkEnd w:id="701"/>
      <w:r>
        <w:rPr>
          <w:rFonts w:hint="eastAsia" w:ascii="宋体" w:hAnsi="宋体"/>
        </w:rPr>
        <w:t>保证金交付证明</w:t>
      </w:r>
      <w:bookmarkEnd w:id="702"/>
    </w:p>
    <w:p w14:paraId="49C038BB">
      <w:pPr>
        <w:jc w:val="center"/>
        <w:rPr>
          <w:sz w:val="28"/>
          <w:szCs w:val="28"/>
        </w:rPr>
      </w:pPr>
      <w:bookmarkStart w:id="703" w:name="_Toc527397787"/>
      <w:bookmarkStart w:id="704" w:name="_Toc2374"/>
      <w:bookmarkStart w:id="705" w:name="_Toc2483"/>
      <w:bookmarkStart w:id="706" w:name="_Toc534107372"/>
      <w:bookmarkStart w:id="707" w:name="_Toc395200033"/>
      <w:r>
        <w:rPr>
          <w:sz w:val="28"/>
          <w:szCs w:val="28"/>
        </w:rPr>
        <w:t>投标人应在</w:t>
      </w:r>
      <w:r>
        <w:rPr>
          <w:rFonts w:hint="eastAsia"/>
          <w:sz w:val="28"/>
          <w:szCs w:val="28"/>
        </w:rPr>
        <w:t>附投标保证金凭证及开户许可证（或基本存款账户信息）复印件</w:t>
      </w:r>
      <w:r>
        <w:rPr>
          <w:sz w:val="28"/>
          <w:szCs w:val="28"/>
        </w:rPr>
        <w:t>。</w:t>
      </w:r>
      <w:r>
        <w:rPr>
          <w:rFonts w:hint="eastAsia"/>
          <w:sz w:val="28"/>
          <w:szCs w:val="28"/>
        </w:rPr>
        <w:t>符合条件的可以</w:t>
      </w:r>
      <w:r>
        <w:rPr>
          <w:sz w:val="28"/>
          <w:szCs w:val="28"/>
        </w:rPr>
        <w:t>用</w:t>
      </w:r>
      <w:r>
        <w:rPr>
          <w:rFonts w:hint="eastAsia"/>
          <w:sz w:val="28"/>
          <w:szCs w:val="28"/>
        </w:rPr>
        <w:t>投标承诺函（见下表）</w:t>
      </w:r>
      <w:r>
        <w:rPr>
          <w:sz w:val="28"/>
          <w:szCs w:val="28"/>
        </w:rPr>
        <w:t>代替</w:t>
      </w:r>
      <w:r>
        <w:rPr>
          <w:rFonts w:hint="eastAsia"/>
          <w:sz w:val="28"/>
          <w:szCs w:val="28"/>
        </w:rPr>
        <w:t>。</w:t>
      </w:r>
    </w:p>
    <w:p w14:paraId="05C33E8B">
      <w:pPr>
        <w:jc w:val="center"/>
        <w:rPr>
          <w:rFonts w:ascii="黑体" w:hAnsi="黑体" w:cs="宋体"/>
          <w:kern w:val="0"/>
          <w:sz w:val="44"/>
          <w:szCs w:val="44"/>
        </w:rPr>
      </w:pPr>
      <w:r>
        <w:rPr>
          <w:sz w:val="28"/>
          <w:szCs w:val="28"/>
        </w:rPr>
        <w:br w:type="page"/>
      </w:r>
      <w:r>
        <w:rPr>
          <w:rFonts w:hint="eastAsia" w:ascii="黑体" w:hAnsi="黑体" w:cs="宋体"/>
          <w:kern w:val="0"/>
          <w:sz w:val="44"/>
          <w:szCs w:val="44"/>
        </w:rPr>
        <w:t>投标承诺函</w:t>
      </w:r>
    </w:p>
    <w:p w14:paraId="6D658CED">
      <w:pPr>
        <w:widowControl/>
        <w:adjustRightInd w:val="0"/>
        <w:snapToGrid w:val="0"/>
        <w:spacing w:after="200"/>
        <w:jc w:val="left"/>
        <w:rPr>
          <w:rFonts w:ascii="仿宋" w:hAnsi="仿宋" w:eastAsia="仿宋" w:cs="宋体"/>
          <w:kern w:val="0"/>
          <w:sz w:val="32"/>
          <w:szCs w:val="32"/>
        </w:rPr>
      </w:pPr>
    </w:p>
    <w:p w14:paraId="1A786EA7">
      <w:pPr>
        <w:widowControl/>
        <w:adjustRightInd w:val="0"/>
        <w:snapToGrid w:val="0"/>
        <w:spacing w:after="200"/>
        <w:jc w:val="left"/>
        <w:rPr>
          <w:rFonts w:ascii="仿宋" w:hAnsi="仿宋" w:eastAsia="仿宋" w:cs="宋体"/>
          <w:kern w:val="0"/>
          <w:sz w:val="32"/>
          <w:szCs w:val="32"/>
        </w:rPr>
      </w:pPr>
      <w:r>
        <w:rPr>
          <w:rFonts w:hint="eastAsia" w:ascii="仿宋" w:hAnsi="仿宋" w:eastAsia="仿宋" w:cs="宋体"/>
          <w:kern w:val="0"/>
          <w:sz w:val="32"/>
          <w:szCs w:val="32"/>
        </w:rPr>
        <w:t xml:space="preserve">市场主体名称：                                    </w:t>
      </w:r>
    </w:p>
    <w:p w14:paraId="5C43320F">
      <w:pPr>
        <w:widowControl/>
        <w:adjustRightInd w:val="0"/>
        <w:snapToGrid w:val="0"/>
        <w:spacing w:after="200"/>
        <w:jc w:val="left"/>
        <w:rPr>
          <w:rFonts w:ascii="仿宋" w:hAnsi="仿宋" w:eastAsia="仿宋" w:cs="宋体"/>
          <w:kern w:val="0"/>
          <w:sz w:val="32"/>
          <w:szCs w:val="32"/>
        </w:rPr>
      </w:pPr>
      <w:r>
        <w:rPr>
          <w:rFonts w:hint="eastAsia" w:ascii="仿宋" w:hAnsi="仿宋" w:eastAsia="仿宋" w:cs="宋体"/>
          <w:kern w:val="0"/>
          <w:sz w:val="32"/>
          <w:szCs w:val="32"/>
        </w:rPr>
        <w:t xml:space="preserve">统一社会信用代码：                                </w:t>
      </w:r>
    </w:p>
    <w:p w14:paraId="3D2AD737">
      <w:pPr>
        <w:widowControl/>
        <w:adjustRightInd w:val="0"/>
        <w:snapToGrid w:val="0"/>
        <w:spacing w:after="200"/>
        <w:jc w:val="left"/>
        <w:rPr>
          <w:rFonts w:ascii="仿宋" w:hAnsi="仿宋" w:eastAsia="仿宋" w:cs="宋体"/>
          <w:kern w:val="0"/>
          <w:sz w:val="32"/>
          <w:szCs w:val="32"/>
        </w:rPr>
      </w:pPr>
      <w:r>
        <w:rPr>
          <w:rFonts w:hint="eastAsia" w:ascii="仿宋" w:hAnsi="仿宋" w:eastAsia="仿宋" w:cs="宋体"/>
          <w:kern w:val="0"/>
          <w:sz w:val="32"/>
          <w:szCs w:val="32"/>
        </w:rPr>
        <w:t xml:space="preserve">主管部门：                                         </w:t>
      </w:r>
    </w:p>
    <w:p w14:paraId="076D1630">
      <w:pPr>
        <w:widowControl/>
        <w:adjustRightInd w:val="0"/>
        <w:snapToGrid w:val="0"/>
        <w:spacing w:after="200"/>
        <w:ind w:firstLine="640" w:firstLineChars="200"/>
        <w:jc w:val="left"/>
        <w:rPr>
          <w:rFonts w:ascii="仿宋_GB2312" w:hAnsi="Tahoma" w:eastAsia="仿宋_GB2312"/>
          <w:kern w:val="0"/>
          <w:sz w:val="32"/>
          <w:szCs w:val="32"/>
        </w:rPr>
      </w:pPr>
    </w:p>
    <w:p w14:paraId="12EA6860">
      <w:pPr>
        <w:widowControl/>
        <w:spacing w:line="640" w:lineRule="atLeast"/>
        <w:ind w:firstLine="640"/>
        <w:jc w:val="left"/>
        <w:rPr>
          <w:rFonts w:ascii="仿宋" w:hAnsi="仿宋" w:eastAsia="仿宋" w:cs="宋体"/>
          <w:kern w:val="0"/>
          <w:sz w:val="32"/>
          <w:szCs w:val="32"/>
        </w:rPr>
      </w:pPr>
      <w:r>
        <w:rPr>
          <w:rFonts w:hint="eastAsia" w:ascii="仿宋" w:hAnsi="仿宋" w:eastAsia="仿宋" w:cs="宋体"/>
          <w:kern w:val="0"/>
          <w:sz w:val="32"/>
          <w:szCs w:val="32"/>
        </w:rPr>
        <w:t>本单位自愿作出如下承诺：</w:t>
      </w:r>
    </w:p>
    <w:p w14:paraId="2C4DAAAA">
      <w:pPr>
        <w:widowControl/>
        <w:spacing w:line="640" w:lineRule="atLeast"/>
        <w:ind w:firstLine="640"/>
        <w:jc w:val="left"/>
        <w:rPr>
          <w:rFonts w:ascii="仿宋" w:hAnsi="仿宋" w:eastAsia="仿宋" w:cs="宋体"/>
          <w:kern w:val="0"/>
          <w:sz w:val="32"/>
          <w:szCs w:val="32"/>
        </w:rPr>
      </w:pPr>
      <w:r>
        <w:rPr>
          <w:rFonts w:hint="eastAsia" w:ascii="仿宋" w:hAnsi="仿宋" w:eastAsia="仿宋" w:cs="宋体"/>
          <w:kern w:val="0"/>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14:paraId="7576F365">
      <w:pPr>
        <w:widowControl/>
        <w:adjustRightInd w:val="0"/>
        <w:snapToGrid w:val="0"/>
        <w:spacing w:after="200"/>
        <w:ind w:firstLine="640" w:firstLineChars="200"/>
        <w:jc w:val="left"/>
        <w:rPr>
          <w:rFonts w:ascii="仿宋" w:hAnsi="仿宋" w:eastAsia="仿宋" w:cs="宋体"/>
          <w:kern w:val="0"/>
          <w:sz w:val="32"/>
          <w:szCs w:val="32"/>
        </w:rPr>
      </w:pPr>
    </w:p>
    <w:p w14:paraId="1759FD77">
      <w:pPr>
        <w:widowControl/>
        <w:adjustRightInd w:val="0"/>
        <w:snapToGrid w:val="0"/>
        <w:spacing w:after="200"/>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授权委托人签字：</w:t>
      </w:r>
    </w:p>
    <w:p w14:paraId="61D57537">
      <w:pPr>
        <w:widowControl/>
        <w:adjustRightInd w:val="0"/>
        <w:snapToGrid w:val="0"/>
        <w:spacing w:after="200"/>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授权委托人联系电话：</w:t>
      </w:r>
    </w:p>
    <w:p w14:paraId="4F8D9029">
      <w:pPr>
        <w:widowControl/>
        <w:adjustRightInd w:val="0"/>
        <w:snapToGrid w:val="0"/>
        <w:spacing w:after="200"/>
        <w:ind w:firstLine="640" w:firstLineChars="200"/>
        <w:jc w:val="left"/>
        <w:rPr>
          <w:rFonts w:ascii="仿宋_GB2312" w:hAnsi="Tahoma" w:eastAsia="仿宋_GB2312"/>
          <w:kern w:val="0"/>
          <w:sz w:val="32"/>
          <w:szCs w:val="32"/>
        </w:rPr>
      </w:pPr>
    </w:p>
    <w:p w14:paraId="705BE1A1">
      <w:pPr>
        <w:widowControl/>
        <w:adjustRightInd w:val="0"/>
        <w:snapToGrid w:val="0"/>
        <w:spacing w:after="200"/>
        <w:ind w:firstLine="640" w:firstLineChars="200"/>
        <w:jc w:val="left"/>
        <w:rPr>
          <w:rFonts w:ascii="仿宋_GB2312" w:hAnsi="Tahoma" w:eastAsia="仿宋_GB2312"/>
          <w:kern w:val="0"/>
          <w:sz w:val="32"/>
          <w:szCs w:val="32"/>
        </w:rPr>
      </w:pPr>
      <w:r>
        <w:rPr>
          <w:rFonts w:hint="eastAsia" w:ascii="仿宋" w:hAnsi="仿宋" w:eastAsia="仿宋" w:cs="宋体"/>
          <w:kern w:val="0"/>
          <w:sz w:val="32"/>
          <w:szCs w:val="32"/>
        </w:rPr>
        <w:t xml:space="preserve">企业公章：           法人签字或盖章：     </w:t>
      </w:r>
      <w:r>
        <w:rPr>
          <w:rFonts w:hint="eastAsia" w:ascii="仿宋_GB2312" w:hAnsi="Tahoma" w:eastAsia="仿宋_GB2312"/>
          <w:kern w:val="0"/>
          <w:sz w:val="32"/>
          <w:szCs w:val="32"/>
        </w:rPr>
        <w:t xml:space="preserve">      </w:t>
      </w:r>
    </w:p>
    <w:p w14:paraId="6381901D"/>
    <w:p w14:paraId="1AED7959">
      <w:r>
        <w:br w:type="page"/>
      </w:r>
    </w:p>
    <w:p w14:paraId="3D09A39C">
      <w:pPr>
        <w:pStyle w:val="4"/>
        <w:jc w:val="center"/>
        <w:rPr>
          <w:rFonts w:ascii="宋体" w:hAnsi="宋体" w:eastAsia="宋体"/>
        </w:rPr>
      </w:pPr>
      <w:bookmarkStart w:id="708" w:name="_Toc167311837"/>
      <w:r>
        <w:rPr>
          <w:rFonts w:hint="eastAsia" w:ascii="宋体" w:hAnsi="宋体" w:eastAsia="宋体"/>
        </w:rPr>
        <w:t>第二部分  商务部分格式</w:t>
      </w:r>
      <w:bookmarkEnd w:id="703"/>
      <w:bookmarkEnd w:id="704"/>
      <w:bookmarkEnd w:id="705"/>
      <w:bookmarkEnd w:id="706"/>
      <w:bookmarkEnd w:id="707"/>
      <w:bookmarkEnd w:id="708"/>
    </w:p>
    <w:p w14:paraId="4A44ECAB">
      <w:pPr>
        <w:jc w:val="center"/>
        <w:rPr>
          <w:sz w:val="32"/>
        </w:rPr>
      </w:pPr>
      <w:r>
        <w:rPr>
          <w:rFonts w:hint="eastAsia"/>
        </w:rPr>
        <w:br w:type="page"/>
      </w:r>
      <w:bookmarkStart w:id="709" w:name="_Toc114980916"/>
    </w:p>
    <w:p w14:paraId="6BE97E91">
      <w:pPr>
        <w:pStyle w:val="5"/>
        <w:jc w:val="center"/>
        <w:rPr>
          <w:rFonts w:ascii="宋体" w:hAnsi="宋体"/>
        </w:rPr>
      </w:pPr>
      <w:bookmarkStart w:id="710" w:name="_Toc527397788"/>
      <w:bookmarkStart w:id="711" w:name="_Toc22706"/>
      <w:bookmarkStart w:id="712" w:name="_Toc9111"/>
      <w:bookmarkStart w:id="713" w:name="_Toc167311838"/>
      <w:bookmarkStart w:id="714" w:name="_Toc395200034"/>
      <w:bookmarkStart w:id="715" w:name="_Toc534107373"/>
      <w:r>
        <w:rPr>
          <w:rFonts w:hint="eastAsia" w:ascii="宋体" w:hAnsi="宋体"/>
        </w:rPr>
        <w:t>七、监理费报价及组成分析和说明</w:t>
      </w:r>
      <w:bookmarkEnd w:id="709"/>
      <w:bookmarkEnd w:id="710"/>
      <w:bookmarkEnd w:id="711"/>
      <w:bookmarkEnd w:id="712"/>
      <w:bookmarkEnd w:id="713"/>
      <w:bookmarkEnd w:id="714"/>
      <w:bookmarkEnd w:id="715"/>
    </w:p>
    <w:p w14:paraId="16A2E345">
      <w:pPr>
        <w:pStyle w:val="35"/>
      </w:pPr>
      <w:r>
        <w:rPr>
          <w:rFonts w:hint="eastAsia"/>
        </w:rPr>
        <w:t>说明资料主要包括投标单位应说明收费标准、计算基数和优惠条件及理由，以及投标人认为有必要提供的资料。说明格式不做统一规定，由投标人自行设计。</w:t>
      </w:r>
      <w:bookmarkStart w:id="716" w:name="_Toc395200035"/>
    </w:p>
    <w:p w14:paraId="4E798AA8">
      <w:pPr>
        <w:pStyle w:val="35"/>
      </w:pPr>
    </w:p>
    <w:p w14:paraId="7B35C317">
      <w:pPr>
        <w:pStyle w:val="35"/>
      </w:pPr>
    </w:p>
    <w:p w14:paraId="60980284">
      <w:pPr>
        <w:pStyle w:val="35"/>
      </w:pPr>
    </w:p>
    <w:p w14:paraId="2778A205">
      <w:pPr>
        <w:pStyle w:val="35"/>
      </w:pPr>
    </w:p>
    <w:p w14:paraId="054D3C0A">
      <w:pPr>
        <w:pStyle w:val="35"/>
      </w:pPr>
    </w:p>
    <w:p w14:paraId="4B9A3377">
      <w:pPr>
        <w:pStyle w:val="35"/>
      </w:pPr>
    </w:p>
    <w:p w14:paraId="76C73756">
      <w:pPr>
        <w:pStyle w:val="35"/>
      </w:pPr>
    </w:p>
    <w:p w14:paraId="08EAB528">
      <w:pPr>
        <w:pStyle w:val="35"/>
      </w:pPr>
    </w:p>
    <w:p w14:paraId="55F6E10B">
      <w:pPr>
        <w:pStyle w:val="35"/>
      </w:pPr>
    </w:p>
    <w:p w14:paraId="3340C4BF">
      <w:pPr>
        <w:pStyle w:val="35"/>
      </w:pPr>
    </w:p>
    <w:p w14:paraId="642CA371">
      <w:pPr>
        <w:pStyle w:val="35"/>
      </w:pPr>
    </w:p>
    <w:p w14:paraId="17E794E3">
      <w:pPr>
        <w:pStyle w:val="35"/>
      </w:pPr>
    </w:p>
    <w:p w14:paraId="31446C4D">
      <w:pPr>
        <w:pStyle w:val="35"/>
      </w:pPr>
    </w:p>
    <w:p w14:paraId="5CB44E20">
      <w:pPr>
        <w:pStyle w:val="35"/>
      </w:pPr>
    </w:p>
    <w:p w14:paraId="4BDEB459">
      <w:pPr>
        <w:pStyle w:val="35"/>
      </w:pPr>
    </w:p>
    <w:p w14:paraId="08F69628">
      <w:pPr>
        <w:pStyle w:val="35"/>
      </w:pPr>
    </w:p>
    <w:p w14:paraId="328CFA82">
      <w:pPr>
        <w:pStyle w:val="35"/>
      </w:pPr>
    </w:p>
    <w:p w14:paraId="43FEE45E">
      <w:pPr>
        <w:pStyle w:val="35"/>
      </w:pPr>
    </w:p>
    <w:p w14:paraId="40D8B2F5">
      <w:pPr>
        <w:pStyle w:val="35"/>
      </w:pPr>
    </w:p>
    <w:p w14:paraId="7E0D7F77">
      <w:pPr>
        <w:pStyle w:val="35"/>
      </w:pPr>
    </w:p>
    <w:p w14:paraId="48B1B610">
      <w:pPr>
        <w:pStyle w:val="35"/>
      </w:pPr>
    </w:p>
    <w:p w14:paraId="1B2C7CB9">
      <w:pPr>
        <w:pStyle w:val="35"/>
      </w:pPr>
    </w:p>
    <w:p w14:paraId="3E5E89D3">
      <w:pPr>
        <w:pStyle w:val="35"/>
      </w:pPr>
    </w:p>
    <w:p w14:paraId="2B979AF4">
      <w:pPr>
        <w:pStyle w:val="35"/>
      </w:pPr>
    </w:p>
    <w:p w14:paraId="5F083C80">
      <w:pPr>
        <w:pStyle w:val="35"/>
      </w:pPr>
    </w:p>
    <w:p w14:paraId="3B9BC372">
      <w:pPr>
        <w:pStyle w:val="35"/>
      </w:pPr>
    </w:p>
    <w:p w14:paraId="44914993">
      <w:pPr>
        <w:pStyle w:val="5"/>
        <w:ind w:firstLine="320" w:firstLineChars="100"/>
        <w:jc w:val="center"/>
        <w:rPr>
          <w:rFonts w:ascii="宋体" w:hAnsi="宋体"/>
        </w:rPr>
      </w:pPr>
      <w:bookmarkStart w:id="717" w:name="_Toc167311839"/>
      <w:bookmarkStart w:id="718" w:name="_Toc5477"/>
      <w:bookmarkStart w:id="719" w:name="_Toc51"/>
      <w:bookmarkStart w:id="720" w:name="_Toc534107374"/>
      <w:bookmarkStart w:id="721" w:name="_Toc527397789"/>
      <w:r>
        <w:rPr>
          <w:rFonts w:hint="eastAsia" w:ascii="宋体" w:hAnsi="宋体"/>
        </w:rPr>
        <w:t>八、项目监理机构配备情况</w:t>
      </w:r>
      <w:bookmarkEnd w:id="716"/>
      <w:bookmarkEnd w:id="717"/>
      <w:bookmarkEnd w:id="718"/>
      <w:bookmarkEnd w:id="719"/>
      <w:bookmarkEnd w:id="720"/>
      <w:bookmarkEnd w:id="721"/>
    </w:p>
    <w:p w14:paraId="41F77CE7">
      <w:pPr>
        <w:spacing w:line="500" w:lineRule="exact"/>
        <w:rPr>
          <w:rFonts w:ascii="宋体" w:hAnsi="宋体"/>
        </w:rPr>
      </w:pPr>
    </w:p>
    <w:p w14:paraId="7570706B">
      <w:pPr>
        <w:spacing w:line="500" w:lineRule="exact"/>
        <w:rPr>
          <w:rFonts w:ascii="宋体" w:hAnsi="宋体"/>
        </w:rPr>
      </w:pPr>
      <w:r>
        <w:rPr>
          <w:rFonts w:hint="eastAsia" w:ascii="宋体" w:hAnsi="宋体"/>
        </w:rPr>
        <w:t>1、项目监理人员一览表</w:t>
      </w:r>
    </w:p>
    <w:tbl>
      <w:tblPr>
        <w:tblStyle w:val="46"/>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596"/>
        <w:gridCol w:w="876"/>
        <w:gridCol w:w="1208"/>
        <w:gridCol w:w="2076"/>
        <w:gridCol w:w="1208"/>
      </w:tblGrid>
      <w:tr w14:paraId="31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A8962CF">
            <w:pPr>
              <w:spacing w:line="500" w:lineRule="exact"/>
              <w:jc w:val="center"/>
              <w:rPr>
                <w:rFonts w:ascii="宋体" w:hAnsi="宋体"/>
              </w:rPr>
            </w:pPr>
            <w:r>
              <w:rPr>
                <w:rFonts w:hint="eastAsia" w:ascii="宋体" w:hAnsi="宋体"/>
              </w:rPr>
              <w:t>姓名</w:t>
            </w:r>
          </w:p>
        </w:tc>
        <w:tc>
          <w:tcPr>
            <w:tcW w:w="876" w:type="dxa"/>
          </w:tcPr>
          <w:p w14:paraId="04E93F39">
            <w:pPr>
              <w:spacing w:line="500" w:lineRule="exact"/>
              <w:rPr>
                <w:rFonts w:ascii="宋体" w:hAnsi="宋体"/>
              </w:rPr>
            </w:pPr>
            <w:r>
              <w:rPr>
                <w:rFonts w:hint="eastAsia" w:ascii="宋体" w:hAnsi="宋体"/>
              </w:rPr>
              <w:t>性别</w:t>
            </w:r>
          </w:p>
        </w:tc>
        <w:tc>
          <w:tcPr>
            <w:tcW w:w="876" w:type="dxa"/>
          </w:tcPr>
          <w:p w14:paraId="4065E195">
            <w:pPr>
              <w:spacing w:line="500" w:lineRule="exact"/>
              <w:rPr>
                <w:rFonts w:ascii="宋体" w:hAnsi="宋体"/>
              </w:rPr>
            </w:pPr>
            <w:r>
              <w:rPr>
                <w:rFonts w:hint="eastAsia" w:ascii="宋体" w:hAnsi="宋体"/>
              </w:rPr>
              <w:t>年龄</w:t>
            </w:r>
          </w:p>
        </w:tc>
        <w:tc>
          <w:tcPr>
            <w:tcW w:w="1596" w:type="dxa"/>
          </w:tcPr>
          <w:p w14:paraId="49087AC8">
            <w:pPr>
              <w:spacing w:line="500" w:lineRule="exact"/>
              <w:rPr>
                <w:rFonts w:ascii="宋体" w:hAnsi="宋体"/>
              </w:rPr>
            </w:pPr>
            <w:r>
              <w:rPr>
                <w:rFonts w:hint="eastAsia" w:ascii="宋体" w:hAnsi="宋体"/>
              </w:rPr>
              <w:t>学历或职称</w:t>
            </w:r>
          </w:p>
        </w:tc>
        <w:tc>
          <w:tcPr>
            <w:tcW w:w="876" w:type="dxa"/>
          </w:tcPr>
          <w:p w14:paraId="0C5B0848">
            <w:pPr>
              <w:spacing w:line="500" w:lineRule="exact"/>
              <w:rPr>
                <w:rFonts w:ascii="宋体" w:hAnsi="宋体"/>
              </w:rPr>
            </w:pPr>
            <w:r>
              <w:rPr>
                <w:rFonts w:hint="eastAsia" w:ascii="宋体" w:hAnsi="宋体"/>
              </w:rPr>
              <w:t>专业</w:t>
            </w:r>
          </w:p>
        </w:tc>
        <w:tc>
          <w:tcPr>
            <w:tcW w:w="1208" w:type="dxa"/>
          </w:tcPr>
          <w:p w14:paraId="59B50910">
            <w:pPr>
              <w:spacing w:line="500" w:lineRule="exact"/>
              <w:rPr>
                <w:rFonts w:ascii="宋体" w:hAnsi="宋体"/>
              </w:rPr>
            </w:pPr>
            <w:r>
              <w:rPr>
                <w:rFonts w:hint="eastAsia" w:ascii="宋体" w:hAnsi="宋体"/>
              </w:rPr>
              <w:t>执业资格</w:t>
            </w:r>
          </w:p>
        </w:tc>
        <w:tc>
          <w:tcPr>
            <w:tcW w:w="2076" w:type="dxa"/>
          </w:tcPr>
          <w:p w14:paraId="50BA910B">
            <w:pPr>
              <w:spacing w:line="500" w:lineRule="exact"/>
              <w:rPr>
                <w:rFonts w:ascii="宋体" w:hAnsi="宋体"/>
              </w:rPr>
            </w:pPr>
            <w:r>
              <w:rPr>
                <w:rFonts w:hint="eastAsia" w:ascii="宋体" w:hAnsi="宋体"/>
              </w:rPr>
              <w:t>本次拟担任职务</w:t>
            </w:r>
          </w:p>
        </w:tc>
        <w:tc>
          <w:tcPr>
            <w:tcW w:w="1208" w:type="dxa"/>
          </w:tcPr>
          <w:p w14:paraId="5DCCBA4A">
            <w:pPr>
              <w:spacing w:line="500" w:lineRule="exact"/>
              <w:rPr>
                <w:rFonts w:ascii="宋体" w:hAnsi="宋体"/>
              </w:rPr>
            </w:pPr>
            <w:r>
              <w:rPr>
                <w:rFonts w:hint="eastAsia" w:ascii="宋体" w:hAnsi="宋体"/>
              </w:rPr>
              <w:t>备注</w:t>
            </w:r>
          </w:p>
        </w:tc>
      </w:tr>
      <w:tr w14:paraId="42C1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5CCDCD2">
            <w:pPr>
              <w:spacing w:line="500" w:lineRule="exact"/>
              <w:jc w:val="center"/>
              <w:rPr>
                <w:rFonts w:ascii="宋体" w:hAnsi="宋体"/>
              </w:rPr>
            </w:pPr>
          </w:p>
        </w:tc>
        <w:tc>
          <w:tcPr>
            <w:tcW w:w="876" w:type="dxa"/>
          </w:tcPr>
          <w:p w14:paraId="59BAB608">
            <w:pPr>
              <w:spacing w:line="500" w:lineRule="exact"/>
              <w:rPr>
                <w:rFonts w:ascii="宋体" w:hAnsi="宋体"/>
              </w:rPr>
            </w:pPr>
          </w:p>
        </w:tc>
        <w:tc>
          <w:tcPr>
            <w:tcW w:w="876" w:type="dxa"/>
          </w:tcPr>
          <w:p w14:paraId="222E0A6E">
            <w:pPr>
              <w:spacing w:line="500" w:lineRule="exact"/>
              <w:rPr>
                <w:rFonts w:ascii="宋体" w:hAnsi="宋体"/>
              </w:rPr>
            </w:pPr>
          </w:p>
        </w:tc>
        <w:tc>
          <w:tcPr>
            <w:tcW w:w="1596" w:type="dxa"/>
          </w:tcPr>
          <w:p w14:paraId="44DE64F8">
            <w:pPr>
              <w:spacing w:line="500" w:lineRule="exact"/>
              <w:rPr>
                <w:rFonts w:ascii="宋体" w:hAnsi="宋体"/>
              </w:rPr>
            </w:pPr>
          </w:p>
        </w:tc>
        <w:tc>
          <w:tcPr>
            <w:tcW w:w="876" w:type="dxa"/>
          </w:tcPr>
          <w:p w14:paraId="45BBC1D8">
            <w:pPr>
              <w:spacing w:line="500" w:lineRule="exact"/>
              <w:rPr>
                <w:rFonts w:ascii="宋体" w:hAnsi="宋体"/>
              </w:rPr>
            </w:pPr>
          </w:p>
        </w:tc>
        <w:tc>
          <w:tcPr>
            <w:tcW w:w="1208" w:type="dxa"/>
          </w:tcPr>
          <w:p w14:paraId="01697CBB">
            <w:pPr>
              <w:spacing w:line="500" w:lineRule="exact"/>
              <w:rPr>
                <w:rFonts w:ascii="宋体" w:hAnsi="宋体"/>
              </w:rPr>
            </w:pPr>
          </w:p>
        </w:tc>
        <w:tc>
          <w:tcPr>
            <w:tcW w:w="2076" w:type="dxa"/>
          </w:tcPr>
          <w:p w14:paraId="7A7013F5">
            <w:pPr>
              <w:spacing w:line="500" w:lineRule="exact"/>
              <w:rPr>
                <w:rFonts w:ascii="宋体" w:hAnsi="宋体"/>
              </w:rPr>
            </w:pPr>
          </w:p>
        </w:tc>
        <w:tc>
          <w:tcPr>
            <w:tcW w:w="1208" w:type="dxa"/>
          </w:tcPr>
          <w:p w14:paraId="03B1DCEA">
            <w:pPr>
              <w:spacing w:line="500" w:lineRule="exact"/>
              <w:rPr>
                <w:rFonts w:ascii="宋体" w:hAnsi="宋体"/>
              </w:rPr>
            </w:pPr>
          </w:p>
        </w:tc>
      </w:tr>
      <w:tr w14:paraId="4A9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0408625">
            <w:pPr>
              <w:spacing w:line="500" w:lineRule="exact"/>
              <w:jc w:val="center"/>
              <w:rPr>
                <w:rFonts w:ascii="宋体" w:hAnsi="宋体"/>
              </w:rPr>
            </w:pPr>
          </w:p>
        </w:tc>
        <w:tc>
          <w:tcPr>
            <w:tcW w:w="876" w:type="dxa"/>
          </w:tcPr>
          <w:p w14:paraId="10EA8CF7">
            <w:pPr>
              <w:spacing w:line="500" w:lineRule="exact"/>
              <w:rPr>
                <w:rFonts w:ascii="宋体" w:hAnsi="宋体"/>
              </w:rPr>
            </w:pPr>
          </w:p>
        </w:tc>
        <w:tc>
          <w:tcPr>
            <w:tcW w:w="876" w:type="dxa"/>
          </w:tcPr>
          <w:p w14:paraId="72F5D511">
            <w:pPr>
              <w:spacing w:line="500" w:lineRule="exact"/>
              <w:rPr>
                <w:rFonts w:ascii="宋体" w:hAnsi="宋体"/>
              </w:rPr>
            </w:pPr>
          </w:p>
        </w:tc>
        <w:tc>
          <w:tcPr>
            <w:tcW w:w="1596" w:type="dxa"/>
          </w:tcPr>
          <w:p w14:paraId="069F9B88">
            <w:pPr>
              <w:spacing w:line="500" w:lineRule="exact"/>
              <w:rPr>
                <w:rFonts w:ascii="宋体" w:hAnsi="宋体"/>
              </w:rPr>
            </w:pPr>
          </w:p>
        </w:tc>
        <w:tc>
          <w:tcPr>
            <w:tcW w:w="876" w:type="dxa"/>
          </w:tcPr>
          <w:p w14:paraId="034F7E1E">
            <w:pPr>
              <w:spacing w:line="500" w:lineRule="exact"/>
              <w:rPr>
                <w:rFonts w:ascii="宋体" w:hAnsi="宋体"/>
              </w:rPr>
            </w:pPr>
          </w:p>
        </w:tc>
        <w:tc>
          <w:tcPr>
            <w:tcW w:w="1208" w:type="dxa"/>
          </w:tcPr>
          <w:p w14:paraId="74E923AD">
            <w:pPr>
              <w:spacing w:line="500" w:lineRule="exact"/>
              <w:rPr>
                <w:rFonts w:ascii="宋体" w:hAnsi="宋体"/>
              </w:rPr>
            </w:pPr>
          </w:p>
        </w:tc>
        <w:tc>
          <w:tcPr>
            <w:tcW w:w="2076" w:type="dxa"/>
          </w:tcPr>
          <w:p w14:paraId="20D44FA6">
            <w:pPr>
              <w:spacing w:line="500" w:lineRule="exact"/>
              <w:rPr>
                <w:rFonts w:ascii="宋体" w:hAnsi="宋体"/>
              </w:rPr>
            </w:pPr>
          </w:p>
        </w:tc>
        <w:tc>
          <w:tcPr>
            <w:tcW w:w="1208" w:type="dxa"/>
          </w:tcPr>
          <w:p w14:paraId="35E05CDD">
            <w:pPr>
              <w:spacing w:line="500" w:lineRule="exact"/>
              <w:rPr>
                <w:rFonts w:ascii="宋体" w:hAnsi="宋体"/>
              </w:rPr>
            </w:pPr>
          </w:p>
        </w:tc>
      </w:tr>
      <w:tr w14:paraId="3F83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E8B3C21">
            <w:pPr>
              <w:spacing w:line="500" w:lineRule="exact"/>
              <w:jc w:val="center"/>
              <w:rPr>
                <w:rFonts w:ascii="宋体" w:hAnsi="宋体"/>
              </w:rPr>
            </w:pPr>
          </w:p>
        </w:tc>
        <w:tc>
          <w:tcPr>
            <w:tcW w:w="876" w:type="dxa"/>
          </w:tcPr>
          <w:p w14:paraId="626560AF">
            <w:pPr>
              <w:spacing w:line="500" w:lineRule="exact"/>
              <w:rPr>
                <w:rFonts w:ascii="宋体" w:hAnsi="宋体"/>
              </w:rPr>
            </w:pPr>
          </w:p>
        </w:tc>
        <w:tc>
          <w:tcPr>
            <w:tcW w:w="876" w:type="dxa"/>
          </w:tcPr>
          <w:p w14:paraId="04016DE9">
            <w:pPr>
              <w:spacing w:line="500" w:lineRule="exact"/>
              <w:rPr>
                <w:rFonts w:ascii="宋体" w:hAnsi="宋体"/>
              </w:rPr>
            </w:pPr>
          </w:p>
        </w:tc>
        <w:tc>
          <w:tcPr>
            <w:tcW w:w="1596" w:type="dxa"/>
          </w:tcPr>
          <w:p w14:paraId="44556BFB">
            <w:pPr>
              <w:spacing w:line="500" w:lineRule="exact"/>
              <w:rPr>
                <w:rFonts w:ascii="宋体" w:hAnsi="宋体"/>
              </w:rPr>
            </w:pPr>
          </w:p>
        </w:tc>
        <w:tc>
          <w:tcPr>
            <w:tcW w:w="876" w:type="dxa"/>
          </w:tcPr>
          <w:p w14:paraId="13007911">
            <w:pPr>
              <w:spacing w:line="500" w:lineRule="exact"/>
              <w:rPr>
                <w:rFonts w:ascii="宋体" w:hAnsi="宋体"/>
              </w:rPr>
            </w:pPr>
          </w:p>
        </w:tc>
        <w:tc>
          <w:tcPr>
            <w:tcW w:w="1208" w:type="dxa"/>
          </w:tcPr>
          <w:p w14:paraId="7C8DF77B">
            <w:pPr>
              <w:spacing w:line="500" w:lineRule="exact"/>
              <w:rPr>
                <w:rFonts w:ascii="宋体" w:hAnsi="宋体"/>
              </w:rPr>
            </w:pPr>
          </w:p>
        </w:tc>
        <w:tc>
          <w:tcPr>
            <w:tcW w:w="2076" w:type="dxa"/>
          </w:tcPr>
          <w:p w14:paraId="4B71A1F6">
            <w:pPr>
              <w:spacing w:line="500" w:lineRule="exact"/>
              <w:rPr>
                <w:rFonts w:ascii="宋体" w:hAnsi="宋体"/>
              </w:rPr>
            </w:pPr>
          </w:p>
        </w:tc>
        <w:tc>
          <w:tcPr>
            <w:tcW w:w="1208" w:type="dxa"/>
          </w:tcPr>
          <w:p w14:paraId="58F8683E">
            <w:pPr>
              <w:spacing w:line="500" w:lineRule="exact"/>
              <w:rPr>
                <w:rFonts w:ascii="宋体" w:hAnsi="宋体"/>
              </w:rPr>
            </w:pPr>
          </w:p>
        </w:tc>
      </w:tr>
      <w:tr w14:paraId="5C7D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5C19C38">
            <w:pPr>
              <w:spacing w:line="500" w:lineRule="exact"/>
              <w:jc w:val="center"/>
              <w:rPr>
                <w:rFonts w:ascii="宋体" w:hAnsi="宋体"/>
              </w:rPr>
            </w:pPr>
          </w:p>
        </w:tc>
        <w:tc>
          <w:tcPr>
            <w:tcW w:w="876" w:type="dxa"/>
          </w:tcPr>
          <w:p w14:paraId="3C3941BA">
            <w:pPr>
              <w:spacing w:line="500" w:lineRule="exact"/>
              <w:rPr>
                <w:rFonts w:ascii="宋体" w:hAnsi="宋体"/>
              </w:rPr>
            </w:pPr>
          </w:p>
        </w:tc>
        <w:tc>
          <w:tcPr>
            <w:tcW w:w="876" w:type="dxa"/>
          </w:tcPr>
          <w:p w14:paraId="36A67BE1">
            <w:pPr>
              <w:spacing w:line="500" w:lineRule="exact"/>
              <w:rPr>
                <w:rFonts w:ascii="宋体" w:hAnsi="宋体"/>
              </w:rPr>
            </w:pPr>
          </w:p>
        </w:tc>
        <w:tc>
          <w:tcPr>
            <w:tcW w:w="1596" w:type="dxa"/>
          </w:tcPr>
          <w:p w14:paraId="7EC10ED1">
            <w:pPr>
              <w:spacing w:line="500" w:lineRule="exact"/>
              <w:rPr>
                <w:rFonts w:ascii="宋体" w:hAnsi="宋体"/>
              </w:rPr>
            </w:pPr>
          </w:p>
        </w:tc>
        <w:tc>
          <w:tcPr>
            <w:tcW w:w="876" w:type="dxa"/>
          </w:tcPr>
          <w:p w14:paraId="7B66E9F5">
            <w:pPr>
              <w:spacing w:line="500" w:lineRule="exact"/>
              <w:rPr>
                <w:rFonts w:ascii="宋体" w:hAnsi="宋体"/>
              </w:rPr>
            </w:pPr>
          </w:p>
        </w:tc>
        <w:tc>
          <w:tcPr>
            <w:tcW w:w="1208" w:type="dxa"/>
          </w:tcPr>
          <w:p w14:paraId="1BAB4A15">
            <w:pPr>
              <w:spacing w:line="500" w:lineRule="exact"/>
              <w:rPr>
                <w:rFonts w:ascii="宋体" w:hAnsi="宋体"/>
              </w:rPr>
            </w:pPr>
          </w:p>
        </w:tc>
        <w:tc>
          <w:tcPr>
            <w:tcW w:w="2076" w:type="dxa"/>
          </w:tcPr>
          <w:p w14:paraId="3F089552">
            <w:pPr>
              <w:spacing w:line="500" w:lineRule="exact"/>
              <w:rPr>
                <w:rFonts w:ascii="宋体" w:hAnsi="宋体"/>
              </w:rPr>
            </w:pPr>
          </w:p>
        </w:tc>
        <w:tc>
          <w:tcPr>
            <w:tcW w:w="1208" w:type="dxa"/>
          </w:tcPr>
          <w:p w14:paraId="242A6CF2">
            <w:pPr>
              <w:spacing w:line="500" w:lineRule="exact"/>
              <w:rPr>
                <w:rFonts w:ascii="宋体" w:hAnsi="宋体"/>
              </w:rPr>
            </w:pPr>
          </w:p>
        </w:tc>
      </w:tr>
      <w:tr w14:paraId="5F2F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403CCBC">
            <w:pPr>
              <w:spacing w:line="500" w:lineRule="exact"/>
              <w:jc w:val="center"/>
              <w:rPr>
                <w:rFonts w:ascii="宋体" w:hAnsi="宋体"/>
              </w:rPr>
            </w:pPr>
          </w:p>
        </w:tc>
        <w:tc>
          <w:tcPr>
            <w:tcW w:w="876" w:type="dxa"/>
          </w:tcPr>
          <w:p w14:paraId="608FDF67">
            <w:pPr>
              <w:spacing w:line="500" w:lineRule="exact"/>
              <w:rPr>
                <w:rFonts w:ascii="宋体" w:hAnsi="宋体"/>
              </w:rPr>
            </w:pPr>
          </w:p>
        </w:tc>
        <w:tc>
          <w:tcPr>
            <w:tcW w:w="876" w:type="dxa"/>
          </w:tcPr>
          <w:p w14:paraId="6341FB8A">
            <w:pPr>
              <w:spacing w:line="500" w:lineRule="exact"/>
              <w:rPr>
                <w:rFonts w:ascii="宋体" w:hAnsi="宋体"/>
              </w:rPr>
            </w:pPr>
          </w:p>
        </w:tc>
        <w:tc>
          <w:tcPr>
            <w:tcW w:w="1596" w:type="dxa"/>
          </w:tcPr>
          <w:p w14:paraId="5378444E">
            <w:pPr>
              <w:spacing w:line="500" w:lineRule="exact"/>
              <w:rPr>
                <w:rFonts w:ascii="宋体" w:hAnsi="宋体"/>
              </w:rPr>
            </w:pPr>
          </w:p>
        </w:tc>
        <w:tc>
          <w:tcPr>
            <w:tcW w:w="876" w:type="dxa"/>
          </w:tcPr>
          <w:p w14:paraId="01FBDA6D">
            <w:pPr>
              <w:spacing w:line="500" w:lineRule="exact"/>
              <w:rPr>
                <w:rFonts w:ascii="宋体" w:hAnsi="宋体"/>
              </w:rPr>
            </w:pPr>
          </w:p>
        </w:tc>
        <w:tc>
          <w:tcPr>
            <w:tcW w:w="1208" w:type="dxa"/>
          </w:tcPr>
          <w:p w14:paraId="6238D400">
            <w:pPr>
              <w:spacing w:line="500" w:lineRule="exact"/>
              <w:rPr>
                <w:rFonts w:ascii="宋体" w:hAnsi="宋体"/>
              </w:rPr>
            </w:pPr>
          </w:p>
        </w:tc>
        <w:tc>
          <w:tcPr>
            <w:tcW w:w="2076" w:type="dxa"/>
          </w:tcPr>
          <w:p w14:paraId="5268C296">
            <w:pPr>
              <w:spacing w:line="500" w:lineRule="exact"/>
              <w:rPr>
                <w:rFonts w:ascii="宋体" w:hAnsi="宋体"/>
              </w:rPr>
            </w:pPr>
          </w:p>
        </w:tc>
        <w:tc>
          <w:tcPr>
            <w:tcW w:w="1208" w:type="dxa"/>
          </w:tcPr>
          <w:p w14:paraId="05203D6D">
            <w:pPr>
              <w:spacing w:line="500" w:lineRule="exact"/>
              <w:rPr>
                <w:rFonts w:ascii="宋体" w:hAnsi="宋体"/>
              </w:rPr>
            </w:pPr>
          </w:p>
        </w:tc>
      </w:tr>
      <w:tr w14:paraId="3FF2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9743B65">
            <w:pPr>
              <w:spacing w:line="500" w:lineRule="exact"/>
              <w:jc w:val="center"/>
              <w:rPr>
                <w:rFonts w:ascii="宋体" w:hAnsi="宋体"/>
              </w:rPr>
            </w:pPr>
          </w:p>
        </w:tc>
        <w:tc>
          <w:tcPr>
            <w:tcW w:w="876" w:type="dxa"/>
          </w:tcPr>
          <w:p w14:paraId="758F768B">
            <w:pPr>
              <w:spacing w:line="500" w:lineRule="exact"/>
              <w:rPr>
                <w:rFonts w:ascii="宋体" w:hAnsi="宋体"/>
              </w:rPr>
            </w:pPr>
          </w:p>
        </w:tc>
        <w:tc>
          <w:tcPr>
            <w:tcW w:w="876" w:type="dxa"/>
          </w:tcPr>
          <w:p w14:paraId="5F6D01B3">
            <w:pPr>
              <w:spacing w:line="500" w:lineRule="exact"/>
              <w:rPr>
                <w:rFonts w:ascii="宋体" w:hAnsi="宋体"/>
              </w:rPr>
            </w:pPr>
          </w:p>
        </w:tc>
        <w:tc>
          <w:tcPr>
            <w:tcW w:w="1596" w:type="dxa"/>
          </w:tcPr>
          <w:p w14:paraId="079071CB">
            <w:pPr>
              <w:spacing w:line="500" w:lineRule="exact"/>
              <w:rPr>
                <w:rFonts w:ascii="宋体" w:hAnsi="宋体"/>
              </w:rPr>
            </w:pPr>
          </w:p>
        </w:tc>
        <w:tc>
          <w:tcPr>
            <w:tcW w:w="876" w:type="dxa"/>
          </w:tcPr>
          <w:p w14:paraId="0745ECA0">
            <w:pPr>
              <w:spacing w:line="500" w:lineRule="exact"/>
              <w:rPr>
                <w:rFonts w:ascii="宋体" w:hAnsi="宋体"/>
              </w:rPr>
            </w:pPr>
          </w:p>
        </w:tc>
        <w:tc>
          <w:tcPr>
            <w:tcW w:w="1208" w:type="dxa"/>
          </w:tcPr>
          <w:p w14:paraId="490AF735">
            <w:pPr>
              <w:spacing w:line="500" w:lineRule="exact"/>
              <w:rPr>
                <w:rFonts w:ascii="宋体" w:hAnsi="宋体"/>
              </w:rPr>
            </w:pPr>
          </w:p>
        </w:tc>
        <w:tc>
          <w:tcPr>
            <w:tcW w:w="2076" w:type="dxa"/>
          </w:tcPr>
          <w:p w14:paraId="77A1BCE9">
            <w:pPr>
              <w:spacing w:line="500" w:lineRule="exact"/>
              <w:rPr>
                <w:rFonts w:ascii="宋体" w:hAnsi="宋体"/>
              </w:rPr>
            </w:pPr>
          </w:p>
        </w:tc>
        <w:tc>
          <w:tcPr>
            <w:tcW w:w="1208" w:type="dxa"/>
          </w:tcPr>
          <w:p w14:paraId="636F3DED">
            <w:pPr>
              <w:spacing w:line="500" w:lineRule="exact"/>
              <w:rPr>
                <w:rFonts w:ascii="宋体" w:hAnsi="宋体"/>
              </w:rPr>
            </w:pPr>
          </w:p>
        </w:tc>
      </w:tr>
    </w:tbl>
    <w:p w14:paraId="075B7413">
      <w:pPr>
        <w:spacing w:line="500" w:lineRule="exact"/>
        <w:rPr>
          <w:rFonts w:ascii="宋体" w:hAnsi="宋体"/>
        </w:rPr>
      </w:pPr>
    </w:p>
    <w:p w14:paraId="766D76DA">
      <w:pPr>
        <w:spacing w:line="500" w:lineRule="exact"/>
        <w:rPr>
          <w:rFonts w:ascii="宋体" w:hAnsi="宋体"/>
        </w:rPr>
      </w:pPr>
      <w:r>
        <w:rPr>
          <w:rFonts w:hint="eastAsia" w:ascii="宋体" w:hAnsi="宋体"/>
        </w:rPr>
        <w:t>2、项目总监简历及监理业绩表</w:t>
      </w:r>
    </w:p>
    <w:p w14:paraId="185E5484">
      <w:pPr>
        <w:spacing w:line="500" w:lineRule="exact"/>
        <w:rPr>
          <w:rFonts w:ascii="宋体" w:hAnsi="宋体"/>
        </w:rPr>
      </w:pPr>
      <w:r>
        <w:rPr>
          <w:rFonts w:hint="eastAsia" w:ascii="宋体" w:hAnsi="宋体"/>
        </w:rPr>
        <w:t>（后附总监相关证明文件的复印件）</w:t>
      </w:r>
    </w:p>
    <w:tbl>
      <w:tblPr>
        <w:tblStyle w:val="46"/>
        <w:tblW w:w="95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690"/>
        <w:gridCol w:w="510"/>
        <w:gridCol w:w="1344"/>
        <w:gridCol w:w="430"/>
        <w:gridCol w:w="746"/>
        <w:gridCol w:w="1080"/>
        <w:gridCol w:w="274"/>
        <w:gridCol w:w="2112"/>
      </w:tblGrid>
      <w:tr w14:paraId="45DC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81" w:type="dxa"/>
            <w:vAlign w:val="center"/>
          </w:tcPr>
          <w:p w14:paraId="555B6C74">
            <w:pPr>
              <w:jc w:val="center"/>
              <w:rPr>
                <w:rFonts w:ascii="宋体" w:hAnsi="宋体"/>
              </w:rPr>
            </w:pPr>
            <w:r>
              <w:rPr>
                <w:rFonts w:hint="eastAsia" w:ascii="宋体" w:hAnsi="宋体"/>
              </w:rPr>
              <w:t>姓名</w:t>
            </w:r>
          </w:p>
        </w:tc>
        <w:tc>
          <w:tcPr>
            <w:tcW w:w="2200" w:type="dxa"/>
            <w:gridSpan w:val="2"/>
            <w:vAlign w:val="center"/>
          </w:tcPr>
          <w:p w14:paraId="0091B286">
            <w:pPr>
              <w:jc w:val="center"/>
              <w:rPr>
                <w:rFonts w:ascii="宋体" w:hAnsi="宋体"/>
              </w:rPr>
            </w:pPr>
          </w:p>
        </w:tc>
        <w:tc>
          <w:tcPr>
            <w:tcW w:w="1344" w:type="dxa"/>
            <w:vAlign w:val="center"/>
          </w:tcPr>
          <w:p w14:paraId="6F858BEB">
            <w:pPr>
              <w:jc w:val="center"/>
              <w:rPr>
                <w:rFonts w:ascii="宋体" w:hAnsi="宋体"/>
              </w:rPr>
            </w:pPr>
            <w:r>
              <w:rPr>
                <w:rFonts w:hint="eastAsia" w:ascii="宋体" w:hAnsi="宋体"/>
              </w:rPr>
              <w:t>性别</w:t>
            </w:r>
          </w:p>
        </w:tc>
        <w:tc>
          <w:tcPr>
            <w:tcW w:w="1176" w:type="dxa"/>
            <w:gridSpan w:val="2"/>
            <w:vAlign w:val="center"/>
          </w:tcPr>
          <w:p w14:paraId="69C008EC">
            <w:pPr>
              <w:jc w:val="center"/>
              <w:rPr>
                <w:rFonts w:ascii="宋体" w:hAnsi="宋体"/>
              </w:rPr>
            </w:pPr>
          </w:p>
        </w:tc>
        <w:tc>
          <w:tcPr>
            <w:tcW w:w="1080" w:type="dxa"/>
            <w:vAlign w:val="center"/>
          </w:tcPr>
          <w:p w14:paraId="1D5A8D74">
            <w:pPr>
              <w:jc w:val="center"/>
              <w:rPr>
                <w:rFonts w:ascii="宋体" w:hAnsi="宋体"/>
              </w:rPr>
            </w:pPr>
            <w:r>
              <w:rPr>
                <w:rFonts w:hint="eastAsia" w:ascii="宋体" w:hAnsi="宋体"/>
              </w:rPr>
              <w:t>年龄</w:t>
            </w:r>
          </w:p>
        </w:tc>
        <w:tc>
          <w:tcPr>
            <w:tcW w:w="2386" w:type="dxa"/>
            <w:gridSpan w:val="2"/>
            <w:vAlign w:val="center"/>
          </w:tcPr>
          <w:p w14:paraId="211A7EA4">
            <w:pPr>
              <w:jc w:val="center"/>
              <w:rPr>
                <w:rFonts w:ascii="宋体" w:hAnsi="宋体"/>
              </w:rPr>
            </w:pPr>
          </w:p>
        </w:tc>
      </w:tr>
      <w:tr w14:paraId="24F9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81" w:type="dxa"/>
            <w:vAlign w:val="center"/>
          </w:tcPr>
          <w:p w14:paraId="1EBD9FCB">
            <w:pPr>
              <w:jc w:val="center"/>
              <w:rPr>
                <w:rFonts w:ascii="宋体" w:hAnsi="宋体"/>
              </w:rPr>
            </w:pPr>
            <w:r>
              <w:rPr>
                <w:rFonts w:hint="eastAsia" w:ascii="宋体" w:hAnsi="宋体"/>
              </w:rPr>
              <w:t>职务</w:t>
            </w:r>
          </w:p>
        </w:tc>
        <w:tc>
          <w:tcPr>
            <w:tcW w:w="2200" w:type="dxa"/>
            <w:gridSpan w:val="2"/>
            <w:vAlign w:val="center"/>
          </w:tcPr>
          <w:p w14:paraId="0886AD48">
            <w:pPr>
              <w:jc w:val="center"/>
              <w:rPr>
                <w:rFonts w:ascii="宋体" w:hAnsi="宋体"/>
              </w:rPr>
            </w:pPr>
            <w:r>
              <w:rPr>
                <w:rFonts w:hint="eastAsia" w:ascii="宋体" w:hAnsi="宋体"/>
              </w:rPr>
              <w:t>项目总监</w:t>
            </w:r>
          </w:p>
        </w:tc>
        <w:tc>
          <w:tcPr>
            <w:tcW w:w="1344" w:type="dxa"/>
            <w:vAlign w:val="center"/>
          </w:tcPr>
          <w:p w14:paraId="07307D95">
            <w:pPr>
              <w:jc w:val="center"/>
              <w:rPr>
                <w:rFonts w:ascii="宋体" w:hAnsi="宋体"/>
              </w:rPr>
            </w:pPr>
            <w:r>
              <w:rPr>
                <w:rFonts w:hint="eastAsia" w:ascii="宋体" w:hAnsi="宋体"/>
              </w:rPr>
              <w:t>职称</w:t>
            </w:r>
          </w:p>
        </w:tc>
        <w:tc>
          <w:tcPr>
            <w:tcW w:w="1176" w:type="dxa"/>
            <w:gridSpan w:val="2"/>
            <w:vAlign w:val="center"/>
          </w:tcPr>
          <w:p w14:paraId="728D14AF">
            <w:pPr>
              <w:jc w:val="center"/>
              <w:rPr>
                <w:rFonts w:ascii="宋体" w:hAnsi="宋体"/>
              </w:rPr>
            </w:pPr>
          </w:p>
        </w:tc>
        <w:tc>
          <w:tcPr>
            <w:tcW w:w="1080" w:type="dxa"/>
            <w:vAlign w:val="center"/>
          </w:tcPr>
          <w:p w14:paraId="2EBE4F0D">
            <w:pPr>
              <w:jc w:val="center"/>
              <w:rPr>
                <w:rFonts w:ascii="宋体" w:hAnsi="宋体"/>
              </w:rPr>
            </w:pPr>
            <w:r>
              <w:rPr>
                <w:rFonts w:hint="eastAsia" w:ascii="宋体" w:hAnsi="宋体"/>
              </w:rPr>
              <w:t>学历</w:t>
            </w:r>
          </w:p>
        </w:tc>
        <w:tc>
          <w:tcPr>
            <w:tcW w:w="2386" w:type="dxa"/>
            <w:gridSpan w:val="2"/>
            <w:vAlign w:val="center"/>
          </w:tcPr>
          <w:p w14:paraId="369AD134">
            <w:pPr>
              <w:jc w:val="center"/>
              <w:rPr>
                <w:rFonts w:ascii="宋体" w:hAnsi="宋体"/>
              </w:rPr>
            </w:pPr>
          </w:p>
        </w:tc>
      </w:tr>
      <w:tr w14:paraId="3981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81" w:type="dxa"/>
            <w:vAlign w:val="center"/>
          </w:tcPr>
          <w:p w14:paraId="2879C82C">
            <w:pPr>
              <w:jc w:val="center"/>
              <w:rPr>
                <w:rFonts w:ascii="宋体" w:hAnsi="宋体"/>
              </w:rPr>
            </w:pPr>
            <w:r>
              <w:rPr>
                <w:rFonts w:hint="eastAsia" w:ascii="宋体" w:hAnsi="宋体"/>
              </w:rPr>
              <w:t>身份证号码</w:t>
            </w:r>
          </w:p>
        </w:tc>
        <w:tc>
          <w:tcPr>
            <w:tcW w:w="8186" w:type="dxa"/>
            <w:gridSpan w:val="8"/>
            <w:vAlign w:val="center"/>
          </w:tcPr>
          <w:p w14:paraId="6495FA70">
            <w:pPr>
              <w:jc w:val="center"/>
              <w:rPr>
                <w:rFonts w:ascii="宋体" w:hAnsi="宋体"/>
              </w:rPr>
            </w:pPr>
          </w:p>
        </w:tc>
      </w:tr>
      <w:tr w14:paraId="7E31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071" w:type="dxa"/>
            <w:gridSpan w:val="2"/>
            <w:vAlign w:val="center"/>
          </w:tcPr>
          <w:p w14:paraId="6ECCEEB6">
            <w:pPr>
              <w:jc w:val="center"/>
              <w:rPr>
                <w:rFonts w:ascii="宋体" w:hAnsi="宋体"/>
              </w:rPr>
            </w:pPr>
            <w:r>
              <w:rPr>
                <w:rFonts w:hint="eastAsia" w:ascii="宋体" w:hAnsi="宋体"/>
              </w:rPr>
              <w:t>参加工作时间</w:t>
            </w:r>
          </w:p>
        </w:tc>
        <w:tc>
          <w:tcPr>
            <w:tcW w:w="2284" w:type="dxa"/>
            <w:gridSpan w:val="3"/>
            <w:vAlign w:val="center"/>
          </w:tcPr>
          <w:p w14:paraId="335681EE">
            <w:pPr>
              <w:jc w:val="center"/>
              <w:rPr>
                <w:rFonts w:ascii="宋体" w:hAnsi="宋体"/>
              </w:rPr>
            </w:pPr>
          </w:p>
        </w:tc>
        <w:tc>
          <w:tcPr>
            <w:tcW w:w="2100" w:type="dxa"/>
            <w:gridSpan w:val="3"/>
            <w:vAlign w:val="center"/>
          </w:tcPr>
          <w:p w14:paraId="1F873159">
            <w:pPr>
              <w:jc w:val="center"/>
              <w:rPr>
                <w:rFonts w:ascii="宋体" w:hAnsi="宋体"/>
              </w:rPr>
            </w:pPr>
            <w:r>
              <w:rPr>
                <w:rFonts w:hint="eastAsia" w:ascii="宋体" w:hAnsi="宋体"/>
              </w:rPr>
              <w:t>担任总监年限</w:t>
            </w:r>
          </w:p>
        </w:tc>
        <w:tc>
          <w:tcPr>
            <w:tcW w:w="2112" w:type="dxa"/>
            <w:vAlign w:val="center"/>
          </w:tcPr>
          <w:p w14:paraId="49B3362D">
            <w:pPr>
              <w:jc w:val="center"/>
              <w:rPr>
                <w:rFonts w:ascii="宋体" w:hAnsi="宋体"/>
              </w:rPr>
            </w:pPr>
          </w:p>
        </w:tc>
      </w:tr>
      <w:tr w14:paraId="0C66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71" w:type="dxa"/>
            <w:gridSpan w:val="2"/>
            <w:vAlign w:val="center"/>
          </w:tcPr>
          <w:p w14:paraId="36522BD1">
            <w:pPr>
              <w:jc w:val="center"/>
              <w:rPr>
                <w:rFonts w:ascii="宋体" w:hAnsi="宋体"/>
              </w:rPr>
            </w:pPr>
            <w:r>
              <w:rPr>
                <w:rFonts w:hint="eastAsia" w:ascii="宋体" w:hAnsi="宋体"/>
              </w:rPr>
              <w:t>监理工程师证书</w:t>
            </w:r>
          </w:p>
        </w:tc>
        <w:tc>
          <w:tcPr>
            <w:tcW w:w="6496" w:type="dxa"/>
            <w:gridSpan w:val="7"/>
            <w:vAlign w:val="center"/>
          </w:tcPr>
          <w:p w14:paraId="0F574684">
            <w:pPr>
              <w:jc w:val="center"/>
              <w:rPr>
                <w:rFonts w:ascii="宋体" w:hAnsi="宋体"/>
              </w:rPr>
            </w:pPr>
            <w:r>
              <w:rPr>
                <w:rFonts w:hint="eastAsia" w:ascii="宋体" w:hAnsi="宋体"/>
              </w:rPr>
              <w:t>（发证日期、证书编号）</w:t>
            </w:r>
          </w:p>
        </w:tc>
      </w:tr>
      <w:tr w14:paraId="514C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67" w:type="dxa"/>
            <w:gridSpan w:val="9"/>
            <w:vAlign w:val="center"/>
          </w:tcPr>
          <w:p w14:paraId="30AB4D79">
            <w:pPr>
              <w:jc w:val="center"/>
              <w:rPr>
                <w:rFonts w:ascii="宋体" w:hAnsi="宋体"/>
              </w:rPr>
            </w:pPr>
            <w:r>
              <w:rPr>
                <w:rFonts w:hint="eastAsia" w:ascii="宋体" w:hAnsi="宋体"/>
              </w:rPr>
              <w:t>主要业绩</w:t>
            </w:r>
          </w:p>
        </w:tc>
      </w:tr>
      <w:tr w14:paraId="1E8C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trPr>
        <w:tc>
          <w:tcPr>
            <w:tcW w:w="9567" w:type="dxa"/>
            <w:gridSpan w:val="9"/>
            <w:tcBorders>
              <w:bottom w:val="single" w:color="auto" w:sz="4" w:space="0"/>
            </w:tcBorders>
            <w:vAlign w:val="center"/>
          </w:tcPr>
          <w:p w14:paraId="132D1D49">
            <w:pPr>
              <w:jc w:val="center"/>
              <w:rPr>
                <w:rFonts w:ascii="宋体" w:hAnsi="宋体"/>
              </w:rPr>
            </w:pPr>
            <w:r>
              <w:rPr>
                <w:rFonts w:hint="eastAsia" w:ascii="宋体" w:hAnsi="宋体"/>
              </w:rPr>
              <w:t>主要业绩含监理工程的名称、工程的基本概况、面积、工期等相关内容</w:t>
            </w:r>
          </w:p>
        </w:tc>
      </w:tr>
    </w:tbl>
    <w:p w14:paraId="0564C60B">
      <w:pPr>
        <w:spacing w:line="500" w:lineRule="exact"/>
        <w:rPr>
          <w:rFonts w:ascii="宋体" w:hAnsi="宋体"/>
        </w:rPr>
      </w:pPr>
    </w:p>
    <w:p w14:paraId="2DE2A680">
      <w:pPr>
        <w:rPr>
          <w:rFonts w:ascii="宋体" w:hAnsi="宋体"/>
        </w:rPr>
      </w:pPr>
    </w:p>
    <w:p w14:paraId="786631DF">
      <w:pPr>
        <w:rPr>
          <w:rFonts w:ascii="宋体" w:hAnsi="宋体"/>
        </w:rPr>
      </w:pPr>
    </w:p>
    <w:p w14:paraId="54B18A70">
      <w:pPr>
        <w:spacing w:line="500" w:lineRule="exact"/>
        <w:rPr>
          <w:rFonts w:ascii="宋体" w:hAnsi="宋体"/>
        </w:rPr>
      </w:pPr>
      <w:bookmarkStart w:id="722" w:name="_Toc114980920"/>
    </w:p>
    <w:p w14:paraId="6C3CA7CC">
      <w:pPr>
        <w:spacing w:line="500" w:lineRule="exact"/>
        <w:rPr>
          <w:rFonts w:ascii="宋体" w:hAnsi="宋体"/>
        </w:rPr>
      </w:pPr>
    </w:p>
    <w:p w14:paraId="68DA7E82">
      <w:pPr>
        <w:spacing w:line="500" w:lineRule="exact"/>
        <w:rPr>
          <w:rFonts w:ascii="宋体" w:hAnsi="宋体"/>
        </w:rPr>
      </w:pPr>
      <w:r>
        <w:rPr>
          <w:rFonts w:hint="eastAsia" w:ascii="宋体" w:hAnsi="宋体"/>
        </w:rPr>
        <w:t>3、主要监理人员简历及监理业绩表</w:t>
      </w:r>
    </w:p>
    <w:p w14:paraId="64FF9FF5">
      <w:pPr>
        <w:spacing w:line="500" w:lineRule="exact"/>
        <w:rPr>
          <w:rFonts w:ascii="宋体" w:hAnsi="宋体"/>
        </w:rPr>
      </w:pPr>
      <w:r>
        <w:rPr>
          <w:rFonts w:hint="eastAsia" w:ascii="宋体" w:hAnsi="宋体"/>
        </w:rPr>
        <w:t>（后附相关证明文件的复印件）</w:t>
      </w:r>
    </w:p>
    <w:bookmarkEnd w:id="722"/>
    <w:tbl>
      <w:tblPr>
        <w:tblStyle w:val="46"/>
        <w:tblW w:w="95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990"/>
        <w:gridCol w:w="510"/>
        <w:gridCol w:w="1144"/>
        <w:gridCol w:w="630"/>
        <w:gridCol w:w="746"/>
        <w:gridCol w:w="1080"/>
        <w:gridCol w:w="274"/>
        <w:gridCol w:w="2112"/>
      </w:tblGrid>
      <w:tr w14:paraId="17E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1" w:type="dxa"/>
            <w:vAlign w:val="center"/>
          </w:tcPr>
          <w:p w14:paraId="2F4505A7">
            <w:pPr>
              <w:jc w:val="center"/>
              <w:rPr>
                <w:rFonts w:ascii="宋体" w:hAnsi="宋体"/>
              </w:rPr>
            </w:pPr>
            <w:r>
              <w:rPr>
                <w:rFonts w:hint="eastAsia" w:ascii="宋体" w:hAnsi="宋体"/>
              </w:rPr>
              <w:t>姓名</w:t>
            </w:r>
          </w:p>
        </w:tc>
        <w:tc>
          <w:tcPr>
            <w:tcW w:w="2500" w:type="dxa"/>
            <w:gridSpan w:val="2"/>
            <w:vAlign w:val="center"/>
          </w:tcPr>
          <w:p w14:paraId="2752D5FB">
            <w:pPr>
              <w:jc w:val="center"/>
              <w:rPr>
                <w:rFonts w:ascii="宋体" w:hAnsi="宋体"/>
              </w:rPr>
            </w:pPr>
          </w:p>
        </w:tc>
        <w:tc>
          <w:tcPr>
            <w:tcW w:w="1144" w:type="dxa"/>
            <w:vAlign w:val="center"/>
          </w:tcPr>
          <w:p w14:paraId="3BB80FB8">
            <w:pPr>
              <w:jc w:val="center"/>
              <w:rPr>
                <w:rFonts w:ascii="宋体" w:hAnsi="宋体"/>
              </w:rPr>
            </w:pPr>
            <w:r>
              <w:rPr>
                <w:rFonts w:hint="eastAsia" w:ascii="宋体" w:hAnsi="宋体"/>
              </w:rPr>
              <w:t>性别</w:t>
            </w:r>
          </w:p>
        </w:tc>
        <w:tc>
          <w:tcPr>
            <w:tcW w:w="1376" w:type="dxa"/>
            <w:gridSpan w:val="2"/>
            <w:vAlign w:val="center"/>
          </w:tcPr>
          <w:p w14:paraId="38E736C4">
            <w:pPr>
              <w:jc w:val="center"/>
              <w:rPr>
                <w:rFonts w:ascii="宋体" w:hAnsi="宋体"/>
              </w:rPr>
            </w:pPr>
          </w:p>
        </w:tc>
        <w:tc>
          <w:tcPr>
            <w:tcW w:w="1080" w:type="dxa"/>
            <w:vAlign w:val="center"/>
          </w:tcPr>
          <w:p w14:paraId="37CE26BF">
            <w:pPr>
              <w:jc w:val="center"/>
              <w:rPr>
                <w:rFonts w:ascii="宋体" w:hAnsi="宋体"/>
              </w:rPr>
            </w:pPr>
            <w:r>
              <w:rPr>
                <w:rFonts w:hint="eastAsia" w:ascii="宋体" w:hAnsi="宋体"/>
              </w:rPr>
              <w:t>年龄</w:t>
            </w:r>
          </w:p>
        </w:tc>
        <w:tc>
          <w:tcPr>
            <w:tcW w:w="2386" w:type="dxa"/>
            <w:gridSpan w:val="2"/>
            <w:vAlign w:val="center"/>
          </w:tcPr>
          <w:p w14:paraId="118D0BD6">
            <w:pPr>
              <w:jc w:val="center"/>
              <w:rPr>
                <w:rFonts w:ascii="宋体" w:hAnsi="宋体"/>
              </w:rPr>
            </w:pPr>
          </w:p>
        </w:tc>
      </w:tr>
      <w:tr w14:paraId="743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81" w:type="dxa"/>
            <w:vAlign w:val="center"/>
          </w:tcPr>
          <w:p w14:paraId="5D7759AF">
            <w:pPr>
              <w:jc w:val="center"/>
              <w:rPr>
                <w:rFonts w:ascii="宋体" w:hAnsi="宋体"/>
              </w:rPr>
            </w:pPr>
            <w:r>
              <w:rPr>
                <w:rFonts w:hint="eastAsia" w:ascii="宋体" w:hAnsi="宋体"/>
              </w:rPr>
              <w:t>职务</w:t>
            </w:r>
          </w:p>
        </w:tc>
        <w:tc>
          <w:tcPr>
            <w:tcW w:w="2500" w:type="dxa"/>
            <w:gridSpan w:val="2"/>
            <w:vAlign w:val="center"/>
          </w:tcPr>
          <w:p w14:paraId="57199E92">
            <w:pPr>
              <w:jc w:val="center"/>
              <w:rPr>
                <w:rFonts w:ascii="宋体" w:hAnsi="宋体"/>
              </w:rPr>
            </w:pPr>
          </w:p>
        </w:tc>
        <w:tc>
          <w:tcPr>
            <w:tcW w:w="1144" w:type="dxa"/>
            <w:vAlign w:val="center"/>
          </w:tcPr>
          <w:p w14:paraId="39BFE4DD">
            <w:pPr>
              <w:jc w:val="center"/>
              <w:rPr>
                <w:rFonts w:ascii="宋体" w:hAnsi="宋体"/>
              </w:rPr>
            </w:pPr>
            <w:r>
              <w:rPr>
                <w:rFonts w:hint="eastAsia" w:ascii="宋体" w:hAnsi="宋体"/>
              </w:rPr>
              <w:t>职称</w:t>
            </w:r>
          </w:p>
        </w:tc>
        <w:tc>
          <w:tcPr>
            <w:tcW w:w="1376" w:type="dxa"/>
            <w:gridSpan w:val="2"/>
            <w:vAlign w:val="center"/>
          </w:tcPr>
          <w:p w14:paraId="34BE8091">
            <w:pPr>
              <w:jc w:val="center"/>
              <w:rPr>
                <w:rFonts w:ascii="宋体" w:hAnsi="宋体"/>
              </w:rPr>
            </w:pPr>
          </w:p>
        </w:tc>
        <w:tc>
          <w:tcPr>
            <w:tcW w:w="1080" w:type="dxa"/>
            <w:vAlign w:val="center"/>
          </w:tcPr>
          <w:p w14:paraId="0A637E35">
            <w:pPr>
              <w:jc w:val="center"/>
              <w:rPr>
                <w:rFonts w:ascii="宋体" w:hAnsi="宋体"/>
              </w:rPr>
            </w:pPr>
            <w:r>
              <w:rPr>
                <w:rFonts w:hint="eastAsia" w:ascii="宋体" w:hAnsi="宋体"/>
              </w:rPr>
              <w:t>学历</w:t>
            </w:r>
          </w:p>
        </w:tc>
        <w:tc>
          <w:tcPr>
            <w:tcW w:w="2386" w:type="dxa"/>
            <w:gridSpan w:val="2"/>
            <w:vAlign w:val="center"/>
          </w:tcPr>
          <w:p w14:paraId="680E498C">
            <w:pPr>
              <w:jc w:val="center"/>
              <w:rPr>
                <w:rFonts w:ascii="宋体" w:hAnsi="宋体"/>
              </w:rPr>
            </w:pPr>
          </w:p>
        </w:tc>
      </w:tr>
      <w:tr w14:paraId="1661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071" w:type="dxa"/>
            <w:gridSpan w:val="2"/>
            <w:vAlign w:val="center"/>
          </w:tcPr>
          <w:p w14:paraId="386E6759">
            <w:pPr>
              <w:jc w:val="center"/>
              <w:rPr>
                <w:rFonts w:ascii="宋体" w:hAnsi="宋体"/>
              </w:rPr>
            </w:pPr>
            <w:r>
              <w:rPr>
                <w:rFonts w:hint="eastAsia" w:ascii="宋体" w:hAnsi="宋体"/>
              </w:rPr>
              <w:t>参加工作时间</w:t>
            </w:r>
          </w:p>
        </w:tc>
        <w:tc>
          <w:tcPr>
            <w:tcW w:w="2284" w:type="dxa"/>
            <w:gridSpan w:val="3"/>
            <w:vAlign w:val="center"/>
          </w:tcPr>
          <w:p w14:paraId="0049FD5F">
            <w:pPr>
              <w:jc w:val="center"/>
              <w:rPr>
                <w:rFonts w:ascii="宋体" w:hAnsi="宋体"/>
              </w:rPr>
            </w:pPr>
          </w:p>
        </w:tc>
        <w:tc>
          <w:tcPr>
            <w:tcW w:w="2100" w:type="dxa"/>
            <w:gridSpan w:val="3"/>
            <w:vAlign w:val="center"/>
          </w:tcPr>
          <w:p w14:paraId="389EA0C7">
            <w:pPr>
              <w:jc w:val="center"/>
              <w:rPr>
                <w:rFonts w:ascii="宋体" w:hAnsi="宋体"/>
              </w:rPr>
            </w:pPr>
            <w:r>
              <w:rPr>
                <w:rFonts w:hint="eastAsia" w:ascii="宋体" w:hAnsi="宋体"/>
              </w:rPr>
              <w:t>监理工作年限</w:t>
            </w:r>
          </w:p>
        </w:tc>
        <w:tc>
          <w:tcPr>
            <w:tcW w:w="2112" w:type="dxa"/>
            <w:vAlign w:val="center"/>
          </w:tcPr>
          <w:p w14:paraId="468CBCA3">
            <w:pPr>
              <w:jc w:val="center"/>
              <w:rPr>
                <w:rFonts w:ascii="宋体" w:hAnsi="宋体"/>
              </w:rPr>
            </w:pPr>
          </w:p>
        </w:tc>
      </w:tr>
      <w:tr w14:paraId="0ED7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71" w:type="dxa"/>
            <w:gridSpan w:val="2"/>
            <w:vAlign w:val="center"/>
          </w:tcPr>
          <w:p w14:paraId="772CBF98">
            <w:pPr>
              <w:jc w:val="center"/>
              <w:rPr>
                <w:rFonts w:ascii="宋体" w:hAnsi="宋体"/>
              </w:rPr>
            </w:pPr>
            <w:r>
              <w:rPr>
                <w:rFonts w:hint="eastAsia" w:ascii="宋体" w:hAnsi="宋体"/>
              </w:rPr>
              <w:t>注册监理工程师证书</w:t>
            </w:r>
          </w:p>
        </w:tc>
        <w:tc>
          <w:tcPr>
            <w:tcW w:w="6496" w:type="dxa"/>
            <w:gridSpan w:val="7"/>
            <w:vAlign w:val="center"/>
          </w:tcPr>
          <w:p w14:paraId="752F1BC7">
            <w:pPr>
              <w:jc w:val="center"/>
              <w:rPr>
                <w:rFonts w:ascii="宋体" w:hAnsi="宋体"/>
              </w:rPr>
            </w:pPr>
            <w:r>
              <w:rPr>
                <w:rFonts w:hint="eastAsia" w:ascii="宋体" w:hAnsi="宋体"/>
              </w:rPr>
              <w:t>（发证日期、证书编号）</w:t>
            </w:r>
          </w:p>
        </w:tc>
      </w:tr>
      <w:tr w14:paraId="1DB0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67" w:type="dxa"/>
            <w:gridSpan w:val="9"/>
            <w:vAlign w:val="center"/>
          </w:tcPr>
          <w:p w14:paraId="34916FCC">
            <w:pPr>
              <w:jc w:val="center"/>
              <w:rPr>
                <w:rFonts w:ascii="宋体" w:hAnsi="宋体"/>
              </w:rPr>
            </w:pPr>
            <w:r>
              <w:rPr>
                <w:rFonts w:hint="eastAsia" w:ascii="宋体" w:hAnsi="宋体"/>
              </w:rPr>
              <w:t>主要业绩</w:t>
            </w:r>
          </w:p>
        </w:tc>
      </w:tr>
      <w:tr w14:paraId="48BB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trPr>
        <w:tc>
          <w:tcPr>
            <w:tcW w:w="9567" w:type="dxa"/>
            <w:gridSpan w:val="9"/>
            <w:tcBorders>
              <w:bottom w:val="single" w:color="auto" w:sz="4" w:space="0"/>
            </w:tcBorders>
            <w:vAlign w:val="center"/>
          </w:tcPr>
          <w:p w14:paraId="4F9F4947">
            <w:pPr>
              <w:jc w:val="center"/>
              <w:rPr>
                <w:rFonts w:ascii="宋体" w:hAnsi="宋体"/>
              </w:rPr>
            </w:pPr>
            <w:r>
              <w:rPr>
                <w:rFonts w:hint="eastAsia" w:ascii="宋体" w:hAnsi="宋体"/>
              </w:rPr>
              <w:t>主要业绩含监理工程的名称、工程的基本概况、面积、工期等相关内容</w:t>
            </w:r>
          </w:p>
        </w:tc>
      </w:tr>
    </w:tbl>
    <w:p w14:paraId="37326125">
      <w:pPr>
        <w:spacing w:line="500" w:lineRule="exact"/>
        <w:ind w:left="1738" w:leftChars="828"/>
        <w:rPr>
          <w:rFonts w:ascii="宋体" w:hAnsi="宋体"/>
        </w:rPr>
      </w:pPr>
    </w:p>
    <w:p w14:paraId="544D35CE">
      <w:pPr>
        <w:spacing w:line="500" w:lineRule="exact"/>
        <w:ind w:left="1738" w:leftChars="828"/>
        <w:rPr>
          <w:rFonts w:ascii="宋体" w:hAnsi="宋体"/>
        </w:rPr>
      </w:pPr>
    </w:p>
    <w:p w14:paraId="7C1A84B7">
      <w:pPr>
        <w:spacing w:line="500" w:lineRule="exact"/>
        <w:rPr>
          <w:rFonts w:ascii="宋体" w:hAnsi="宋体"/>
        </w:rPr>
      </w:pPr>
      <w:r>
        <w:rPr>
          <w:rFonts w:hint="eastAsia" w:ascii="宋体" w:hAnsi="宋体"/>
        </w:rPr>
        <w:t>4、项目监理机构配备情况说明资料</w:t>
      </w:r>
    </w:p>
    <w:p w14:paraId="1F8E052B">
      <w:pPr>
        <w:pStyle w:val="19"/>
        <w:spacing w:before="120"/>
        <w:ind w:left="697" w:right="34" w:hanging="697"/>
        <w:rPr>
          <w:rFonts w:ascii="宋体" w:hAnsi="宋体"/>
          <w:sz w:val="21"/>
        </w:rPr>
      </w:pPr>
      <w:r>
        <w:rPr>
          <w:rFonts w:hint="eastAsia" w:ascii="宋体" w:hAnsi="宋体"/>
          <w:sz w:val="21"/>
        </w:rPr>
        <w:t>注：辅助说明资料主要包括监理机构的机构设置、职责分工、有关复印证明资料以及投标人认为有必要提供的资料。辅助说明资料格式不做统一规定，由投标人自行设计。</w:t>
      </w:r>
    </w:p>
    <w:p w14:paraId="4963C1E4">
      <w:pPr>
        <w:rPr>
          <w:rFonts w:ascii="宋体" w:hAnsi="宋体"/>
        </w:rPr>
      </w:pPr>
    </w:p>
    <w:p w14:paraId="00CDB671">
      <w:pPr>
        <w:rPr>
          <w:rFonts w:ascii="宋体" w:hAnsi="宋体"/>
        </w:rPr>
      </w:pPr>
    </w:p>
    <w:p w14:paraId="4D5C5E59">
      <w:pPr>
        <w:pStyle w:val="5"/>
        <w:ind w:firstLine="320" w:firstLineChars="100"/>
        <w:jc w:val="center"/>
        <w:rPr>
          <w:b w:val="0"/>
          <w:sz w:val="28"/>
          <w:szCs w:val="28"/>
        </w:rPr>
      </w:pPr>
      <w:r>
        <w:rPr>
          <w:rFonts w:hint="eastAsia" w:ascii="宋体" w:hAnsi="宋体"/>
        </w:rPr>
        <w:br w:type="page"/>
      </w:r>
      <w:bookmarkStart w:id="723" w:name="_Toc167311840"/>
      <w:r>
        <w:rPr>
          <w:rFonts w:hint="eastAsia" w:ascii="宋体" w:hAnsi="宋体"/>
        </w:rPr>
        <w:t>九、承诺书</w:t>
      </w:r>
      <w:bookmarkEnd w:id="723"/>
    </w:p>
    <w:p w14:paraId="57B6F492">
      <w:pPr>
        <w:widowControl/>
        <w:jc w:val="left"/>
        <w:rPr>
          <w:rFonts w:ascii="宋体" w:hAnsi="宋体" w:cs="宋体"/>
          <w:kern w:val="0"/>
          <w:sz w:val="24"/>
        </w:rPr>
      </w:pPr>
    </w:p>
    <w:p w14:paraId="30FC3A75">
      <w:pPr>
        <w:jc w:val="center"/>
        <w:rPr>
          <w:b/>
          <w:bCs/>
        </w:rPr>
      </w:pPr>
      <w:r>
        <w:rPr>
          <w:b/>
          <w:bCs/>
        </w:rPr>
        <w:t>承诺书（</w:t>
      </w:r>
      <w:r>
        <w:rPr>
          <w:rFonts w:hint="eastAsia"/>
          <w:b/>
          <w:bCs/>
        </w:rPr>
        <w:t>一</w:t>
      </w:r>
      <w:r>
        <w:rPr>
          <w:b/>
          <w:bCs/>
        </w:rPr>
        <w:t>）</w:t>
      </w:r>
    </w:p>
    <w:p w14:paraId="3D88B0CB">
      <w:pPr>
        <w:widowControl/>
        <w:jc w:val="left"/>
        <w:rPr>
          <w:rFonts w:ascii="宋体" w:hAnsi="宋体" w:cs="宋体"/>
          <w:kern w:val="0"/>
          <w:sz w:val="24"/>
        </w:rPr>
      </w:pPr>
    </w:p>
    <w:p w14:paraId="4CF1AF77">
      <w:pPr>
        <w:spacing w:line="360" w:lineRule="auto"/>
        <w:ind w:firstLine="405"/>
        <w:rPr>
          <w:rFonts w:ascii="宋体" w:hAnsi="宋体"/>
          <w:szCs w:val="21"/>
        </w:rPr>
      </w:pPr>
      <w:r>
        <w:rPr>
          <w:rFonts w:hint="eastAsia" w:ascii="宋体" w:hAnsi="宋体"/>
          <w:szCs w:val="21"/>
          <w:u w:val="single"/>
        </w:rPr>
        <w:t xml:space="preserve">（招标人名称）   </w:t>
      </w:r>
      <w:r>
        <w:rPr>
          <w:rFonts w:hint="eastAsia" w:ascii="宋体" w:hAnsi="宋体"/>
          <w:szCs w:val="21"/>
        </w:rPr>
        <w:t>：</w:t>
      </w:r>
    </w:p>
    <w:p w14:paraId="46B37045">
      <w:pPr>
        <w:spacing w:line="360" w:lineRule="auto"/>
        <w:ind w:firstLine="508" w:firstLineChars="242"/>
        <w:rPr>
          <w:rFonts w:ascii="宋体" w:hAnsi="宋体" w:cs="宋体"/>
          <w:kern w:val="0"/>
          <w:szCs w:val="21"/>
        </w:rPr>
      </w:pPr>
      <w:r>
        <w:rPr>
          <w:rFonts w:ascii="宋体" w:hAnsi="宋体" w:cs="宋体"/>
          <w:kern w:val="0"/>
          <w:szCs w:val="21"/>
        </w:rPr>
        <w:t>我方在此声明，我方拟派往</w:t>
      </w:r>
      <w:r>
        <w:rPr>
          <w:rFonts w:ascii="宋体" w:hAnsi="宋体" w:cs="宋体"/>
          <w:kern w:val="0"/>
          <w:szCs w:val="21"/>
          <w:u w:val="single"/>
        </w:rPr>
        <w:t>（工程名称）（以下简称“本工程”）</w:t>
      </w:r>
      <w:r>
        <w:rPr>
          <w:rFonts w:ascii="宋体" w:hAnsi="宋体" w:cs="宋体"/>
          <w:kern w:val="0"/>
          <w:szCs w:val="21"/>
        </w:rPr>
        <w:t>的项目主要管理人员与实际人员一致，招标人在施工过程中发现人员不一致的，招标人有权解除合同，我方愿意承担由此而给招标人带来的一切损失。</w:t>
      </w:r>
    </w:p>
    <w:p w14:paraId="085089ED">
      <w:pPr>
        <w:spacing w:line="360" w:lineRule="auto"/>
        <w:ind w:firstLine="508" w:firstLineChars="242"/>
        <w:rPr>
          <w:rFonts w:ascii="宋体" w:hAnsi="宋体" w:cs="宋体"/>
          <w:kern w:val="0"/>
          <w:szCs w:val="21"/>
        </w:rPr>
      </w:pPr>
    </w:p>
    <w:p w14:paraId="0ABA5086">
      <w:pPr>
        <w:spacing w:line="360" w:lineRule="auto"/>
        <w:ind w:firstLine="611" w:firstLineChars="291"/>
        <w:rPr>
          <w:rFonts w:ascii="宋体" w:hAnsi="宋体" w:cs="宋体"/>
          <w:kern w:val="0"/>
          <w:sz w:val="24"/>
        </w:rPr>
      </w:pPr>
      <w:r>
        <w:rPr>
          <w:rFonts w:ascii="宋体" w:hAnsi="宋体" w:cs="宋体"/>
          <w:kern w:val="0"/>
          <w:szCs w:val="21"/>
        </w:rPr>
        <w:t>特此承诺</w:t>
      </w:r>
    </w:p>
    <w:p w14:paraId="449ACBF8">
      <w:pPr>
        <w:spacing w:line="360" w:lineRule="auto"/>
        <w:ind w:firstLine="580" w:firstLineChars="242"/>
        <w:rPr>
          <w:rFonts w:ascii="宋体" w:hAnsi="宋体" w:cs="宋体"/>
          <w:kern w:val="0"/>
          <w:sz w:val="24"/>
        </w:rPr>
      </w:pPr>
    </w:p>
    <w:p w14:paraId="16510C6C">
      <w:pPr>
        <w:spacing w:line="360" w:lineRule="auto"/>
        <w:ind w:firstLine="580" w:firstLineChars="242"/>
        <w:rPr>
          <w:rFonts w:ascii="宋体" w:hAnsi="宋体" w:cs="宋体"/>
          <w:kern w:val="0"/>
          <w:sz w:val="24"/>
        </w:rPr>
      </w:pPr>
    </w:p>
    <w:p w14:paraId="418A05CA">
      <w:pPr>
        <w:spacing w:line="360" w:lineRule="auto"/>
        <w:ind w:firstLine="508" w:firstLineChars="242"/>
        <w:jc w:val="right"/>
        <w:rPr>
          <w:rFonts w:ascii="宋体" w:hAnsi="宋体"/>
          <w:szCs w:val="21"/>
        </w:rPr>
      </w:pPr>
      <w:r>
        <w:rPr>
          <w:rFonts w:hint="eastAsia" w:ascii="宋体" w:hAnsi="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77451173">
      <w:pPr>
        <w:spacing w:line="360" w:lineRule="auto"/>
        <w:ind w:firstLine="508" w:firstLineChars="242"/>
        <w:jc w:val="right"/>
        <w:rPr>
          <w:rFonts w:ascii="宋体" w:hAnsi="宋体"/>
          <w:szCs w:val="21"/>
        </w:rPr>
      </w:pPr>
      <w:r>
        <w:rPr>
          <w:rFonts w:hint="eastAsia" w:ascii="宋体" w:hAnsi="宋体"/>
          <w:szCs w:val="21"/>
        </w:rPr>
        <w:t>法定代表人或其委托代理人：（电子签章或签字）</w:t>
      </w:r>
    </w:p>
    <w:p w14:paraId="31B24390">
      <w:pPr>
        <w:spacing w:line="360" w:lineRule="auto"/>
        <w:ind w:firstLine="508" w:firstLineChars="242"/>
        <w:jc w:val="center"/>
        <w:rPr>
          <w:rFonts w:ascii="宋体" w:hAnsi="宋体"/>
        </w:rPr>
      </w:pPr>
      <w:r>
        <w:rPr>
          <w:rFonts w:hint="eastAsia" w:ascii="宋体" w:hAnsi="宋体"/>
        </w:rPr>
        <w:t xml:space="preserve">                                          年    月   日</w:t>
      </w:r>
    </w:p>
    <w:p w14:paraId="34A80E68">
      <w:pPr>
        <w:widowControl/>
        <w:snapToGrid w:val="0"/>
        <w:spacing w:line="360" w:lineRule="auto"/>
        <w:jc w:val="left"/>
        <w:rPr>
          <w:rFonts w:ascii="宋体" w:hAnsi="宋体"/>
        </w:rPr>
      </w:pPr>
    </w:p>
    <w:p w14:paraId="46434D90">
      <w:pPr>
        <w:widowControl/>
        <w:snapToGrid w:val="0"/>
        <w:spacing w:line="360" w:lineRule="auto"/>
        <w:jc w:val="left"/>
        <w:rPr>
          <w:rFonts w:ascii="宋体" w:hAnsi="宋体"/>
        </w:rPr>
      </w:pPr>
    </w:p>
    <w:p w14:paraId="705F71B0">
      <w:pPr>
        <w:widowControl/>
        <w:snapToGrid w:val="0"/>
        <w:spacing w:line="360" w:lineRule="auto"/>
        <w:jc w:val="left"/>
        <w:rPr>
          <w:rFonts w:ascii="宋体" w:hAnsi="宋体"/>
        </w:rPr>
      </w:pPr>
    </w:p>
    <w:p w14:paraId="58AB4B00">
      <w:pPr>
        <w:widowControl/>
        <w:snapToGrid w:val="0"/>
        <w:spacing w:line="360" w:lineRule="auto"/>
        <w:jc w:val="left"/>
        <w:rPr>
          <w:rFonts w:ascii="宋体" w:hAnsi="宋体"/>
        </w:rPr>
      </w:pPr>
    </w:p>
    <w:p w14:paraId="7C5C722A">
      <w:pPr>
        <w:widowControl/>
        <w:snapToGrid w:val="0"/>
        <w:spacing w:line="360" w:lineRule="auto"/>
        <w:jc w:val="left"/>
        <w:rPr>
          <w:rFonts w:ascii="宋体" w:hAnsi="宋体"/>
        </w:rPr>
      </w:pPr>
    </w:p>
    <w:p w14:paraId="65C18BD0">
      <w:pPr>
        <w:widowControl/>
        <w:snapToGrid w:val="0"/>
        <w:spacing w:line="360" w:lineRule="auto"/>
        <w:jc w:val="left"/>
        <w:rPr>
          <w:rFonts w:ascii="宋体" w:hAnsi="宋体"/>
        </w:rPr>
      </w:pPr>
    </w:p>
    <w:p w14:paraId="6E41A2E2">
      <w:pPr>
        <w:widowControl/>
        <w:snapToGrid w:val="0"/>
        <w:spacing w:line="360" w:lineRule="auto"/>
        <w:jc w:val="left"/>
        <w:rPr>
          <w:rFonts w:ascii="宋体" w:hAnsi="宋体"/>
        </w:rPr>
      </w:pPr>
    </w:p>
    <w:p w14:paraId="188574AC">
      <w:pPr>
        <w:widowControl/>
        <w:snapToGrid w:val="0"/>
        <w:spacing w:line="360" w:lineRule="auto"/>
        <w:jc w:val="left"/>
        <w:rPr>
          <w:rFonts w:ascii="宋体" w:hAnsi="宋体"/>
        </w:rPr>
      </w:pPr>
    </w:p>
    <w:p w14:paraId="44511F61">
      <w:pPr>
        <w:widowControl/>
        <w:snapToGrid w:val="0"/>
        <w:spacing w:line="360" w:lineRule="auto"/>
        <w:jc w:val="left"/>
        <w:rPr>
          <w:rFonts w:ascii="宋体" w:hAnsi="宋体"/>
        </w:rPr>
      </w:pPr>
    </w:p>
    <w:p w14:paraId="29435A09">
      <w:pPr>
        <w:widowControl/>
        <w:snapToGrid w:val="0"/>
        <w:spacing w:line="360" w:lineRule="auto"/>
        <w:jc w:val="left"/>
        <w:rPr>
          <w:rFonts w:ascii="宋体" w:hAnsi="宋体"/>
        </w:rPr>
      </w:pPr>
    </w:p>
    <w:p w14:paraId="2B211999">
      <w:pPr>
        <w:widowControl/>
        <w:snapToGrid w:val="0"/>
        <w:spacing w:line="360" w:lineRule="auto"/>
        <w:jc w:val="left"/>
        <w:rPr>
          <w:rFonts w:ascii="宋体" w:hAnsi="宋体"/>
        </w:rPr>
      </w:pPr>
    </w:p>
    <w:p w14:paraId="7225EC7D">
      <w:pPr>
        <w:widowControl/>
        <w:snapToGrid w:val="0"/>
        <w:spacing w:line="360" w:lineRule="auto"/>
        <w:jc w:val="left"/>
        <w:rPr>
          <w:rFonts w:ascii="宋体" w:hAnsi="宋体"/>
        </w:rPr>
      </w:pPr>
    </w:p>
    <w:p w14:paraId="3A1CA58C">
      <w:pPr>
        <w:spacing w:line="360" w:lineRule="auto"/>
        <w:rPr>
          <w:rFonts w:ascii="宋体" w:hAnsi="宋体"/>
          <w:b/>
        </w:rPr>
        <w:sectPr>
          <w:pgSz w:w="11906" w:h="16838"/>
          <w:pgMar w:top="1440" w:right="1080" w:bottom="1440" w:left="1080" w:header="1077" w:footer="1021" w:gutter="0"/>
          <w:cols w:space="720" w:num="1"/>
          <w:docGrid w:type="linesAndChars" w:linePitch="312" w:charSpace="0"/>
        </w:sectPr>
      </w:pPr>
    </w:p>
    <w:p w14:paraId="39F4A24B">
      <w:pPr>
        <w:pStyle w:val="64"/>
        <w:rPr>
          <w:color w:val="auto"/>
        </w:rPr>
      </w:pPr>
    </w:p>
    <w:p w14:paraId="028F0884">
      <w:pPr>
        <w:pStyle w:val="64"/>
        <w:rPr>
          <w:color w:val="auto"/>
        </w:rPr>
      </w:pPr>
    </w:p>
    <w:p w14:paraId="560C7AFB">
      <w:pPr>
        <w:pStyle w:val="64"/>
        <w:rPr>
          <w:color w:val="auto"/>
        </w:rPr>
      </w:pPr>
    </w:p>
    <w:p w14:paraId="597F43D5">
      <w:pPr>
        <w:pStyle w:val="64"/>
        <w:rPr>
          <w:color w:val="auto"/>
        </w:rPr>
      </w:pPr>
    </w:p>
    <w:p w14:paraId="3B7302E8">
      <w:pPr>
        <w:jc w:val="center"/>
        <w:rPr>
          <w:b/>
          <w:bCs/>
        </w:rPr>
      </w:pPr>
      <w:bookmarkStart w:id="724" w:name="_Toc381360563"/>
      <w:bookmarkStart w:id="725" w:name="_Toc13047"/>
      <w:bookmarkStart w:id="726" w:name="_Toc15586"/>
      <w:r>
        <w:rPr>
          <w:rFonts w:hint="eastAsia"/>
          <w:b/>
          <w:bCs/>
        </w:rPr>
        <w:t>承诺书(二)</w:t>
      </w:r>
      <w:bookmarkEnd w:id="724"/>
      <w:bookmarkEnd w:id="725"/>
      <w:bookmarkEnd w:id="726"/>
    </w:p>
    <w:p w14:paraId="3143D7A3">
      <w:pPr>
        <w:spacing w:before="312" w:beforeLines="100" w:after="312" w:afterLines="100"/>
        <w:jc w:val="center"/>
        <w:rPr>
          <w:rFonts w:ascii="黑体" w:hAnsi="宋体" w:eastAsia="黑体"/>
          <w:b/>
          <w:sz w:val="24"/>
        </w:rPr>
      </w:pPr>
      <w:r>
        <w:rPr>
          <w:rFonts w:hint="eastAsia" w:ascii="黑体" w:hAnsi="宋体" w:eastAsia="黑体"/>
          <w:b/>
          <w:sz w:val="24"/>
        </w:rPr>
        <w:t>信誉承诺书</w:t>
      </w:r>
    </w:p>
    <w:p w14:paraId="4EADDF0D"/>
    <w:p w14:paraId="7C8AA51E">
      <w:pPr>
        <w:spacing w:after="312" w:afterLines="100" w:line="440" w:lineRule="exact"/>
        <w:rPr>
          <w:rFonts w:ascii="新宋体" w:hAnsi="新宋体" w:eastAsia="新宋体"/>
          <w:szCs w:val="21"/>
        </w:rPr>
      </w:pPr>
      <w:r>
        <w:rPr>
          <w:rFonts w:hint="eastAsia" w:ascii="新宋体" w:hAnsi="新宋体" w:eastAsia="新宋体"/>
          <w:szCs w:val="21"/>
          <w:u w:val="single"/>
        </w:rPr>
        <w:t>（招标人名称）</w:t>
      </w:r>
      <w:r>
        <w:rPr>
          <w:rFonts w:hint="eastAsia" w:ascii="新宋体" w:hAnsi="新宋体" w:eastAsia="新宋体"/>
          <w:szCs w:val="21"/>
        </w:rPr>
        <w:t>：</w:t>
      </w:r>
    </w:p>
    <w:p w14:paraId="26EA81B3">
      <w:pPr>
        <w:spacing w:line="360" w:lineRule="auto"/>
        <w:ind w:firstLine="735" w:firstLineChars="350"/>
      </w:pPr>
      <w:r>
        <w:rPr>
          <w:rFonts w:hint="eastAsia" w:ascii="新宋体" w:hAnsi="新宋体" w:eastAsia="新宋体"/>
          <w:szCs w:val="21"/>
        </w:rPr>
        <w:t>我方在此承诺，我方信誉良好，现阶段没有处于被责令停产、停业</w:t>
      </w:r>
      <w:r>
        <w:rPr>
          <w:rFonts w:hint="eastAsia" w:ascii="宋体" w:hAnsi="宋体"/>
          <w:szCs w:val="21"/>
        </w:rPr>
        <w:t>、行贿不良记录行为</w:t>
      </w:r>
      <w:r>
        <w:rPr>
          <w:rFonts w:hint="eastAsia" w:ascii="新宋体" w:hAnsi="新宋体" w:eastAsia="新宋体"/>
          <w:szCs w:val="21"/>
        </w:rPr>
        <w:t>，或者投标资格被取消，近三年以来没有骗取中标或者严重违约或者重大工程质量安全生产事故等问题</w:t>
      </w:r>
      <w:r>
        <w:rPr>
          <w:rFonts w:hint="eastAsia"/>
        </w:rPr>
        <w:t>；</w:t>
      </w:r>
      <w:r>
        <w:rPr>
          <w:rFonts w:hint="eastAsia" w:ascii="新宋体" w:hAnsi="新宋体" w:eastAsia="新宋体"/>
          <w:szCs w:val="21"/>
        </w:rPr>
        <w:t xml:space="preserve">我方承诺上述信息的真实和准确，一经发现我方愿意无条件自动放弃中标资格。 </w:t>
      </w:r>
    </w:p>
    <w:p w14:paraId="4335A603">
      <w:pPr>
        <w:spacing w:line="360" w:lineRule="auto"/>
        <w:rPr>
          <w:rFonts w:ascii="新宋体" w:hAnsi="新宋体" w:eastAsia="新宋体"/>
          <w:szCs w:val="21"/>
        </w:rPr>
      </w:pPr>
    </w:p>
    <w:p w14:paraId="5DA71001">
      <w:pPr>
        <w:spacing w:line="360" w:lineRule="auto"/>
        <w:ind w:firstLine="420" w:firstLineChars="200"/>
        <w:rPr>
          <w:rFonts w:ascii="新宋体" w:hAnsi="新宋体" w:eastAsia="新宋体"/>
          <w:szCs w:val="21"/>
        </w:rPr>
      </w:pPr>
      <w:r>
        <w:rPr>
          <w:rFonts w:hint="eastAsia" w:ascii="新宋体" w:hAnsi="新宋体" w:eastAsia="新宋体"/>
          <w:szCs w:val="21"/>
        </w:rPr>
        <w:t>特此承诺</w:t>
      </w:r>
    </w:p>
    <w:p w14:paraId="688CFCAB">
      <w:pPr>
        <w:pStyle w:val="64"/>
        <w:rPr>
          <w:color w:val="auto"/>
        </w:rPr>
      </w:pPr>
    </w:p>
    <w:p w14:paraId="5902DFBE">
      <w:pPr>
        <w:pStyle w:val="64"/>
        <w:rPr>
          <w:color w:val="auto"/>
        </w:rPr>
      </w:pPr>
    </w:p>
    <w:p w14:paraId="568219EE">
      <w:pPr>
        <w:pStyle w:val="64"/>
        <w:rPr>
          <w:color w:val="auto"/>
        </w:rPr>
      </w:pPr>
    </w:p>
    <w:p w14:paraId="036C33AB">
      <w:pPr>
        <w:spacing w:line="520" w:lineRule="exact"/>
        <w:jc w:val="right"/>
        <w:rPr>
          <w:rFonts w:ascii="宋体" w:hAnsi="宋体" w:cs="宋体"/>
          <w:szCs w:val="21"/>
        </w:rPr>
      </w:pPr>
      <w:r>
        <w:rPr>
          <w:rFonts w:hint="eastAsia" w:ascii="宋体" w:hAnsi="宋体" w:cs="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6C6602C8">
      <w:pPr>
        <w:spacing w:line="52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szCs w:val="21"/>
        </w:rPr>
        <w:t>（电子签章或签字）</w:t>
      </w:r>
    </w:p>
    <w:p w14:paraId="0546B3E7">
      <w:pPr>
        <w:spacing w:line="520" w:lineRule="exact"/>
        <w:jc w:val="right"/>
        <w:rPr>
          <w:rFonts w:ascii="宋体" w:hAnsi="宋体" w:cs="宋体"/>
          <w:szCs w:val="21"/>
        </w:rPr>
      </w:pPr>
      <w:r>
        <w:rPr>
          <w:rFonts w:hint="eastAsia" w:ascii="宋体" w:hAnsi="宋体" w:cs="宋体"/>
          <w:szCs w:val="21"/>
        </w:rPr>
        <w:t>年月日</w:t>
      </w:r>
    </w:p>
    <w:p w14:paraId="5572A07B">
      <w:pPr>
        <w:pStyle w:val="64"/>
        <w:rPr>
          <w:color w:val="auto"/>
        </w:rPr>
        <w:sectPr>
          <w:pgSz w:w="11906" w:h="16838"/>
          <w:pgMar w:top="1440" w:right="1800" w:bottom="1440" w:left="1800" w:header="851" w:footer="992" w:gutter="0"/>
          <w:cols w:space="720" w:num="1"/>
          <w:docGrid w:type="lines" w:linePitch="312" w:charSpace="0"/>
        </w:sectPr>
      </w:pPr>
    </w:p>
    <w:p w14:paraId="5326CA76">
      <w:pPr>
        <w:jc w:val="center"/>
        <w:rPr>
          <w:b/>
          <w:bCs/>
        </w:rPr>
      </w:pPr>
      <w:r>
        <w:rPr>
          <w:rFonts w:hint="eastAsia"/>
          <w:b/>
          <w:bCs/>
        </w:rPr>
        <w:t>承诺书(三)</w:t>
      </w:r>
    </w:p>
    <w:p w14:paraId="0C2DE29F">
      <w:pPr>
        <w:pStyle w:val="2"/>
      </w:pPr>
    </w:p>
    <w:p w14:paraId="23D7E7B2">
      <w:pPr>
        <w:spacing w:before="312" w:beforeLines="100" w:after="312" w:afterLines="100"/>
        <w:jc w:val="center"/>
        <w:rPr>
          <w:rFonts w:ascii="黑体" w:hAnsi="宋体" w:eastAsia="黑体"/>
          <w:b/>
          <w:sz w:val="24"/>
        </w:rPr>
      </w:pPr>
      <w:r>
        <w:rPr>
          <w:rFonts w:hint="eastAsia" w:ascii="黑体" w:hAnsi="宋体" w:eastAsia="黑体"/>
          <w:b/>
          <w:sz w:val="24"/>
        </w:rPr>
        <w:t>无行贿行为承诺</w:t>
      </w:r>
    </w:p>
    <w:p w14:paraId="6AF0CB11">
      <w:pPr>
        <w:rPr>
          <w:rFonts w:ascii="宋体" w:hAnsi="宋体"/>
          <w:sz w:val="24"/>
        </w:rPr>
      </w:pPr>
    </w:p>
    <w:p w14:paraId="751B3FE7">
      <w:pPr>
        <w:rPr>
          <w:rFonts w:ascii="宋体" w:hAnsi="宋体"/>
          <w:sz w:val="24"/>
        </w:rPr>
      </w:pPr>
    </w:p>
    <w:p w14:paraId="17BFF855">
      <w:pPr>
        <w:spacing w:after="312" w:afterLines="100" w:line="440" w:lineRule="exact"/>
        <w:rPr>
          <w:rFonts w:ascii="新宋体" w:hAnsi="新宋体" w:eastAsia="新宋体"/>
          <w:szCs w:val="21"/>
        </w:rPr>
      </w:pPr>
      <w:r>
        <w:rPr>
          <w:rFonts w:hint="eastAsia" w:ascii="新宋体" w:hAnsi="新宋体" w:eastAsia="新宋体"/>
          <w:szCs w:val="21"/>
        </w:rPr>
        <w:t>（招标人名称）：</w:t>
      </w:r>
    </w:p>
    <w:p w14:paraId="38D3823A">
      <w:pPr>
        <w:spacing w:line="480" w:lineRule="auto"/>
        <w:rPr>
          <w:rFonts w:ascii="宋体" w:hAnsi="宋体"/>
          <w:sz w:val="24"/>
        </w:rPr>
      </w:pPr>
    </w:p>
    <w:p w14:paraId="0ED6ADF8">
      <w:pPr>
        <w:spacing w:line="360" w:lineRule="auto"/>
        <w:ind w:firstLine="735" w:firstLineChars="350"/>
        <w:rPr>
          <w:rFonts w:ascii="新宋体" w:hAnsi="新宋体" w:eastAsia="新宋体"/>
          <w:szCs w:val="21"/>
        </w:rPr>
      </w:pPr>
      <w:r>
        <w:rPr>
          <w:rFonts w:hint="eastAsia" w:ascii="新宋体" w:hAnsi="新宋体" w:eastAsia="新宋体"/>
          <w:szCs w:val="21"/>
        </w:rPr>
        <w:t>（投标人名称）郑重承诺，本公司包括企业本身</w:t>
      </w:r>
      <w:r>
        <w:rPr>
          <w:rFonts w:hint="eastAsia" w:ascii="宋体" w:hAnsi="宋体" w:cs="宋体"/>
          <w:spacing w:val="-2"/>
          <w:szCs w:val="22"/>
          <w:u w:val="single"/>
        </w:rPr>
        <w:t>（  ）</w:t>
      </w:r>
      <w:r>
        <w:rPr>
          <w:rFonts w:hint="eastAsia" w:ascii="新宋体" w:hAnsi="新宋体" w:eastAsia="新宋体"/>
          <w:szCs w:val="21"/>
        </w:rPr>
        <w:t>、企业法定代表人</w:t>
      </w:r>
      <w:r>
        <w:rPr>
          <w:rFonts w:hint="eastAsia" w:ascii="宋体" w:hAnsi="宋体" w:cs="宋体"/>
          <w:spacing w:val="-2"/>
          <w:szCs w:val="22"/>
          <w:u w:val="single"/>
        </w:rPr>
        <w:t>（  ）</w:t>
      </w:r>
      <w:r>
        <w:rPr>
          <w:rFonts w:hint="eastAsia" w:ascii="新宋体" w:hAnsi="新宋体" w:eastAsia="新宋体"/>
          <w:szCs w:val="21"/>
        </w:rPr>
        <w:t>、授权委托人</w:t>
      </w:r>
      <w:r>
        <w:rPr>
          <w:rFonts w:hint="eastAsia" w:ascii="宋体" w:hAnsi="宋体" w:cs="宋体"/>
          <w:spacing w:val="-2"/>
          <w:szCs w:val="22"/>
          <w:u w:val="single"/>
        </w:rPr>
        <w:t>（  ）</w:t>
      </w:r>
      <w:r>
        <w:rPr>
          <w:rFonts w:hint="eastAsia" w:ascii="新宋体" w:hAnsi="新宋体" w:eastAsia="新宋体"/>
          <w:szCs w:val="21"/>
        </w:rPr>
        <w:t>及拟担任本项目的项目负责人</w:t>
      </w:r>
      <w:r>
        <w:rPr>
          <w:rFonts w:hint="eastAsia" w:ascii="宋体" w:hAnsi="宋体" w:cs="宋体"/>
          <w:spacing w:val="-2"/>
          <w:szCs w:val="22"/>
          <w:u w:val="single"/>
        </w:rPr>
        <w:t>（  ）</w:t>
      </w:r>
      <w:r>
        <w:rPr>
          <w:rFonts w:hint="eastAsia" w:ascii="新宋体" w:hAnsi="新宋体" w:eastAsia="新宋体"/>
          <w:szCs w:val="21"/>
        </w:rPr>
        <w:t>在近三年内（自本项目招标公告发布之日往前顺推）无任何行贿犯罪行为。</w:t>
      </w:r>
    </w:p>
    <w:p w14:paraId="0C395B9E">
      <w:pPr>
        <w:spacing w:line="360" w:lineRule="auto"/>
        <w:ind w:firstLine="420" w:firstLineChars="200"/>
        <w:rPr>
          <w:rFonts w:ascii="新宋体" w:hAnsi="新宋体" w:eastAsia="新宋体"/>
          <w:szCs w:val="21"/>
        </w:rPr>
      </w:pPr>
      <w:r>
        <w:rPr>
          <w:rFonts w:hint="eastAsia" w:ascii="新宋体" w:hAnsi="新宋体" w:eastAsia="新宋体"/>
          <w:szCs w:val="21"/>
        </w:rPr>
        <w:t>我方保证上述信息的真实和准确，并愿意承担因我方就此弄虚作假所引起的一切责任及法律后果。</w:t>
      </w:r>
    </w:p>
    <w:p w14:paraId="4CC57EE7">
      <w:pPr>
        <w:spacing w:line="360" w:lineRule="auto"/>
        <w:ind w:firstLine="420" w:firstLineChars="200"/>
        <w:rPr>
          <w:rFonts w:ascii="新宋体" w:hAnsi="新宋体" w:eastAsia="新宋体"/>
          <w:szCs w:val="21"/>
        </w:rPr>
      </w:pPr>
      <w:r>
        <w:rPr>
          <w:rFonts w:hint="eastAsia" w:ascii="新宋体" w:hAnsi="新宋体" w:eastAsia="新宋体"/>
          <w:szCs w:val="21"/>
        </w:rPr>
        <w:t>特此承诺。</w:t>
      </w:r>
    </w:p>
    <w:p w14:paraId="322DF7B6">
      <w:pPr>
        <w:spacing w:line="520" w:lineRule="exact"/>
        <w:jc w:val="right"/>
        <w:rPr>
          <w:rFonts w:ascii="宋体" w:hAnsi="宋体" w:cs="宋体"/>
          <w:szCs w:val="21"/>
        </w:rPr>
      </w:pPr>
      <w:r>
        <w:rPr>
          <w:rFonts w:hint="eastAsia" w:ascii="宋体" w:hAnsi="宋体" w:cs="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78C01267">
      <w:pPr>
        <w:spacing w:line="52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szCs w:val="21"/>
        </w:rPr>
        <w:t>（电子签章或签字）</w:t>
      </w:r>
    </w:p>
    <w:p w14:paraId="4FB0E17F">
      <w:pPr>
        <w:spacing w:line="520" w:lineRule="exact"/>
        <w:jc w:val="right"/>
        <w:rPr>
          <w:rFonts w:ascii="宋体" w:hAnsi="宋体" w:cs="宋体"/>
          <w:szCs w:val="21"/>
        </w:rPr>
      </w:pPr>
      <w:r>
        <w:rPr>
          <w:rFonts w:hint="eastAsia" w:ascii="宋体" w:hAnsi="宋体" w:cs="宋体"/>
          <w:szCs w:val="21"/>
        </w:rPr>
        <w:t>年月日</w:t>
      </w:r>
    </w:p>
    <w:p w14:paraId="79EA0309"/>
    <w:p w14:paraId="064C897E">
      <w:pPr>
        <w:pStyle w:val="2"/>
      </w:pPr>
    </w:p>
    <w:p w14:paraId="210E5CEC">
      <w:pPr>
        <w:pStyle w:val="64"/>
        <w:rPr>
          <w:color w:val="auto"/>
        </w:rPr>
      </w:pPr>
    </w:p>
    <w:p w14:paraId="2C761865">
      <w:pPr>
        <w:pStyle w:val="64"/>
        <w:rPr>
          <w:color w:val="auto"/>
        </w:rPr>
      </w:pPr>
    </w:p>
    <w:p w14:paraId="235F6427">
      <w:pPr>
        <w:pStyle w:val="64"/>
        <w:rPr>
          <w:color w:val="auto"/>
        </w:rPr>
      </w:pPr>
    </w:p>
    <w:p w14:paraId="04D05513">
      <w:pPr>
        <w:pStyle w:val="64"/>
        <w:rPr>
          <w:color w:val="auto"/>
        </w:rPr>
      </w:pPr>
    </w:p>
    <w:p w14:paraId="16600258">
      <w:pPr>
        <w:pStyle w:val="64"/>
        <w:rPr>
          <w:color w:val="auto"/>
        </w:rPr>
      </w:pPr>
    </w:p>
    <w:p w14:paraId="04612BF1">
      <w:pPr>
        <w:pStyle w:val="64"/>
        <w:rPr>
          <w:color w:val="auto"/>
        </w:rPr>
      </w:pPr>
    </w:p>
    <w:p w14:paraId="50997321">
      <w:pPr>
        <w:pStyle w:val="64"/>
        <w:rPr>
          <w:color w:val="auto"/>
        </w:rPr>
      </w:pPr>
    </w:p>
    <w:p w14:paraId="67008EEE">
      <w:pPr>
        <w:pStyle w:val="64"/>
        <w:rPr>
          <w:color w:val="auto"/>
        </w:rPr>
      </w:pPr>
    </w:p>
    <w:p w14:paraId="3505707B">
      <w:pPr>
        <w:pStyle w:val="64"/>
        <w:rPr>
          <w:color w:val="auto"/>
        </w:rPr>
      </w:pPr>
    </w:p>
    <w:p w14:paraId="5D898FCA">
      <w:pPr>
        <w:pStyle w:val="64"/>
        <w:rPr>
          <w:color w:val="auto"/>
        </w:rPr>
      </w:pPr>
      <w:r>
        <w:rPr>
          <w:color w:val="auto"/>
        </w:rPr>
        <w:br w:type="page"/>
      </w:r>
    </w:p>
    <w:p w14:paraId="4E807F07">
      <w:pPr>
        <w:pStyle w:val="40"/>
        <w:spacing w:before="468" w:beforeLines="150"/>
        <w:ind w:right="-512" w:rightChars="-244"/>
        <w:jc w:val="center"/>
        <w:rPr>
          <w:b/>
        </w:rPr>
      </w:pPr>
      <w:r>
        <w:rPr>
          <w:rFonts w:hint="eastAsia"/>
          <w:b/>
        </w:rPr>
        <w:t xml:space="preserve"> (四)</w:t>
      </w:r>
      <w:r>
        <w:rPr>
          <w:rFonts w:hint="eastAsia" w:ascii="宋体" w:hAnsi="宋体"/>
        </w:rPr>
        <w:t xml:space="preserve"> </w:t>
      </w:r>
      <w:r>
        <w:rPr>
          <w:rFonts w:hint="eastAsia"/>
          <w:b/>
        </w:rPr>
        <w:t>信用承诺书</w:t>
      </w:r>
    </w:p>
    <w:p w14:paraId="00379E22">
      <w:pPr>
        <w:widowControl/>
        <w:adjustRightInd w:val="0"/>
        <w:snapToGrid w:val="0"/>
        <w:spacing w:after="200"/>
        <w:jc w:val="left"/>
        <w:rPr>
          <w:rFonts w:ascii="仿宋" w:hAnsi="仿宋" w:eastAsia="仿宋" w:cs="宋体"/>
          <w:kern w:val="0"/>
          <w:sz w:val="32"/>
          <w:szCs w:val="32"/>
        </w:rPr>
      </w:pPr>
    </w:p>
    <w:p w14:paraId="377CF636">
      <w:pPr>
        <w:pStyle w:val="267"/>
        <w:keepNext/>
        <w:keepLines/>
        <w:spacing w:after="0" w:line="480" w:lineRule="exact"/>
        <w:rPr>
          <w:rFonts w:cs="仿宋"/>
          <w:b w:val="0"/>
          <w:sz w:val="24"/>
          <w:szCs w:val="24"/>
        </w:rPr>
      </w:pPr>
      <w:bookmarkStart w:id="727" w:name="bookmark45"/>
      <w:bookmarkStart w:id="728" w:name="bookmark43"/>
      <w:bookmarkStart w:id="729" w:name="bookmark44"/>
      <w:r>
        <w:rPr>
          <w:rFonts w:hint="eastAsia" w:cs="仿宋"/>
          <w:b w:val="0"/>
          <w:sz w:val="24"/>
          <w:szCs w:val="24"/>
        </w:rPr>
        <w:t>（投标单位范本）</w:t>
      </w:r>
      <w:bookmarkEnd w:id="727"/>
      <w:bookmarkEnd w:id="728"/>
      <w:bookmarkEnd w:id="729"/>
    </w:p>
    <w:p w14:paraId="795C5954">
      <w:pPr>
        <w:pStyle w:val="265"/>
        <w:spacing w:line="580" w:lineRule="exact"/>
        <w:ind w:firstLineChars="200"/>
        <w:rPr>
          <w:rFonts w:cs="仿宋"/>
          <w:sz w:val="24"/>
          <w:lang w:val="en-US"/>
        </w:rPr>
      </w:pPr>
      <w:r>
        <w:rPr>
          <w:rFonts w:hint="eastAsia" w:cs="仿宋"/>
          <w:sz w:val="24"/>
          <w:lang w:val="en-US"/>
        </w:rPr>
        <w:t>依据宛发改公管〔2022〕125号文件要求：为营造公开、公平、公正、诚实守信的公共资源交易环境，树立诚信守法的投标人形象，本人代表本单位作出以下承诺;</w:t>
      </w:r>
    </w:p>
    <w:p w14:paraId="71D8C616">
      <w:pPr>
        <w:pStyle w:val="265"/>
        <w:spacing w:line="580" w:lineRule="exact"/>
        <w:ind w:firstLineChars="200"/>
        <w:rPr>
          <w:rFonts w:cs="仿宋"/>
          <w:sz w:val="24"/>
          <w:lang w:val="en-US"/>
        </w:rPr>
      </w:pPr>
      <w:r>
        <w:rPr>
          <w:rFonts w:hint="eastAsia" w:cs="仿宋"/>
          <w:sz w:val="24"/>
          <w:lang w:val="en-US"/>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54A2667">
      <w:pPr>
        <w:pStyle w:val="265"/>
        <w:spacing w:line="580" w:lineRule="exact"/>
        <w:ind w:firstLineChars="200"/>
        <w:rPr>
          <w:rFonts w:cs="仿宋"/>
          <w:sz w:val="24"/>
          <w:lang w:val="en-US"/>
        </w:rPr>
      </w:pPr>
      <w:r>
        <w:rPr>
          <w:rFonts w:hint="eastAsia" w:cs="仿宋"/>
          <w:sz w:val="24"/>
          <w:lang w:val="en-US"/>
        </w:rPr>
        <w:t>（二）严格依照国家和河南省关于招标投标的法律、法规、规章、规范性文件，参加公共资源招标投标活动，不挂靠、借用、出租、出借、转让资质，积极履行社会责任，促进廉政建设。</w:t>
      </w:r>
    </w:p>
    <w:p w14:paraId="24C01C6A">
      <w:pPr>
        <w:pStyle w:val="265"/>
        <w:spacing w:line="580" w:lineRule="exact"/>
        <w:ind w:firstLineChars="200"/>
        <w:rPr>
          <w:rFonts w:cs="仿宋"/>
          <w:sz w:val="24"/>
          <w:lang w:val="en-US"/>
        </w:rPr>
      </w:pPr>
      <w:r>
        <w:rPr>
          <w:rFonts w:hint="eastAsia" w:cs="仿宋"/>
          <w:sz w:val="24"/>
          <w:lang w:val="en-US"/>
        </w:rPr>
        <w:t>（三）自我约束、自我管理，守合同、重信用，不参与围标串标、弄虚作假、骗取中标、干扰评标、胁迫他人投标（放弃中标）、恶意投诉、违约毁约等行为，自觉维护公共资源招标投标的良好秩序。</w:t>
      </w:r>
    </w:p>
    <w:p w14:paraId="34E01953">
      <w:pPr>
        <w:pStyle w:val="265"/>
        <w:spacing w:line="580" w:lineRule="exact"/>
        <w:ind w:firstLineChars="200"/>
        <w:rPr>
          <w:rFonts w:cs="仿宋"/>
          <w:sz w:val="24"/>
          <w:lang w:val="en-US"/>
        </w:rPr>
      </w:pPr>
      <w:r>
        <w:rPr>
          <w:rFonts w:hint="eastAsia" w:cs="仿宋"/>
          <w:sz w:val="24"/>
          <w:lang w:val="en-US"/>
        </w:rPr>
        <w:t>（四）本单位及项目经办人员信用状况良好，未被列为失信惩戒对象或"老赖""，符合参与公共资源交易活动的相关要求。</w:t>
      </w:r>
    </w:p>
    <w:p w14:paraId="1F079E4B">
      <w:pPr>
        <w:pStyle w:val="265"/>
        <w:spacing w:line="580" w:lineRule="exact"/>
        <w:ind w:firstLineChars="200"/>
        <w:rPr>
          <w:rFonts w:cs="仿宋"/>
          <w:sz w:val="24"/>
          <w:lang w:val="en-US"/>
        </w:rPr>
      </w:pPr>
      <w:r>
        <w:rPr>
          <w:rFonts w:hint="eastAsia" w:cs="仿宋"/>
          <w:sz w:val="24"/>
          <w:lang w:val="en-US"/>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11DE7627">
      <w:pPr>
        <w:pStyle w:val="265"/>
        <w:spacing w:line="580" w:lineRule="exact"/>
        <w:ind w:firstLineChars="200"/>
        <w:rPr>
          <w:rFonts w:cs="仿宋"/>
          <w:sz w:val="24"/>
          <w:lang w:val="en-US"/>
        </w:rPr>
      </w:pPr>
      <w:r>
        <w:rPr>
          <w:rFonts w:hint="eastAsia" w:cs="仿宋"/>
          <w:sz w:val="24"/>
          <w:lang w:val="en-US"/>
        </w:rPr>
        <w:t>（六）若中标，本单位将在规定的时间内与招标人签订合同并自觉履行合同义务，不转包或违法分包中标项目。</w:t>
      </w:r>
    </w:p>
    <w:p w14:paraId="24EF501E">
      <w:pPr>
        <w:pStyle w:val="265"/>
        <w:spacing w:line="580" w:lineRule="exact"/>
        <w:ind w:firstLineChars="200"/>
        <w:rPr>
          <w:rFonts w:cs="仿宋"/>
          <w:sz w:val="24"/>
          <w:lang w:val="en-US"/>
        </w:rPr>
      </w:pPr>
      <w:r>
        <w:rPr>
          <w:rFonts w:hint="eastAsia" w:cs="仿宋"/>
          <w:sz w:val="24"/>
          <w:lang w:val="en-US"/>
        </w:rPr>
        <w:t>（七）自觉接受政府、行业组织、社会公众、新闻舆论的监督。</w:t>
      </w:r>
    </w:p>
    <w:p w14:paraId="451EAE05">
      <w:pPr>
        <w:pStyle w:val="265"/>
        <w:spacing w:line="580" w:lineRule="exact"/>
        <w:ind w:firstLineChars="200"/>
        <w:rPr>
          <w:rFonts w:cs="仿宋"/>
          <w:sz w:val="24"/>
          <w:lang w:val="en-US"/>
        </w:rPr>
      </w:pPr>
      <w:r>
        <w:rPr>
          <w:rFonts w:hint="eastAsia" w:cs="仿宋"/>
          <w:sz w:val="24"/>
          <w:lang w:val="en-US"/>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669BE8BF">
      <w:pPr>
        <w:pStyle w:val="265"/>
        <w:spacing w:line="580" w:lineRule="exact"/>
        <w:ind w:firstLineChars="200"/>
        <w:rPr>
          <w:rFonts w:cs="仿宋"/>
          <w:sz w:val="24"/>
          <w:lang w:val="en-US"/>
        </w:rPr>
      </w:pPr>
      <w:r>
        <w:rPr>
          <w:rFonts w:hint="eastAsia" w:cs="仿宋"/>
          <w:sz w:val="24"/>
          <w:lang w:val="en-US"/>
        </w:rPr>
        <w:t>（九）本人已认真阅读了上述承诺，并向本单位员工作了宣传教育。</w:t>
      </w:r>
    </w:p>
    <w:p w14:paraId="75CCF05A">
      <w:pPr>
        <w:pStyle w:val="265"/>
        <w:spacing w:line="580" w:lineRule="exact"/>
        <w:ind w:firstLineChars="200"/>
        <w:rPr>
          <w:rFonts w:cs="仿宋"/>
          <w:sz w:val="24"/>
          <w:lang w:val="en-US"/>
        </w:rPr>
      </w:pPr>
    </w:p>
    <w:p w14:paraId="14722B7F">
      <w:pPr>
        <w:spacing w:line="440" w:lineRule="exact"/>
        <w:jc w:val="right"/>
        <w:rPr>
          <w:rFonts w:ascii="宋体" w:hAnsi="宋体"/>
          <w:szCs w:val="21"/>
        </w:rPr>
      </w:pPr>
      <w:r>
        <w:rPr>
          <w:rFonts w:hint="eastAsia" w:ascii="宋体" w:hAnsi="宋体" w:cs="仿宋"/>
          <w:kern w:val="0"/>
          <w:sz w:val="24"/>
          <w:lang w:eastAsia="zh-TW"/>
        </w:rPr>
        <w:t xml:space="preserve">                                 </w:t>
      </w:r>
      <w:r>
        <w:rPr>
          <w:rFonts w:hint="eastAsia" w:ascii="宋体" w:hAnsi="宋体"/>
          <w:szCs w:val="21"/>
        </w:rPr>
        <w:t>法定代表人或（委托代理人）签字∶</w:t>
      </w:r>
    </w:p>
    <w:p w14:paraId="660FDAAC">
      <w:pPr>
        <w:spacing w:line="440" w:lineRule="exact"/>
        <w:jc w:val="right"/>
        <w:rPr>
          <w:rFonts w:ascii="宋体" w:hAnsi="宋体"/>
          <w:szCs w:val="21"/>
        </w:rPr>
      </w:pPr>
    </w:p>
    <w:p w14:paraId="30B701DA">
      <w:pPr>
        <w:spacing w:line="440" w:lineRule="exact"/>
        <w:jc w:val="right"/>
        <w:rPr>
          <w:rFonts w:ascii="宋体" w:hAnsi="宋体"/>
          <w:szCs w:val="21"/>
        </w:rPr>
      </w:pPr>
      <w:r>
        <w:rPr>
          <w:rFonts w:hint="eastAsia" w:ascii="宋体" w:hAnsi="宋体"/>
          <w:szCs w:val="21"/>
        </w:rPr>
        <w:t xml:space="preserve">                                       企业名称（盖章）∶ </w:t>
      </w:r>
    </w:p>
    <w:p w14:paraId="7B3D502A">
      <w:pPr>
        <w:spacing w:line="440" w:lineRule="exact"/>
        <w:jc w:val="right"/>
        <w:rPr>
          <w:rFonts w:ascii="宋体" w:hAnsi="宋体"/>
          <w:szCs w:val="21"/>
        </w:rPr>
      </w:pPr>
    </w:p>
    <w:p w14:paraId="23A43A3F">
      <w:pPr>
        <w:spacing w:line="440" w:lineRule="exact"/>
        <w:jc w:val="right"/>
        <w:rPr>
          <w:rFonts w:ascii="宋体" w:hAnsi="宋体"/>
          <w:szCs w:val="21"/>
        </w:rPr>
      </w:pPr>
      <w:r>
        <w:rPr>
          <w:rFonts w:hint="eastAsia" w:ascii="宋体" w:hAnsi="宋体"/>
          <w:szCs w:val="21"/>
        </w:rPr>
        <w:t xml:space="preserve">                                      项目负责人（签字）∶</w:t>
      </w:r>
    </w:p>
    <w:p w14:paraId="2D517A46">
      <w:pPr>
        <w:spacing w:line="440" w:lineRule="exact"/>
        <w:jc w:val="right"/>
        <w:rPr>
          <w:rFonts w:ascii="宋体" w:hAnsi="宋体"/>
          <w:szCs w:val="21"/>
          <w:u w:val="single"/>
        </w:rPr>
      </w:pPr>
    </w:p>
    <w:p w14:paraId="1586C429">
      <w:pPr>
        <w:spacing w:line="440" w:lineRule="exact"/>
        <w:jc w:val="right"/>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367C4F7C">
      <w:pPr>
        <w:pStyle w:val="2"/>
      </w:pPr>
    </w:p>
    <w:p w14:paraId="5BCD1B7B">
      <w:pPr>
        <w:widowControl/>
        <w:jc w:val="left"/>
        <w:rPr>
          <w:rFonts w:ascii="宋体" w:hAnsi="宋体"/>
          <w:b/>
          <w:bCs/>
          <w:sz w:val="32"/>
          <w:szCs w:val="32"/>
        </w:rPr>
      </w:pPr>
      <w:r>
        <w:rPr>
          <w:rFonts w:ascii="宋体" w:hAnsi="宋体"/>
        </w:rPr>
        <w:br w:type="page"/>
      </w:r>
    </w:p>
    <w:p w14:paraId="30FB9887">
      <w:pPr>
        <w:pStyle w:val="5"/>
        <w:jc w:val="center"/>
        <w:rPr>
          <w:rFonts w:ascii="宋体" w:hAnsi="宋体"/>
        </w:rPr>
      </w:pPr>
      <w:bookmarkStart w:id="730" w:name="_Toc167311841"/>
      <w:r>
        <w:rPr>
          <w:rFonts w:hint="eastAsia" w:ascii="宋体" w:hAnsi="宋体"/>
        </w:rPr>
        <w:t>十、其它需要提供的资料</w:t>
      </w:r>
      <w:bookmarkEnd w:id="730"/>
    </w:p>
    <w:p w14:paraId="2D4A4385">
      <w:pPr>
        <w:spacing w:line="440" w:lineRule="exact"/>
        <w:ind w:firstLine="420" w:firstLineChars="200"/>
        <w:rPr>
          <w:rFonts w:ascii="宋体" w:hAnsi="宋体"/>
        </w:rPr>
      </w:pPr>
      <w:r>
        <w:rPr>
          <w:rFonts w:hint="eastAsia" w:ascii="宋体" w:hAnsi="宋体"/>
        </w:rPr>
        <w:t>（凡以上未要求，且投标单位需要说明的材料都可以以复印件的形式附后）</w:t>
      </w:r>
    </w:p>
    <w:p w14:paraId="2CA4A13A">
      <w:pPr>
        <w:spacing w:line="440" w:lineRule="exact"/>
        <w:ind w:firstLine="420" w:firstLineChars="200"/>
        <w:rPr>
          <w:rFonts w:ascii="宋体" w:hAnsi="宋体"/>
        </w:rPr>
      </w:pPr>
    </w:p>
    <w:p w14:paraId="2D31E963">
      <w:pPr>
        <w:spacing w:line="440" w:lineRule="exact"/>
        <w:ind w:firstLine="420" w:firstLineChars="200"/>
        <w:rPr>
          <w:rFonts w:ascii="宋体" w:hAnsi="宋体"/>
        </w:rPr>
      </w:pPr>
    </w:p>
    <w:p w14:paraId="23D2B0F5">
      <w:pPr>
        <w:spacing w:line="440" w:lineRule="exact"/>
        <w:ind w:firstLine="420" w:firstLineChars="200"/>
        <w:rPr>
          <w:rFonts w:ascii="宋体" w:hAnsi="宋体"/>
        </w:rPr>
      </w:pPr>
    </w:p>
    <w:p w14:paraId="2FB5F460">
      <w:pPr>
        <w:spacing w:line="440" w:lineRule="exact"/>
        <w:ind w:firstLine="420" w:firstLineChars="200"/>
        <w:rPr>
          <w:rFonts w:ascii="宋体" w:hAnsi="宋体"/>
        </w:rPr>
      </w:pPr>
    </w:p>
    <w:p w14:paraId="4CB93702">
      <w:pPr>
        <w:spacing w:line="440" w:lineRule="exact"/>
        <w:ind w:firstLine="420" w:firstLineChars="200"/>
        <w:rPr>
          <w:rFonts w:ascii="宋体" w:hAnsi="宋体"/>
        </w:rPr>
      </w:pPr>
    </w:p>
    <w:p w14:paraId="1EC18FDA">
      <w:pPr>
        <w:spacing w:line="440" w:lineRule="exact"/>
        <w:ind w:firstLine="420" w:firstLineChars="200"/>
        <w:rPr>
          <w:rFonts w:ascii="宋体" w:hAnsi="宋体"/>
        </w:rPr>
      </w:pPr>
    </w:p>
    <w:p w14:paraId="1F993C56">
      <w:pPr>
        <w:spacing w:line="440" w:lineRule="exact"/>
        <w:ind w:firstLine="420" w:firstLineChars="200"/>
        <w:rPr>
          <w:rFonts w:ascii="宋体" w:hAnsi="宋体"/>
        </w:rPr>
      </w:pPr>
    </w:p>
    <w:p w14:paraId="5F53299A">
      <w:pPr>
        <w:spacing w:line="440" w:lineRule="exact"/>
        <w:ind w:firstLine="420" w:firstLineChars="200"/>
        <w:rPr>
          <w:rFonts w:ascii="宋体" w:hAnsi="宋体"/>
        </w:rPr>
      </w:pPr>
    </w:p>
    <w:p w14:paraId="0CD2B27E">
      <w:pPr>
        <w:spacing w:line="440" w:lineRule="exact"/>
        <w:ind w:firstLine="420" w:firstLineChars="200"/>
        <w:rPr>
          <w:rFonts w:ascii="宋体" w:hAnsi="宋体"/>
        </w:rPr>
      </w:pPr>
    </w:p>
    <w:p w14:paraId="2F0DEA5C">
      <w:pPr>
        <w:spacing w:line="440" w:lineRule="exact"/>
        <w:ind w:firstLine="420" w:firstLineChars="200"/>
        <w:rPr>
          <w:rFonts w:ascii="宋体" w:hAnsi="宋体"/>
        </w:rPr>
      </w:pPr>
    </w:p>
    <w:p w14:paraId="325CED59">
      <w:pPr>
        <w:spacing w:line="440" w:lineRule="exact"/>
        <w:ind w:firstLine="420" w:firstLineChars="200"/>
        <w:rPr>
          <w:rFonts w:ascii="宋体" w:hAnsi="宋体"/>
        </w:rPr>
      </w:pPr>
    </w:p>
    <w:p w14:paraId="1A234EE1">
      <w:pPr>
        <w:spacing w:line="440" w:lineRule="exact"/>
        <w:ind w:firstLine="420" w:firstLineChars="200"/>
        <w:rPr>
          <w:rFonts w:ascii="宋体" w:hAnsi="宋体"/>
        </w:rPr>
      </w:pPr>
    </w:p>
    <w:p w14:paraId="54A0C095">
      <w:pPr>
        <w:spacing w:line="440" w:lineRule="exact"/>
        <w:ind w:firstLine="420" w:firstLineChars="200"/>
        <w:rPr>
          <w:rFonts w:ascii="宋体" w:hAnsi="宋体"/>
        </w:rPr>
      </w:pPr>
    </w:p>
    <w:p w14:paraId="16262D0C">
      <w:pPr>
        <w:spacing w:line="440" w:lineRule="exact"/>
        <w:ind w:firstLine="420" w:firstLineChars="200"/>
        <w:rPr>
          <w:rFonts w:ascii="宋体" w:hAnsi="宋体"/>
        </w:rPr>
      </w:pPr>
    </w:p>
    <w:p w14:paraId="1DDB00C8">
      <w:pPr>
        <w:spacing w:line="440" w:lineRule="exact"/>
        <w:ind w:firstLine="420" w:firstLineChars="200"/>
        <w:rPr>
          <w:rFonts w:ascii="宋体" w:hAnsi="宋体"/>
        </w:rPr>
      </w:pPr>
    </w:p>
    <w:p w14:paraId="6FD599F6">
      <w:pPr>
        <w:spacing w:line="440" w:lineRule="exact"/>
        <w:ind w:firstLine="420" w:firstLineChars="200"/>
        <w:rPr>
          <w:rFonts w:ascii="宋体" w:hAnsi="宋体"/>
        </w:rPr>
      </w:pPr>
    </w:p>
    <w:p w14:paraId="1B52A814">
      <w:pPr>
        <w:spacing w:line="440" w:lineRule="exact"/>
        <w:ind w:firstLine="420" w:firstLineChars="200"/>
        <w:rPr>
          <w:rFonts w:ascii="宋体" w:hAnsi="宋体"/>
        </w:rPr>
      </w:pPr>
    </w:p>
    <w:p w14:paraId="2EC82EAF">
      <w:pPr>
        <w:spacing w:line="440" w:lineRule="exact"/>
        <w:ind w:firstLine="420" w:firstLineChars="200"/>
        <w:rPr>
          <w:rFonts w:ascii="宋体" w:hAnsi="宋体"/>
        </w:rPr>
      </w:pPr>
    </w:p>
    <w:p w14:paraId="33F9134F">
      <w:pPr>
        <w:spacing w:line="440" w:lineRule="exact"/>
        <w:ind w:firstLine="420" w:firstLineChars="200"/>
        <w:rPr>
          <w:rFonts w:ascii="宋体" w:hAnsi="宋体"/>
        </w:rPr>
      </w:pPr>
    </w:p>
    <w:p w14:paraId="571947DE">
      <w:pPr>
        <w:spacing w:line="440" w:lineRule="exact"/>
        <w:ind w:firstLine="420" w:firstLineChars="200"/>
        <w:rPr>
          <w:rFonts w:ascii="宋体" w:hAnsi="宋体"/>
        </w:rPr>
      </w:pPr>
    </w:p>
    <w:p w14:paraId="5DC2A8A9">
      <w:pPr>
        <w:spacing w:line="440" w:lineRule="exact"/>
        <w:ind w:firstLine="420" w:firstLineChars="200"/>
        <w:rPr>
          <w:rFonts w:ascii="宋体" w:hAnsi="宋体"/>
        </w:rPr>
      </w:pPr>
    </w:p>
    <w:p w14:paraId="7A04D9FB">
      <w:pPr>
        <w:spacing w:line="440" w:lineRule="exact"/>
        <w:ind w:firstLine="420" w:firstLineChars="200"/>
        <w:rPr>
          <w:rFonts w:ascii="宋体" w:hAnsi="宋体"/>
        </w:rPr>
      </w:pPr>
    </w:p>
    <w:p w14:paraId="206C4447">
      <w:pPr>
        <w:spacing w:line="440" w:lineRule="exact"/>
        <w:ind w:firstLine="420" w:firstLineChars="200"/>
        <w:rPr>
          <w:rFonts w:ascii="宋体" w:hAnsi="宋体"/>
        </w:rPr>
      </w:pPr>
    </w:p>
    <w:p w14:paraId="6C1E567D">
      <w:pPr>
        <w:spacing w:line="440" w:lineRule="exact"/>
        <w:ind w:firstLine="420" w:firstLineChars="200"/>
        <w:rPr>
          <w:rFonts w:ascii="宋体" w:hAnsi="宋体"/>
        </w:rPr>
      </w:pPr>
    </w:p>
    <w:p w14:paraId="357D9A52">
      <w:pPr>
        <w:spacing w:line="440" w:lineRule="exact"/>
        <w:ind w:firstLine="420" w:firstLineChars="200"/>
        <w:rPr>
          <w:rFonts w:ascii="宋体" w:hAnsi="宋体"/>
        </w:rPr>
      </w:pPr>
    </w:p>
    <w:p w14:paraId="2B5D47CB">
      <w:pPr>
        <w:spacing w:line="440" w:lineRule="exact"/>
        <w:ind w:firstLine="420" w:firstLineChars="200"/>
        <w:rPr>
          <w:rFonts w:ascii="宋体" w:hAnsi="宋体"/>
        </w:rPr>
      </w:pPr>
    </w:p>
    <w:p w14:paraId="221FE741">
      <w:pPr>
        <w:spacing w:line="440" w:lineRule="exact"/>
        <w:rPr>
          <w:rFonts w:ascii="宋体" w:hAnsi="宋体"/>
          <w:b/>
          <w:sz w:val="32"/>
        </w:rPr>
      </w:pPr>
    </w:p>
    <w:p w14:paraId="06B85BBA">
      <w:pPr>
        <w:rPr>
          <w:rFonts w:ascii="宋体" w:hAnsi="宋体"/>
        </w:rPr>
      </w:pPr>
    </w:p>
    <w:p w14:paraId="67EEB9A3">
      <w:pPr>
        <w:pStyle w:val="5"/>
        <w:jc w:val="center"/>
        <w:rPr>
          <w:rFonts w:ascii="宋体" w:hAnsi="宋体"/>
        </w:rPr>
      </w:pPr>
      <w:bookmarkStart w:id="731" w:name="_Toc167311842"/>
      <w:r>
        <w:rPr>
          <w:rFonts w:hint="eastAsia" w:ascii="宋体" w:hAnsi="宋体"/>
        </w:rPr>
        <w:t>十一、招标文件确认书</w:t>
      </w:r>
      <w:bookmarkEnd w:id="731"/>
    </w:p>
    <w:p w14:paraId="3BF79F64">
      <w:pPr>
        <w:spacing w:after="312" w:afterLines="100" w:line="440" w:lineRule="exact"/>
        <w:rPr>
          <w:rFonts w:ascii="宋体"/>
        </w:rPr>
      </w:pPr>
      <w:r>
        <w:rPr>
          <w:rFonts w:hint="eastAsia" w:ascii="宋体" w:hAnsi="宋体"/>
        </w:rPr>
        <w:t>（招标人名称）：</w:t>
      </w:r>
    </w:p>
    <w:p w14:paraId="0CD522CA">
      <w:pPr>
        <w:spacing w:line="440" w:lineRule="exact"/>
        <w:ind w:firstLine="420" w:firstLineChars="200"/>
        <w:rPr>
          <w:rFonts w:ascii="宋体"/>
        </w:rPr>
      </w:pPr>
      <w:r>
        <w:rPr>
          <w:rFonts w:hint="eastAsia" w:ascii="宋体" w:hAnsi="宋体"/>
        </w:rPr>
        <w:t>我方已经详细阅读整个招标文件及有关组成文件的内容，对</w:t>
      </w:r>
      <w:r>
        <w:rPr>
          <w:rFonts w:hint="eastAsia"/>
        </w:rPr>
        <w:t>招标文件及有关组成文件</w:t>
      </w:r>
      <w:r>
        <w:rPr>
          <w:rFonts w:hint="eastAsia" w:ascii="宋体" w:hAnsi="宋体"/>
        </w:rPr>
        <w:t>的内容已充分理解并</w:t>
      </w:r>
      <w:r>
        <w:rPr>
          <w:rFonts w:hint="eastAsia"/>
        </w:rPr>
        <w:t>全部同意</w:t>
      </w:r>
      <w:r>
        <w:rPr>
          <w:rFonts w:hint="eastAsia" w:ascii="宋体" w:hAnsi="宋体"/>
        </w:rPr>
        <w:t>没有任何异议，</w:t>
      </w:r>
      <w:r>
        <w:rPr>
          <w:rFonts w:hint="eastAsia"/>
        </w:rPr>
        <w:t>我方承认、理解和遵照执行本次招标文件及有关组成文件的每一款要求</w:t>
      </w:r>
      <w:r>
        <w:rPr>
          <w:rFonts w:hint="eastAsia" w:ascii="宋体" w:hAnsi="宋体"/>
        </w:rPr>
        <w:t>，并放弃提出一切存有含糊不清或误解的权利，且我方保证在递交投标文件后不对本招标文件的任何内容提出异议。</w:t>
      </w:r>
    </w:p>
    <w:p w14:paraId="096663B1">
      <w:pPr>
        <w:spacing w:line="440" w:lineRule="exact"/>
        <w:ind w:firstLine="420" w:firstLineChars="200"/>
        <w:rPr>
          <w:rFonts w:ascii="宋体"/>
        </w:rPr>
      </w:pPr>
    </w:p>
    <w:p w14:paraId="649F8285">
      <w:pPr>
        <w:spacing w:line="440" w:lineRule="exact"/>
        <w:ind w:firstLine="420" w:firstLineChars="200"/>
        <w:rPr>
          <w:rFonts w:ascii="宋体"/>
        </w:rPr>
      </w:pPr>
    </w:p>
    <w:p w14:paraId="2300EBA9">
      <w:pPr>
        <w:spacing w:line="440" w:lineRule="exact"/>
        <w:rPr>
          <w:rFonts w:ascii="宋体"/>
        </w:rPr>
      </w:pPr>
    </w:p>
    <w:p w14:paraId="02A5C046">
      <w:pPr>
        <w:spacing w:line="440" w:lineRule="exact"/>
        <w:ind w:firstLine="420" w:firstLineChars="200"/>
        <w:rPr>
          <w:rFonts w:ascii="宋体"/>
        </w:rPr>
      </w:pPr>
    </w:p>
    <w:p w14:paraId="7795E167">
      <w:pPr>
        <w:spacing w:line="440" w:lineRule="exact"/>
        <w:ind w:firstLine="420" w:firstLineChars="200"/>
        <w:rPr>
          <w:rFonts w:ascii="宋体"/>
        </w:rPr>
      </w:pPr>
    </w:p>
    <w:p w14:paraId="29D72906">
      <w:pPr>
        <w:spacing w:line="440" w:lineRule="exact"/>
        <w:ind w:firstLine="420" w:firstLineChars="200"/>
        <w:rPr>
          <w:rFonts w:ascii="宋体"/>
        </w:rPr>
      </w:pPr>
    </w:p>
    <w:p w14:paraId="1D9004C8">
      <w:pPr>
        <w:spacing w:line="440" w:lineRule="exact"/>
        <w:ind w:firstLine="420" w:firstLineChars="200"/>
        <w:rPr>
          <w:rFonts w:ascii="宋体"/>
        </w:rPr>
      </w:pPr>
    </w:p>
    <w:p w14:paraId="34142C07">
      <w:pPr>
        <w:spacing w:line="520" w:lineRule="exact"/>
        <w:jc w:val="right"/>
        <w:rPr>
          <w:rFonts w:ascii="宋体" w:hAnsi="宋体" w:cs="宋体"/>
          <w:szCs w:val="21"/>
        </w:rPr>
      </w:pPr>
      <w:r>
        <w:rPr>
          <w:rFonts w:hint="eastAsia" w:ascii="宋体" w:hAnsi="宋体" w:cs="宋体"/>
          <w:szCs w:val="21"/>
        </w:rPr>
        <w:t>投标人：</w:t>
      </w:r>
      <w:r>
        <w:rPr>
          <w:rFonts w:ascii="宋体" w:hAnsi="宋体"/>
          <w:szCs w:val="21"/>
        </w:rPr>
        <w:t>（</w:t>
      </w:r>
      <w:r>
        <w:rPr>
          <w:rFonts w:hint="eastAsia" w:ascii="宋体" w:hAnsi="宋体"/>
          <w:szCs w:val="21"/>
        </w:rPr>
        <w:t>电子签章</w:t>
      </w:r>
      <w:r>
        <w:rPr>
          <w:rFonts w:ascii="宋体" w:hAnsi="宋体"/>
          <w:szCs w:val="21"/>
        </w:rPr>
        <w:t>）</w:t>
      </w:r>
    </w:p>
    <w:p w14:paraId="40AC08F1">
      <w:pPr>
        <w:spacing w:line="52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szCs w:val="21"/>
        </w:rPr>
        <w:t>（电子签章或签字）</w:t>
      </w:r>
    </w:p>
    <w:p w14:paraId="61DBB80C">
      <w:pPr>
        <w:spacing w:line="520" w:lineRule="exact"/>
        <w:jc w:val="right"/>
        <w:rPr>
          <w:rFonts w:ascii="宋体" w:hAnsi="宋体" w:cs="宋体"/>
          <w:szCs w:val="21"/>
        </w:rPr>
      </w:pPr>
      <w:r>
        <w:rPr>
          <w:rFonts w:hint="eastAsia" w:ascii="宋体" w:hAnsi="宋体" w:cs="宋体"/>
          <w:szCs w:val="21"/>
        </w:rPr>
        <w:t>年月日</w:t>
      </w:r>
    </w:p>
    <w:p w14:paraId="32A59E38">
      <w:pPr>
        <w:pStyle w:val="64"/>
        <w:rPr>
          <w:color w:val="auto"/>
        </w:rPr>
      </w:pPr>
    </w:p>
    <w:p w14:paraId="23D6FDDA">
      <w:pPr>
        <w:wordWrap w:val="0"/>
        <w:spacing w:line="440" w:lineRule="exact"/>
        <w:jc w:val="right"/>
        <w:rPr>
          <w:rFonts w:ascii="宋体" w:hAnsi="宋体"/>
          <w:sz w:val="24"/>
        </w:rPr>
      </w:pPr>
    </w:p>
    <w:p w14:paraId="3A30B8FC">
      <w:pPr>
        <w:spacing w:before="312" w:beforeLines="100" w:after="312" w:afterLines="100"/>
        <w:jc w:val="center"/>
      </w:pPr>
    </w:p>
    <w:p w14:paraId="00211373"/>
    <w:p w14:paraId="18E07D81"/>
    <w:p w14:paraId="51A3C0F9">
      <w:pPr>
        <w:rPr>
          <w:rFonts w:ascii="宋体" w:hAnsi="宋体"/>
        </w:rPr>
      </w:pPr>
    </w:p>
    <w:p w14:paraId="74B479D2">
      <w:pPr>
        <w:rPr>
          <w:rFonts w:ascii="宋体" w:hAnsi="宋体"/>
        </w:rPr>
      </w:pPr>
    </w:p>
    <w:p w14:paraId="59AD6804">
      <w:pPr>
        <w:rPr>
          <w:rFonts w:ascii="宋体" w:hAnsi="宋体"/>
        </w:rPr>
      </w:pPr>
    </w:p>
    <w:p w14:paraId="7D8B96F2">
      <w:pPr>
        <w:rPr>
          <w:rFonts w:ascii="宋体" w:hAnsi="宋体"/>
        </w:rPr>
      </w:pPr>
    </w:p>
    <w:p w14:paraId="72B0404D">
      <w:pPr>
        <w:rPr>
          <w:rFonts w:ascii="宋体" w:hAnsi="宋体"/>
        </w:rPr>
      </w:pPr>
      <w:r>
        <w:rPr>
          <w:rFonts w:ascii="宋体" w:hAnsi="宋体"/>
        </w:rPr>
        <w:br w:type="page"/>
      </w:r>
    </w:p>
    <w:p w14:paraId="2B289030">
      <w:pPr>
        <w:pStyle w:val="4"/>
        <w:jc w:val="center"/>
        <w:rPr>
          <w:rFonts w:ascii="宋体" w:hAnsi="宋体" w:eastAsia="宋体"/>
        </w:rPr>
      </w:pPr>
      <w:bookmarkStart w:id="732" w:name="_Toc15826"/>
      <w:bookmarkStart w:id="733" w:name="_Toc5247"/>
      <w:bookmarkStart w:id="734" w:name="_Toc395200036"/>
      <w:bookmarkStart w:id="735" w:name="_Toc534107384"/>
      <w:bookmarkStart w:id="736" w:name="_Toc527397801"/>
      <w:bookmarkStart w:id="737" w:name="_Toc167311843"/>
      <w:r>
        <w:rPr>
          <w:rFonts w:hint="eastAsia" w:ascii="宋体" w:hAnsi="宋体" w:eastAsia="宋体"/>
        </w:rPr>
        <w:t>第三部分  技术部分格式</w:t>
      </w:r>
      <w:bookmarkEnd w:id="732"/>
      <w:bookmarkEnd w:id="733"/>
      <w:bookmarkEnd w:id="734"/>
      <w:bookmarkEnd w:id="735"/>
      <w:bookmarkEnd w:id="736"/>
      <w:bookmarkEnd w:id="737"/>
    </w:p>
    <w:p w14:paraId="25AEC94F">
      <w:pPr>
        <w:rPr>
          <w:rFonts w:ascii="宋体" w:hAnsi="宋体"/>
        </w:rPr>
      </w:pPr>
    </w:p>
    <w:p w14:paraId="7B0E3984">
      <w:pPr>
        <w:rPr>
          <w:rFonts w:ascii="宋体" w:hAnsi="宋体"/>
        </w:rPr>
      </w:pPr>
    </w:p>
    <w:p w14:paraId="5D6D3373">
      <w:pPr>
        <w:rPr>
          <w:rFonts w:ascii="宋体" w:hAnsi="宋体"/>
        </w:rPr>
      </w:pPr>
    </w:p>
    <w:p w14:paraId="2A363202">
      <w:pPr>
        <w:rPr>
          <w:rFonts w:ascii="宋体" w:hAnsi="宋体"/>
        </w:rPr>
      </w:pPr>
    </w:p>
    <w:p w14:paraId="090C348D">
      <w:pPr>
        <w:rPr>
          <w:rFonts w:ascii="宋体" w:hAnsi="宋体"/>
        </w:rPr>
      </w:pPr>
    </w:p>
    <w:p w14:paraId="656313BA">
      <w:pPr>
        <w:rPr>
          <w:rFonts w:ascii="宋体" w:hAnsi="宋体"/>
        </w:rPr>
      </w:pPr>
    </w:p>
    <w:p w14:paraId="63F9A9C5">
      <w:pPr>
        <w:rPr>
          <w:rFonts w:ascii="宋体" w:hAnsi="宋体"/>
        </w:rPr>
      </w:pPr>
    </w:p>
    <w:p w14:paraId="38C94B13">
      <w:pPr>
        <w:rPr>
          <w:rFonts w:ascii="宋体" w:hAnsi="宋体"/>
        </w:rPr>
      </w:pPr>
    </w:p>
    <w:p w14:paraId="2A292A03">
      <w:pPr>
        <w:rPr>
          <w:rFonts w:ascii="宋体" w:hAnsi="宋体"/>
        </w:rPr>
      </w:pPr>
    </w:p>
    <w:p w14:paraId="729EA9C5">
      <w:pPr>
        <w:rPr>
          <w:rFonts w:ascii="宋体" w:hAnsi="宋体"/>
        </w:rPr>
      </w:pPr>
    </w:p>
    <w:p w14:paraId="08A41A04">
      <w:pPr>
        <w:rPr>
          <w:rFonts w:ascii="宋体" w:hAnsi="宋体"/>
        </w:rPr>
      </w:pPr>
    </w:p>
    <w:p w14:paraId="62A53AC0">
      <w:pPr>
        <w:rPr>
          <w:rFonts w:ascii="宋体" w:hAnsi="宋体"/>
        </w:rPr>
      </w:pPr>
    </w:p>
    <w:p w14:paraId="29285770">
      <w:pPr>
        <w:rPr>
          <w:rFonts w:ascii="宋体" w:hAnsi="宋体"/>
        </w:rPr>
      </w:pPr>
    </w:p>
    <w:p w14:paraId="02B586AF">
      <w:pPr>
        <w:rPr>
          <w:rFonts w:ascii="宋体" w:hAnsi="宋体"/>
        </w:rPr>
      </w:pPr>
    </w:p>
    <w:p w14:paraId="06C5DA58">
      <w:pPr>
        <w:rPr>
          <w:rFonts w:ascii="宋体" w:hAnsi="宋体"/>
        </w:rPr>
      </w:pPr>
    </w:p>
    <w:p w14:paraId="13402FF7">
      <w:pPr>
        <w:rPr>
          <w:rFonts w:ascii="宋体" w:hAnsi="宋体"/>
        </w:rPr>
      </w:pPr>
    </w:p>
    <w:p w14:paraId="0755D238">
      <w:pPr>
        <w:rPr>
          <w:rFonts w:ascii="宋体" w:hAnsi="宋体"/>
        </w:rPr>
      </w:pPr>
    </w:p>
    <w:p w14:paraId="4ABCD397">
      <w:pPr>
        <w:rPr>
          <w:rFonts w:ascii="宋体" w:hAnsi="宋体"/>
        </w:rPr>
      </w:pPr>
    </w:p>
    <w:p w14:paraId="1A1D82BD">
      <w:pPr>
        <w:rPr>
          <w:rFonts w:ascii="宋体" w:hAnsi="宋体"/>
        </w:rPr>
      </w:pPr>
    </w:p>
    <w:p w14:paraId="38B0C7FE">
      <w:pPr>
        <w:rPr>
          <w:rFonts w:ascii="宋体" w:hAnsi="宋体"/>
        </w:rPr>
      </w:pPr>
    </w:p>
    <w:p w14:paraId="76AFEC5F">
      <w:pPr>
        <w:rPr>
          <w:rFonts w:ascii="宋体" w:hAnsi="宋体"/>
        </w:rPr>
      </w:pPr>
    </w:p>
    <w:p w14:paraId="59F55348">
      <w:pPr>
        <w:rPr>
          <w:rFonts w:ascii="宋体" w:hAnsi="宋体"/>
        </w:rPr>
      </w:pPr>
    </w:p>
    <w:p w14:paraId="6CC93B7D">
      <w:pPr>
        <w:rPr>
          <w:rFonts w:ascii="宋体" w:hAnsi="宋体"/>
        </w:rPr>
      </w:pPr>
    </w:p>
    <w:p w14:paraId="1536F5D4">
      <w:pPr>
        <w:rPr>
          <w:rFonts w:ascii="宋体" w:hAnsi="宋体"/>
        </w:rPr>
      </w:pPr>
      <w:r>
        <w:rPr>
          <w:rFonts w:ascii="宋体" w:hAnsi="宋体"/>
        </w:rPr>
        <w:br w:type="page"/>
      </w:r>
    </w:p>
    <w:p w14:paraId="0E0FBA65">
      <w:pPr>
        <w:rPr>
          <w:rFonts w:ascii="宋体" w:hAnsi="宋体"/>
        </w:rPr>
      </w:pPr>
    </w:p>
    <w:p w14:paraId="27F24598">
      <w:pPr>
        <w:pStyle w:val="5"/>
        <w:jc w:val="center"/>
        <w:rPr>
          <w:rFonts w:ascii="宋体" w:hAnsi="宋体"/>
        </w:rPr>
      </w:pPr>
      <w:bookmarkStart w:id="738" w:name="_Toc114980918"/>
      <w:bookmarkStart w:id="739" w:name="_Toc22141"/>
      <w:bookmarkStart w:id="740" w:name="_Toc534107385"/>
      <w:bookmarkStart w:id="741" w:name="_Toc395200037"/>
      <w:bookmarkStart w:id="742" w:name="_Toc527397802"/>
      <w:bookmarkStart w:id="743" w:name="_Toc167311844"/>
      <w:bookmarkStart w:id="744" w:name="_Toc3497"/>
      <w:r>
        <w:rPr>
          <w:rFonts w:hint="eastAsia" w:ascii="宋体" w:hAnsi="宋体"/>
        </w:rPr>
        <w:t>十二、监理大纲</w:t>
      </w:r>
      <w:bookmarkEnd w:id="738"/>
      <w:bookmarkEnd w:id="739"/>
      <w:bookmarkEnd w:id="740"/>
      <w:bookmarkEnd w:id="741"/>
      <w:bookmarkEnd w:id="742"/>
      <w:bookmarkEnd w:id="743"/>
      <w:bookmarkEnd w:id="744"/>
    </w:p>
    <w:p w14:paraId="71D0032A">
      <w:pPr>
        <w:spacing w:line="440" w:lineRule="exact"/>
        <w:rPr>
          <w:rFonts w:ascii="宋体" w:hAnsi="宋体"/>
          <w:b/>
        </w:rPr>
      </w:pPr>
      <w:r>
        <w:rPr>
          <w:rFonts w:hint="eastAsia" w:ascii="宋体" w:hAnsi="宋体"/>
          <w:b/>
        </w:rPr>
        <w:t>编制要求：</w:t>
      </w:r>
    </w:p>
    <w:p w14:paraId="0D287EAE">
      <w:pPr>
        <w:spacing w:line="440" w:lineRule="exact"/>
        <w:ind w:firstLine="420" w:firstLineChars="200"/>
        <w:rPr>
          <w:rFonts w:ascii="宋体" w:hAnsi="宋体"/>
        </w:rPr>
      </w:pPr>
      <w:r>
        <w:rPr>
          <w:rFonts w:hint="eastAsia" w:ascii="宋体" w:hAnsi="宋体"/>
        </w:rPr>
        <w:t>根据建设部、省、市有关文件和规定，结合工程建设的实际情况和建设单位委托监理的任务范围，充分展示监理单位的类似工程监理经验和技术实力，以及对建设单位的郑重承诺。</w:t>
      </w:r>
    </w:p>
    <w:p w14:paraId="1A5466A2">
      <w:pPr>
        <w:spacing w:line="440" w:lineRule="exact"/>
        <w:ind w:firstLine="432" w:firstLineChars="200"/>
        <w:rPr>
          <w:rFonts w:ascii="宋体" w:hAnsi="宋体"/>
        </w:rPr>
      </w:pPr>
      <w:r>
        <w:rPr>
          <w:rFonts w:hint="eastAsia" w:ascii="宋体" w:hAnsi="宋体"/>
          <w:spacing w:val="3"/>
        </w:rPr>
        <w:t>大纲应列出主体及工程概况中所明确的分部工程的监理计划要点，监理的程序、依据、检测方法、人员职责、工作制度等。</w:t>
      </w:r>
    </w:p>
    <w:p w14:paraId="11FC264D">
      <w:pPr>
        <w:spacing w:line="440" w:lineRule="exact"/>
        <w:ind w:firstLine="420" w:firstLineChars="200"/>
        <w:rPr>
          <w:rFonts w:ascii="宋体" w:hAnsi="宋体"/>
        </w:rPr>
      </w:pPr>
      <w:r>
        <w:rPr>
          <w:rFonts w:hint="eastAsia" w:ascii="宋体" w:hAnsi="宋体"/>
        </w:rPr>
        <w:t>提出对本工程主要技术关键部位监理的实施意见，以及对建设、设计、施工监理方面的其它建议和要求。允许投标人根据监理目标的设定作出进一步的完善和补充。</w:t>
      </w:r>
    </w:p>
    <w:p w14:paraId="46C44362">
      <w:pPr>
        <w:spacing w:line="440" w:lineRule="exact"/>
        <w:ind w:firstLine="420" w:firstLineChars="200"/>
        <w:rPr>
          <w:rFonts w:ascii="宋体" w:hAnsi="宋体"/>
        </w:rPr>
      </w:pPr>
      <w:r>
        <w:rPr>
          <w:rFonts w:hint="eastAsia" w:ascii="宋体" w:hAnsi="宋体"/>
        </w:rPr>
        <w:t>如委托有关单位对本工程进行试验检测，须明示其单位名称和资质等级。</w:t>
      </w:r>
    </w:p>
    <w:p w14:paraId="2BB204B8">
      <w:pPr>
        <w:spacing w:line="440" w:lineRule="exact"/>
        <w:ind w:firstLine="420" w:firstLineChars="200"/>
        <w:rPr>
          <w:rFonts w:ascii="宋体" w:hAnsi="宋体"/>
        </w:rPr>
      </w:pPr>
      <w:r>
        <w:rPr>
          <w:rFonts w:hint="eastAsia" w:ascii="宋体" w:hAnsi="宋体"/>
        </w:rPr>
        <w:t>在大中型项目的监理工作中，项目监理机构应实施监理工作的计算机辅助管理。</w:t>
      </w:r>
    </w:p>
    <w:p w14:paraId="1D7BAC01">
      <w:pPr>
        <w:spacing w:line="440" w:lineRule="exact"/>
        <w:rPr>
          <w:rFonts w:ascii="宋体" w:hAnsi="宋体"/>
        </w:rPr>
      </w:pPr>
    </w:p>
    <w:p w14:paraId="1673FC7A">
      <w:pPr>
        <w:spacing w:line="440" w:lineRule="exact"/>
        <w:rPr>
          <w:rFonts w:ascii="宋体" w:hAnsi="宋体"/>
          <w:b/>
        </w:rPr>
      </w:pPr>
      <w:r>
        <w:rPr>
          <w:rFonts w:hint="eastAsia" w:ascii="宋体" w:hAnsi="宋体"/>
          <w:b/>
        </w:rPr>
        <w:t>主要组成内容：</w:t>
      </w:r>
    </w:p>
    <w:p w14:paraId="10BEB1B3">
      <w:pPr>
        <w:spacing w:line="440" w:lineRule="exact"/>
        <w:ind w:firstLine="420" w:firstLineChars="200"/>
        <w:rPr>
          <w:rFonts w:ascii="宋体" w:hAnsi="宋体"/>
        </w:rPr>
      </w:pPr>
      <w:r>
        <w:rPr>
          <w:rFonts w:hint="eastAsia" w:ascii="宋体" w:hAnsi="宋体"/>
        </w:rPr>
        <w:t>前言</w:t>
      </w:r>
    </w:p>
    <w:p w14:paraId="40C5188B">
      <w:pPr>
        <w:spacing w:line="440" w:lineRule="exact"/>
        <w:ind w:firstLine="420" w:firstLineChars="200"/>
        <w:rPr>
          <w:rFonts w:ascii="宋体" w:hAnsi="宋体"/>
        </w:rPr>
      </w:pPr>
      <w:r>
        <w:rPr>
          <w:rFonts w:hint="eastAsia" w:ascii="宋体" w:hAnsi="宋体"/>
        </w:rPr>
        <w:t>一、工程概况</w:t>
      </w:r>
    </w:p>
    <w:p w14:paraId="49258918">
      <w:pPr>
        <w:spacing w:line="440" w:lineRule="exact"/>
        <w:ind w:firstLine="420" w:firstLineChars="200"/>
        <w:rPr>
          <w:rFonts w:ascii="宋体" w:hAnsi="宋体"/>
        </w:rPr>
      </w:pPr>
      <w:r>
        <w:rPr>
          <w:rFonts w:hint="eastAsia" w:ascii="宋体" w:hAnsi="宋体"/>
        </w:rPr>
        <w:t>二、监理工作范围及目标</w:t>
      </w:r>
    </w:p>
    <w:p w14:paraId="6C77D046">
      <w:pPr>
        <w:spacing w:line="440" w:lineRule="exact"/>
        <w:ind w:firstLine="420" w:firstLineChars="200"/>
        <w:rPr>
          <w:rFonts w:ascii="宋体" w:hAnsi="宋体"/>
        </w:rPr>
      </w:pPr>
      <w:r>
        <w:rPr>
          <w:rFonts w:hint="eastAsia" w:ascii="宋体" w:hAnsi="宋体"/>
        </w:rPr>
        <w:t>三、监理组织方案</w:t>
      </w:r>
    </w:p>
    <w:p w14:paraId="5881E2C8">
      <w:pPr>
        <w:spacing w:line="440" w:lineRule="exact"/>
        <w:ind w:firstLine="420" w:firstLineChars="200"/>
        <w:rPr>
          <w:rFonts w:ascii="宋体" w:hAnsi="宋体"/>
        </w:rPr>
      </w:pPr>
      <w:r>
        <w:rPr>
          <w:rFonts w:hint="eastAsia" w:ascii="宋体" w:hAnsi="宋体"/>
        </w:rPr>
        <w:t>四、目标控制方案</w:t>
      </w:r>
    </w:p>
    <w:p w14:paraId="2EDA7657">
      <w:pPr>
        <w:spacing w:line="440" w:lineRule="exact"/>
        <w:ind w:firstLine="420" w:firstLineChars="200"/>
        <w:rPr>
          <w:rFonts w:ascii="宋体" w:hAnsi="宋体"/>
        </w:rPr>
      </w:pPr>
      <w:r>
        <w:rPr>
          <w:rFonts w:hint="eastAsia" w:ascii="宋体" w:hAnsi="宋体"/>
        </w:rPr>
        <w:t>（一）施工准备阶段的监理工作</w:t>
      </w:r>
    </w:p>
    <w:p w14:paraId="45D23DD3">
      <w:pPr>
        <w:spacing w:line="440" w:lineRule="exact"/>
        <w:ind w:firstLine="420" w:firstLineChars="200"/>
        <w:rPr>
          <w:rFonts w:ascii="宋体" w:hAnsi="宋体"/>
        </w:rPr>
      </w:pPr>
      <w:r>
        <w:rPr>
          <w:rFonts w:hint="eastAsia" w:ascii="宋体" w:hAnsi="宋体"/>
        </w:rPr>
        <w:t>（二）施工阶段的监理工作</w:t>
      </w:r>
    </w:p>
    <w:p w14:paraId="22B274B4">
      <w:pPr>
        <w:spacing w:line="440" w:lineRule="exact"/>
        <w:ind w:firstLine="420" w:firstLineChars="200"/>
        <w:rPr>
          <w:rFonts w:ascii="宋体" w:hAnsi="宋体"/>
        </w:rPr>
      </w:pPr>
      <w:r>
        <w:rPr>
          <w:rFonts w:hint="eastAsia" w:ascii="宋体" w:hAnsi="宋体"/>
        </w:rPr>
        <w:t>A、质量目标控制（事前/事中/事后）</w:t>
      </w:r>
    </w:p>
    <w:p w14:paraId="15A7F4F6">
      <w:pPr>
        <w:spacing w:line="440" w:lineRule="exact"/>
        <w:ind w:firstLine="420" w:firstLineChars="200"/>
        <w:rPr>
          <w:rFonts w:ascii="宋体" w:hAnsi="宋体"/>
        </w:rPr>
      </w:pPr>
      <w:r>
        <w:rPr>
          <w:rFonts w:hint="eastAsia" w:ascii="宋体" w:hAnsi="宋体"/>
        </w:rPr>
        <w:t>为确保工程项目质量目标的全面实现，提高工程项目投资效益、社会效益和环境效益，根据工程施工合同规定的质量目标，对施工全过程的质量实施监督管理；</w:t>
      </w:r>
    </w:p>
    <w:p w14:paraId="2D3F541C">
      <w:pPr>
        <w:spacing w:line="440" w:lineRule="exact"/>
        <w:ind w:firstLine="420" w:firstLineChars="200"/>
        <w:rPr>
          <w:rFonts w:ascii="宋体" w:hAnsi="宋体"/>
        </w:rPr>
      </w:pPr>
      <w:r>
        <w:rPr>
          <w:rFonts w:hint="eastAsia" w:ascii="宋体" w:hAnsi="宋体"/>
        </w:rPr>
        <w:t>建立本项目的质量控制体系；</w:t>
      </w:r>
    </w:p>
    <w:p w14:paraId="035E811C">
      <w:pPr>
        <w:spacing w:line="440" w:lineRule="exact"/>
        <w:ind w:firstLine="420" w:firstLineChars="200"/>
        <w:rPr>
          <w:rFonts w:ascii="宋体" w:hAnsi="宋体"/>
        </w:rPr>
      </w:pPr>
      <w:r>
        <w:rPr>
          <w:rFonts w:hint="eastAsia" w:ascii="宋体" w:hAnsi="宋体"/>
        </w:rPr>
        <w:t>督促承包商健全与完善质量保证体系；</w:t>
      </w:r>
    </w:p>
    <w:p w14:paraId="24A95E8A">
      <w:pPr>
        <w:spacing w:line="440" w:lineRule="exact"/>
        <w:ind w:firstLine="420" w:firstLineChars="200"/>
        <w:rPr>
          <w:rFonts w:ascii="宋体" w:hAnsi="宋体"/>
        </w:rPr>
      </w:pPr>
      <w:r>
        <w:rPr>
          <w:rFonts w:hint="eastAsia" w:ascii="宋体" w:hAnsi="宋体"/>
        </w:rPr>
        <w:t>审查承包商提交的施工组织设计或施工方案；</w:t>
      </w:r>
    </w:p>
    <w:p w14:paraId="4A04B2A3">
      <w:pPr>
        <w:spacing w:line="440" w:lineRule="exact"/>
        <w:ind w:firstLine="420" w:firstLineChars="200"/>
        <w:rPr>
          <w:rFonts w:ascii="宋体" w:hAnsi="宋体"/>
        </w:rPr>
      </w:pPr>
      <w:r>
        <w:rPr>
          <w:rFonts w:hint="eastAsia" w:ascii="宋体" w:hAnsi="宋体"/>
        </w:rPr>
        <w:t>严格控制原材料、半成品、构配件及设备的质量；</w:t>
      </w:r>
    </w:p>
    <w:p w14:paraId="3E6CCE81">
      <w:pPr>
        <w:spacing w:line="440" w:lineRule="exact"/>
        <w:ind w:firstLine="420" w:firstLineChars="200"/>
        <w:rPr>
          <w:rFonts w:ascii="宋体" w:hAnsi="宋体"/>
        </w:rPr>
      </w:pPr>
      <w:r>
        <w:rPr>
          <w:rFonts w:hint="eastAsia" w:ascii="宋体" w:hAnsi="宋体"/>
        </w:rPr>
        <w:t>施工工艺过程质量控制：现场检查、旁站、量测、试验；</w:t>
      </w:r>
    </w:p>
    <w:p w14:paraId="74C4493F">
      <w:pPr>
        <w:spacing w:line="440" w:lineRule="exact"/>
        <w:ind w:firstLine="420" w:firstLineChars="200"/>
        <w:rPr>
          <w:rFonts w:ascii="宋体" w:hAnsi="宋体"/>
        </w:rPr>
      </w:pPr>
      <w:r>
        <w:rPr>
          <w:rFonts w:hint="eastAsia" w:ascii="宋体" w:hAnsi="宋体"/>
        </w:rPr>
        <w:t>隐蔽工程检查验收；</w:t>
      </w:r>
    </w:p>
    <w:p w14:paraId="1DF7639F">
      <w:pPr>
        <w:spacing w:line="440" w:lineRule="exact"/>
        <w:ind w:firstLine="420" w:firstLineChars="200"/>
        <w:rPr>
          <w:rFonts w:ascii="宋体" w:hAnsi="宋体"/>
        </w:rPr>
      </w:pPr>
      <w:r>
        <w:rPr>
          <w:rFonts w:hint="eastAsia" w:ascii="宋体" w:hAnsi="宋体"/>
        </w:rPr>
        <w:t>审核设计变更及技术核定并经业主同意；</w:t>
      </w:r>
    </w:p>
    <w:p w14:paraId="7B02F93F">
      <w:pPr>
        <w:spacing w:line="440" w:lineRule="exact"/>
        <w:ind w:firstLine="420" w:firstLineChars="200"/>
        <w:rPr>
          <w:rFonts w:ascii="宋体" w:hAnsi="宋体"/>
        </w:rPr>
      </w:pPr>
      <w:r>
        <w:rPr>
          <w:rFonts w:hint="eastAsia" w:ascii="宋体" w:hAnsi="宋体"/>
        </w:rPr>
        <w:t>进行质量技术鉴定；</w:t>
      </w:r>
    </w:p>
    <w:p w14:paraId="13B2D257">
      <w:pPr>
        <w:spacing w:line="440" w:lineRule="exact"/>
        <w:ind w:firstLine="420" w:firstLineChars="200"/>
        <w:rPr>
          <w:rFonts w:ascii="宋体" w:hAnsi="宋体"/>
        </w:rPr>
      </w:pPr>
      <w:r>
        <w:rPr>
          <w:rFonts w:hint="eastAsia" w:ascii="宋体" w:hAnsi="宋体"/>
        </w:rPr>
        <w:t>组织分项工程、分部工程、单位工程及单项工程的质量评定；</w:t>
      </w:r>
    </w:p>
    <w:p w14:paraId="1DE55B3D">
      <w:pPr>
        <w:spacing w:line="440" w:lineRule="exact"/>
        <w:ind w:firstLine="420" w:firstLineChars="200"/>
        <w:rPr>
          <w:rFonts w:ascii="宋体" w:hAnsi="宋体"/>
        </w:rPr>
      </w:pPr>
      <w:r>
        <w:rPr>
          <w:rFonts w:hint="eastAsia" w:ascii="宋体" w:hAnsi="宋体"/>
        </w:rPr>
        <w:t>定期向业主报告有关工程质量的动态情况；</w:t>
      </w:r>
    </w:p>
    <w:p w14:paraId="11A71178">
      <w:pPr>
        <w:spacing w:line="440" w:lineRule="exact"/>
        <w:ind w:firstLine="420" w:firstLineChars="200"/>
        <w:rPr>
          <w:rFonts w:ascii="宋体" w:hAnsi="宋体"/>
        </w:rPr>
      </w:pPr>
      <w:r>
        <w:rPr>
          <w:rFonts w:hint="eastAsia" w:ascii="宋体" w:hAnsi="宋体"/>
        </w:rPr>
        <w:t>组织工程竣工验收。</w:t>
      </w:r>
    </w:p>
    <w:p w14:paraId="6C743340">
      <w:pPr>
        <w:spacing w:line="440" w:lineRule="exact"/>
        <w:ind w:firstLine="420" w:firstLineChars="200"/>
        <w:rPr>
          <w:rFonts w:ascii="宋体" w:hAnsi="宋体"/>
        </w:rPr>
      </w:pPr>
      <w:r>
        <w:rPr>
          <w:rFonts w:hint="eastAsia" w:ascii="宋体" w:hAnsi="宋体"/>
        </w:rPr>
        <w:t>B、工期进度目标控制（事前/事中/事后）</w:t>
      </w:r>
    </w:p>
    <w:p w14:paraId="42714B2D">
      <w:pPr>
        <w:spacing w:line="440" w:lineRule="exact"/>
        <w:ind w:firstLine="420" w:firstLineChars="200"/>
        <w:rPr>
          <w:rFonts w:ascii="宋体" w:hAnsi="宋体"/>
        </w:rPr>
      </w:pPr>
      <w:r>
        <w:rPr>
          <w:rFonts w:hint="eastAsia" w:ascii="宋体" w:hAnsi="宋体"/>
        </w:rPr>
        <w:t>编制工程施工进度控制工作细则；</w:t>
      </w:r>
    </w:p>
    <w:p w14:paraId="553F7008">
      <w:pPr>
        <w:spacing w:line="440" w:lineRule="exact"/>
        <w:ind w:firstLine="420" w:firstLineChars="200"/>
        <w:rPr>
          <w:rFonts w:ascii="宋体" w:hAnsi="宋体"/>
        </w:rPr>
      </w:pPr>
      <w:r>
        <w:rPr>
          <w:rFonts w:hint="eastAsia" w:ascii="宋体" w:hAnsi="宋体"/>
        </w:rPr>
        <w:t>审核承包商提交的施工进度网络计划；</w:t>
      </w:r>
    </w:p>
    <w:p w14:paraId="08CEB602">
      <w:pPr>
        <w:spacing w:line="440" w:lineRule="exact"/>
        <w:ind w:firstLine="420" w:firstLineChars="200"/>
        <w:rPr>
          <w:rFonts w:ascii="宋体" w:hAnsi="宋体"/>
        </w:rPr>
      </w:pPr>
      <w:r>
        <w:rPr>
          <w:rFonts w:hint="eastAsia" w:ascii="宋体" w:hAnsi="宋体"/>
        </w:rPr>
        <w:t>审核承包商提交的年、季、月施工进度计划；</w:t>
      </w:r>
    </w:p>
    <w:p w14:paraId="5C176F74">
      <w:pPr>
        <w:spacing w:line="440" w:lineRule="exact"/>
        <w:ind w:firstLine="420" w:firstLineChars="200"/>
        <w:rPr>
          <w:rFonts w:ascii="宋体" w:hAnsi="宋体"/>
        </w:rPr>
      </w:pPr>
      <w:r>
        <w:rPr>
          <w:rFonts w:hint="eastAsia" w:ascii="宋体" w:hAnsi="宋体"/>
        </w:rPr>
        <w:t>对施工进度实施动态控制，定期检查施工进度计划执行情况，对施工实际进度与进度计划进行比较，分析产生偏差的原因，并采取有效措施加以控制，以保证工程项目按期竣工交付使用；</w:t>
      </w:r>
    </w:p>
    <w:p w14:paraId="7E0A6A79">
      <w:pPr>
        <w:spacing w:line="440" w:lineRule="exact"/>
        <w:ind w:firstLine="420" w:firstLineChars="200"/>
        <w:rPr>
          <w:rFonts w:ascii="宋体" w:hAnsi="宋体"/>
        </w:rPr>
      </w:pPr>
      <w:r>
        <w:rPr>
          <w:rFonts w:hint="eastAsia" w:ascii="宋体" w:hAnsi="宋体"/>
        </w:rPr>
        <w:t>定期向业主报告工程施工进度的动态情况。</w:t>
      </w:r>
    </w:p>
    <w:p w14:paraId="31BDE6B5">
      <w:pPr>
        <w:spacing w:line="440" w:lineRule="exact"/>
        <w:ind w:firstLine="420" w:firstLineChars="200"/>
        <w:rPr>
          <w:rFonts w:ascii="宋体" w:hAnsi="宋体"/>
        </w:rPr>
      </w:pPr>
      <w:r>
        <w:rPr>
          <w:rFonts w:hint="eastAsia" w:ascii="宋体" w:hAnsi="宋体"/>
        </w:rPr>
        <w:t>C、投资目标控制（事前/事中/事后）</w:t>
      </w:r>
    </w:p>
    <w:p w14:paraId="0A924A81">
      <w:pPr>
        <w:spacing w:line="440" w:lineRule="exact"/>
        <w:ind w:firstLine="420" w:firstLineChars="200"/>
        <w:rPr>
          <w:rFonts w:ascii="宋体" w:hAnsi="宋体"/>
        </w:rPr>
      </w:pPr>
      <w:r>
        <w:rPr>
          <w:rFonts w:hint="eastAsia" w:ascii="宋体" w:hAnsi="宋体"/>
        </w:rPr>
        <w:t>编制工程施工年、季、月资金使用计划；</w:t>
      </w:r>
    </w:p>
    <w:p w14:paraId="1461286A">
      <w:pPr>
        <w:spacing w:line="440" w:lineRule="exact"/>
        <w:ind w:firstLine="420" w:firstLineChars="200"/>
        <w:rPr>
          <w:rFonts w:ascii="宋体" w:hAnsi="宋体"/>
        </w:rPr>
      </w:pPr>
      <w:r>
        <w:rPr>
          <w:rFonts w:hint="eastAsia" w:ascii="宋体" w:hAnsi="宋体"/>
        </w:rPr>
        <w:t>严格控制工程施工各项变更；</w:t>
      </w:r>
    </w:p>
    <w:p w14:paraId="720414B7">
      <w:pPr>
        <w:spacing w:line="440" w:lineRule="exact"/>
        <w:ind w:firstLine="420" w:firstLineChars="200"/>
        <w:rPr>
          <w:rFonts w:ascii="宋体" w:hAnsi="宋体"/>
        </w:rPr>
      </w:pPr>
      <w:r>
        <w:rPr>
          <w:rFonts w:hint="eastAsia" w:ascii="宋体" w:hAnsi="宋体"/>
        </w:rPr>
        <w:t>对主要技术方案进行技术经济分析；</w:t>
      </w:r>
    </w:p>
    <w:p w14:paraId="7D0AFC37">
      <w:pPr>
        <w:spacing w:line="440" w:lineRule="exact"/>
        <w:ind w:firstLine="420" w:firstLineChars="200"/>
        <w:rPr>
          <w:rFonts w:ascii="宋体" w:hAnsi="宋体"/>
        </w:rPr>
      </w:pPr>
      <w:r>
        <w:rPr>
          <w:rFonts w:hint="eastAsia" w:ascii="宋体" w:hAnsi="宋体"/>
        </w:rPr>
        <w:t>核实确认承包商已完工程量，及时签认工程进度款付款凭证；</w:t>
      </w:r>
    </w:p>
    <w:p w14:paraId="00B19D5D">
      <w:pPr>
        <w:spacing w:line="440" w:lineRule="exact"/>
        <w:ind w:firstLine="420" w:firstLineChars="200"/>
        <w:rPr>
          <w:rFonts w:ascii="宋体" w:hAnsi="宋体"/>
        </w:rPr>
      </w:pPr>
      <w:r>
        <w:rPr>
          <w:rFonts w:hint="eastAsia" w:ascii="宋体" w:hAnsi="宋体"/>
        </w:rPr>
        <w:t>对工程建设投资实施动态控制，对实际投资与合同价进行比较，分析产生偏差的原因，并采取有效措施加以控制，以保证工程建设投资控制目标的实现；</w:t>
      </w:r>
    </w:p>
    <w:p w14:paraId="01151743">
      <w:pPr>
        <w:spacing w:line="440" w:lineRule="exact"/>
        <w:ind w:firstLine="420" w:firstLineChars="200"/>
        <w:rPr>
          <w:rFonts w:ascii="宋体" w:hAnsi="宋体"/>
        </w:rPr>
      </w:pPr>
      <w:r>
        <w:rPr>
          <w:rFonts w:hint="eastAsia" w:ascii="宋体" w:hAnsi="宋体"/>
        </w:rPr>
        <w:t>以施工合同为依据，及时、合理地处理工程索赔。加强主动监理，减少工程索赔；</w:t>
      </w:r>
    </w:p>
    <w:p w14:paraId="40DF4BE7">
      <w:pPr>
        <w:spacing w:line="440" w:lineRule="exact"/>
        <w:ind w:firstLine="420" w:firstLineChars="200"/>
        <w:rPr>
          <w:rFonts w:ascii="宋体" w:hAnsi="宋体"/>
        </w:rPr>
      </w:pPr>
      <w:r>
        <w:rPr>
          <w:rFonts w:hint="eastAsia" w:ascii="宋体" w:hAnsi="宋体"/>
        </w:rPr>
        <w:t>定期向业主报告有关工程建设投资的动态情况；</w:t>
      </w:r>
    </w:p>
    <w:p w14:paraId="2BFBE2FE">
      <w:pPr>
        <w:spacing w:line="440" w:lineRule="exact"/>
        <w:ind w:firstLine="420" w:firstLineChars="200"/>
        <w:rPr>
          <w:rFonts w:ascii="宋体" w:hAnsi="宋体"/>
        </w:rPr>
      </w:pPr>
      <w:r>
        <w:rPr>
          <w:rFonts w:hint="eastAsia" w:ascii="宋体" w:hAnsi="宋体"/>
        </w:rPr>
        <w:t>编制工程施工结算文件。</w:t>
      </w:r>
    </w:p>
    <w:p w14:paraId="31E9DA7C">
      <w:pPr>
        <w:spacing w:line="440" w:lineRule="exact"/>
        <w:ind w:firstLine="420" w:firstLineChars="200"/>
        <w:rPr>
          <w:rFonts w:ascii="宋体" w:hAnsi="宋体"/>
        </w:rPr>
      </w:pPr>
      <w:r>
        <w:rPr>
          <w:rFonts w:hint="eastAsia" w:ascii="宋体" w:hAnsi="宋体"/>
        </w:rPr>
        <w:t>D、文明、安全控制（事前/事中/事后）</w:t>
      </w:r>
    </w:p>
    <w:p w14:paraId="5F3179E3">
      <w:pPr>
        <w:spacing w:line="440" w:lineRule="exact"/>
        <w:ind w:firstLine="420" w:firstLineChars="200"/>
        <w:rPr>
          <w:rFonts w:ascii="宋体" w:hAnsi="宋体"/>
        </w:rPr>
      </w:pPr>
      <w:r>
        <w:rPr>
          <w:rFonts w:hint="eastAsia" w:ascii="宋体" w:hAnsi="宋体"/>
        </w:rPr>
        <w:t>审核承包商提交的安全施工措施；</w:t>
      </w:r>
    </w:p>
    <w:p w14:paraId="2BDA1842">
      <w:pPr>
        <w:spacing w:line="440" w:lineRule="exact"/>
        <w:ind w:firstLine="420" w:firstLineChars="200"/>
        <w:rPr>
          <w:rFonts w:ascii="宋体" w:hAnsi="宋体"/>
        </w:rPr>
      </w:pPr>
      <w:r>
        <w:rPr>
          <w:rFonts w:hint="eastAsia" w:ascii="宋体" w:hAnsi="宋体"/>
        </w:rPr>
        <w:t>督促承包商落实安全施工措施；</w:t>
      </w:r>
    </w:p>
    <w:p w14:paraId="58A0116C">
      <w:pPr>
        <w:spacing w:line="440" w:lineRule="exact"/>
        <w:ind w:firstLine="420" w:firstLineChars="200"/>
        <w:rPr>
          <w:rFonts w:ascii="宋体" w:hAnsi="宋体"/>
        </w:rPr>
      </w:pPr>
      <w:r>
        <w:rPr>
          <w:rFonts w:hint="eastAsia" w:ascii="宋体" w:hAnsi="宋体"/>
        </w:rPr>
        <w:t>定期进行安全、文明施工检查，杜绝安全事故的发生。</w:t>
      </w:r>
    </w:p>
    <w:p w14:paraId="32E71946">
      <w:pPr>
        <w:spacing w:line="440" w:lineRule="exact"/>
        <w:ind w:firstLine="420" w:firstLineChars="200"/>
        <w:rPr>
          <w:rFonts w:ascii="宋体" w:hAnsi="宋体"/>
        </w:rPr>
      </w:pPr>
      <w:r>
        <w:rPr>
          <w:rFonts w:hint="eastAsia" w:ascii="宋体" w:hAnsi="宋体"/>
        </w:rPr>
        <w:t>五、合同管理、信息管理方案</w:t>
      </w:r>
    </w:p>
    <w:p w14:paraId="3F0828B0">
      <w:pPr>
        <w:spacing w:line="440" w:lineRule="exact"/>
        <w:ind w:firstLine="420" w:firstLineChars="200"/>
        <w:rPr>
          <w:rFonts w:ascii="宋体" w:hAnsi="宋体"/>
        </w:rPr>
      </w:pPr>
      <w:r>
        <w:rPr>
          <w:rFonts w:hint="eastAsia" w:ascii="宋体" w:hAnsi="宋体"/>
        </w:rPr>
        <w:t>助业主签订工程施工合同；</w:t>
      </w:r>
    </w:p>
    <w:p w14:paraId="4A0EBC58">
      <w:pPr>
        <w:spacing w:line="440" w:lineRule="exact"/>
        <w:ind w:firstLine="420" w:firstLineChars="200"/>
        <w:rPr>
          <w:rFonts w:ascii="宋体" w:hAnsi="宋体"/>
        </w:rPr>
      </w:pPr>
      <w:r>
        <w:rPr>
          <w:rFonts w:hint="eastAsia" w:ascii="宋体" w:hAnsi="宋体"/>
        </w:rPr>
        <w:t>审核分包商资格；</w:t>
      </w:r>
    </w:p>
    <w:p w14:paraId="61EEE535">
      <w:pPr>
        <w:spacing w:line="440" w:lineRule="exact"/>
        <w:ind w:firstLine="420" w:firstLineChars="200"/>
        <w:rPr>
          <w:rFonts w:ascii="宋体" w:hAnsi="宋体"/>
        </w:rPr>
      </w:pPr>
      <w:r>
        <w:rPr>
          <w:rFonts w:hint="eastAsia" w:ascii="宋体" w:hAnsi="宋体"/>
        </w:rPr>
        <w:t>督促合同双方全面履行工程施工合同；</w:t>
      </w:r>
    </w:p>
    <w:p w14:paraId="444CAD99">
      <w:pPr>
        <w:spacing w:line="440" w:lineRule="exact"/>
        <w:ind w:firstLine="420" w:firstLineChars="200"/>
        <w:rPr>
          <w:rFonts w:ascii="宋体" w:hAnsi="宋体"/>
        </w:rPr>
      </w:pPr>
      <w:r>
        <w:rPr>
          <w:rFonts w:hint="eastAsia" w:ascii="宋体" w:hAnsi="宋体"/>
        </w:rPr>
        <w:t>公正、科学、合理地处理施工合同纠纷；</w:t>
      </w:r>
    </w:p>
    <w:p w14:paraId="35538D3A">
      <w:pPr>
        <w:spacing w:line="440" w:lineRule="exact"/>
        <w:ind w:firstLine="420" w:firstLineChars="200"/>
        <w:rPr>
          <w:rFonts w:ascii="宋体" w:hAnsi="宋体"/>
        </w:rPr>
      </w:pPr>
      <w:r>
        <w:rPr>
          <w:rFonts w:hint="eastAsia" w:ascii="宋体" w:hAnsi="宋体"/>
        </w:rPr>
        <w:t>定期向业主报告施工合同的执行情况。</w:t>
      </w:r>
    </w:p>
    <w:p w14:paraId="4F12438F">
      <w:pPr>
        <w:spacing w:line="440" w:lineRule="exact"/>
        <w:ind w:firstLine="420" w:firstLineChars="200"/>
        <w:rPr>
          <w:rFonts w:ascii="宋体" w:hAnsi="宋体"/>
        </w:rPr>
      </w:pPr>
      <w:r>
        <w:rPr>
          <w:rFonts w:hint="eastAsia" w:ascii="宋体" w:hAnsi="宋体"/>
        </w:rPr>
        <w:t>及时收集、整理工程施工质量信息、进度信息、投资信息、合同管理信息，为各项决策提供服务；</w:t>
      </w:r>
    </w:p>
    <w:p w14:paraId="21562FE2">
      <w:pPr>
        <w:spacing w:line="440" w:lineRule="exact"/>
        <w:ind w:firstLine="420" w:firstLineChars="200"/>
        <w:rPr>
          <w:rFonts w:ascii="宋体" w:hAnsi="宋体"/>
        </w:rPr>
      </w:pPr>
      <w:r>
        <w:rPr>
          <w:rFonts w:hint="eastAsia" w:ascii="宋体" w:hAnsi="宋体"/>
        </w:rPr>
        <w:t>利用计算机管理技术建立工程施工信息档案。</w:t>
      </w:r>
    </w:p>
    <w:p w14:paraId="09B156B7">
      <w:pPr>
        <w:spacing w:line="440" w:lineRule="exact"/>
        <w:ind w:firstLine="420" w:firstLineChars="200"/>
        <w:rPr>
          <w:rFonts w:ascii="宋体" w:hAnsi="宋体"/>
        </w:rPr>
      </w:pPr>
      <w:r>
        <w:rPr>
          <w:rFonts w:hint="eastAsia" w:ascii="宋体" w:hAnsi="宋体"/>
        </w:rPr>
        <w:t>六、协调控制工作</w:t>
      </w:r>
    </w:p>
    <w:p w14:paraId="69B8A118">
      <w:pPr>
        <w:spacing w:line="440" w:lineRule="exact"/>
        <w:ind w:firstLine="420" w:firstLineChars="200"/>
        <w:rPr>
          <w:rFonts w:ascii="宋体" w:hAnsi="宋体"/>
        </w:rPr>
      </w:pPr>
      <w:r>
        <w:rPr>
          <w:rFonts w:hint="eastAsia" w:ascii="宋体" w:hAnsi="宋体"/>
        </w:rPr>
        <w:t>协调工程施工各有关单位的工作关系；</w:t>
      </w:r>
    </w:p>
    <w:p w14:paraId="72287620">
      <w:pPr>
        <w:spacing w:line="440" w:lineRule="exact"/>
        <w:ind w:firstLine="420" w:firstLineChars="200"/>
        <w:rPr>
          <w:rFonts w:ascii="宋体" w:hAnsi="宋体"/>
        </w:rPr>
      </w:pPr>
      <w:r>
        <w:rPr>
          <w:rFonts w:hint="eastAsia" w:ascii="宋体" w:hAnsi="宋体"/>
        </w:rPr>
        <w:t>协助业主协调工程施工外部关系；</w:t>
      </w:r>
    </w:p>
    <w:p w14:paraId="29CD3AA2">
      <w:pPr>
        <w:spacing w:line="440" w:lineRule="exact"/>
        <w:ind w:firstLine="420" w:firstLineChars="200"/>
        <w:rPr>
          <w:rFonts w:ascii="宋体" w:hAnsi="宋体"/>
        </w:rPr>
      </w:pPr>
      <w:r>
        <w:rPr>
          <w:rFonts w:hint="eastAsia" w:ascii="宋体" w:hAnsi="宋体"/>
        </w:rPr>
        <w:t>协调工程施工中业主、设计单位、承包商之间的关系。</w:t>
      </w:r>
    </w:p>
    <w:p w14:paraId="4427E7C1">
      <w:pPr>
        <w:spacing w:line="440" w:lineRule="exact"/>
        <w:ind w:firstLine="420" w:firstLineChars="200"/>
        <w:rPr>
          <w:rFonts w:ascii="宋体" w:hAnsi="宋体"/>
        </w:rPr>
      </w:pPr>
      <w:r>
        <w:rPr>
          <w:rFonts w:hint="eastAsia" w:ascii="宋体" w:hAnsi="宋体"/>
        </w:rPr>
        <w:t>七、旁站监理</w:t>
      </w:r>
    </w:p>
    <w:p w14:paraId="488B0338">
      <w:pPr>
        <w:spacing w:line="440" w:lineRule="exact"/>
        <w:ind w:firstLine="420" w:firstLineChars="200"/>
        <w:rPr>
          <w:rFonts w:ascii="宋体" w:hAnsi="宋体"/>
        </w:rPr>
      </w:pPr>
      <w:r>
        <w:rPr>
          <w:rFonts w:hint="eastAsia" w:ascii="宋体" w:hAnsi="宋体"/>
        </w:rPr>
        <w:t>八、监理工作制度</w:t>
      </w:r>
    </w:p>
    <w:p w14:paraId="064DC220">
      <w:pPr>
        <w:spacing w:line="440" w:lineRule="exact"/>
        <w:ind w:firstLine="420" w:firstLineChars="200"/>
        <w:rPr>
          <w:rFonts w:ascii="宋体" w:hAnsi="宋体"/>
        </w:rPr>
      </w:pPr>
      <w:r>
        <w:rPr>
          <w:rFonts w:hint="eastAsia" w:ascii="宋体" w:hAnsi="宋体"/>
        </w:rPr>
        <w:t>九、现场技术装备（需注明名称、型号、数量、用途、自有或租赁）</w:t>
      </w:r>
    </w:p>
    <w:p w14:paraId="7BC60647">
      <w:pPr>
        <w:spacing w:line="440" w:lineRule="exact"/>
        <w:ind w:firstLine="420" w:firstLineChars="200"/>
        <w:rPr>
          <w:rFonts w:ascii="宋体" w:hAnsi="宋体"/>
        </w:rPr>
      </w:pPr>
      <w:r>
        <w:rPr>
          <w:rFonts w:hint="eastAsia" w:ascii="宋体" w:hAnsi="宋体"/>
        </w:rPr>
        <w:t>十、向业主提交的监理资料</w:t>
      </w:r>
    </w:p>
    <w:p w14:paraId="7934C224">
      <w:pPr>
        <w:pStyle w:val="2"/>
      </w:pPr>
    </w:p>
    <w:p w14:paraId="686B2526">
      <w:pPr>
        <w:spacing w:line="460" w:lineRule="exact"/>
        <w:rPr>
          <w:sz w:val="24"/>
        </w:rPr>
      </w:pPr>
      <w:r>
        <w:rPr>
          <w:rFonts w:hint="eastAsia"/>
          <w:sz w:val="24"/>
        </w:rPr>
        <w:t>注：“暗标”应当以能够隐去投标人的身份为原则，施工组织设计采用“暗标”形式，未按要求编写施工组织设计（以下简称技术标）的，施工组织设计为0分。具体要求</w:t>
      </w:r>
      <w:r>
        <w:rPr>
          <w:sz w:val="24"/>
        </w:rPr>
        <w:t>如下：</w:t>
      </w:r>
    </w:p>
    <w:p w14:paraId="17913AA8">
      <w:pPr>
        <w:spacing w:line="420" w:lineRule="exact"/>
        <w:rPr>
          <w:sz w:val="24"/>
        </w:rPr>
      </w:pPr>
      <w:r>
        <w:rPr>
          <w:rFonts w:hint="eastAsia"/>
          <w:sz w:val="24"/>
        </w:rPr>
        <w:t>1、编写软件及版本要求：Microsoft Word 2007或以上；</w:t>
      </w:r>
    </w:p>
    <w:p w14:paraId="27A2DE2E">
      <w:pPr>
        <w:spacing w:line="420" w:lineRule="exact"/>
        <w:rPr>
          <w:sz w:val="24"/>
        </w:rPr>
      </w:pPr>
      <w:r>
        <w:rPr>
          <w:rFonts w:hint="eastAsia"/>
          <w:sz w:val="24"/>
        </w:rPr>
        <w:t>2、任何情况下，技术暗标中不得出现任何行间插字或删除痕迹；</w:t>
      </w:r>
    </w:p>
    <w:p w14:paraId="786B1CD2">
      <w:pPr>
        <w:spacing w:line="460" w:lineRule="atLeast"/>
        <w:rPr>
          <w:sz w:val="24"/>
        </w:rPr>
      </w:pPr>
      <w:r>
        <w:rPr>
          <w:rFonts w:hint="eastAsia"/>
          <w:sz w:val="24"/>
        </w:rPr>
        <w:t>3、除满足上述各项要求外，构成投标文件的“技术暗标”的正文中均不得出现投标人的名称和其它可识别投标人身份的字符、徽标、人员名称以及其他特殊标记等。</w:t>
      </w:r>
    </w:p>
    <w:p w14:paraId="31EBD2B3">
      <w:pPr>
        <w:spacing w:line="460" w:lineRule="atLeast"/>
      </w:pPr>
      <w:r>
        <w:rPr>
          <w:rFonts w:hint="eastAsia"/>
          <w:sz w:val="24"/>
        </w:rPr>
        <w:t>4、技术标设封面，格式见附件。技术标正文应采用：“白底A4纸张，纵向排版”，“宋体”四号字(黑色)；不允许涂改或删除痕迹；不允许字体涂色、不允许字体加粗；不允许出现目录；不允许出现页码、页眉、页脚；对齐方式：左对齐；大纲级别：正文文本，行距为固定值25磅；页边距（上3厘米，下3厘米，左2厘米，右2厘米），段前0行0磅，段后0行0磅；左侧缩进0字符0厘米，右侧缩进0字符0厘米。大、小标题所用文字采用 “宋体” 四号字(黑色)；图表中字体为宋体、字号自拟。</w:t>
      </w:r>
    </w:p>
    <w:p w14:paraId="1E900FFA">
      <w:pPr>
        <w:spacing w:line="420" w:lineRule="exact"/>
        <w:rPr>
          <w:sz w:val="24"/>
        </w:rPr>
      </w:pPr>
      <w:r>
        <w:rPr>
          <w:rFonts w:hint="eastAsia"/>
          <w:sz w:val="24"/>
        </w:rPr>
        <w:t>5、技术标文件、内容、文字、标设图形均不得出现彩色文字；不得出现投标单位名称、相关人员姓名等能体现有关投标单位信息的提示性标记、文字、语句等。</w:t>
      </w:r>
    </w:p>
    <w:p w14:paraId="792B7690">
      <w:pPr>
        <w:pStyle w:val="2"/>
      </w:pPr>
    </w:p>
    <w:p w14:paraId="7F5FBA08">
      <w:pPr>
        <w:snapToGrid w:val="0"/>
        <w:spacing w:line="300" w:lineRule="auto"/>
        <w:ind w:left="420" w:leftChars="200" w:right="-58"/>
        <w:rPr>
          <w:b/>
          <w:sz w:val="24"/>
        </w:rPr>
      </w:pPr>
      <w:r>
        <w:rPr>
          <w:rFonts w:hint="eastAsia"/>
          <w:b/>
          <w:sz w:val="24"/>
        </w:rPr>
        <w:t>附件：技术标封面</w:t>
      </w:r>
    </w:p>
    <w:p w14:paraId="51705AAF">
      <w:pPr>
        <w:snapToGrid w:val="0"/>
        <w:spacing w:line="300" w:lineRule="auto"/>
        <w:ind w:right="-58" w:firstLine="420" w:firstLineChars="200"/>
      </w:pPr>
    </w:p>
    <w:p w14:paraId="4260E035">
      <w:pPr>
        <w:pStyle w:val="4"/>
        <w:spacing w:line="441" w:lineRule="exact"/>
        <w:ind w:left="3" w:right="1"/>
        <w:jc w:val="center"/>
        <w:rPr>
          <w:b w:val="0"/>
          <w:sz w:val="100"/>
          <w:szCs w:val="100"/>
        </w:rPr>
      </w:pPr>
      <w:r>
        <w:rPr>
          <w:rFonts w:eastAsiaTheme="minorEastAsia"/>
        </w:rPr>
        <w:br w:type="page"/>
      </w:r>
    </w:p>
    <w:p w14:paraId="0ADCD11F">
      <w:pPr>
        <w:widowControl/>
      </w:pPr>
    </w:p>
    <w:p w14:paraId="28CFA260">
      <w:pPr>
        <w:jc w:val="center"/>
        <w:rPr>
          <w:sz w:val="16"/>
          <w:szCs w:val="16"/>
        </w:rPr>
      </w:pPr>
    </w:p>
    <w:p w14:paraId="55E3A12F">
      <w:pPr>
        <w:spacing w:before="312" w:beforeLines="100"/>
        <w:jc w:val="center"/>
        <w:rPr>
          <w:b/>
          <w:sz w:val="100"/>
          <w:szCs w:val="100"/>
        </w:rPr>
      </w:pPr>
    </w:p>
    <w:p w14:paraId="70D5CAA0">
      <w:pPr>
        <w:spacing w:before="312" w:beforeLines="100"/>
        <w:jc w:val="center"/>
        <w:rPr>
          <w:b/>
          <w:sz w:val="100"/>
          <w:szCs w:val="100"/>
        </w:rPr>
      </w:pPr>
      <w:r>
        <w:rPr>
          <w:rFonts w:hint="eastAsia"/>
          <w:b/>
          <w:sz w:val="100"/>
          <w:szCs w:val="100"/>
        </w:rPr>
        <w:t>监</w:t>
      </w:r>
    </w:p>
    <w:p w14:paraId="0311242E">
      <w:pPr>
        <w:spacing w:before="312" w:beforeLines="100"/>
        <w:jc w:val="center"/>
        <w:rPr>
          <w:b/>
          <w:sz w:val="100"/>
          <w:szCs w:val="100"/>
        </w:rPr>
      </w:pPr>
      <w:r>
        <w:rPr>
          <w:rFonts w:hint="eastAsia"/>
          <w:b/>
          <w:sz w:val="100"/>
          <w:szCs w:val="100"/>
        </w:rPr>
        <w:t>理</w:t>
      </w:r>
    </w:p>
    <w:p w14:paraId="7AB4170D">
      <w:pPr>
        <w:spacing w:before="312" w:beforeLines="100"/>
        <w:jc w:val="center"/>
        <w:rPr>
          <w:b/>
          <w:sz w:val="100"/>
          <w:szCs w:val="100"/>
        </w:rPr>
      </w:pPr>
      <w:r>
        <w:rPr>
          <w:rFonts w:hint="eastAsia"/>
          <w:b/>
          <w:sz w:val="100"/>
          <w:szCs w:val="100"/>
        </w:rPr>
        <w:t>大</w:t>
      </w:r>
    </w:p>
    <w:p w14:paraId="2F8BF966">
      <w:pPr>
        <w:spacing w:before="312" w:beforeLines="100"/>
        <w:jc w:val="center"/>
        <w:rPr>
          <w:b/>
          <w:sz w:val="100"/>
          <w:szCs w:val="100"/>
        </w:rPr>
      </w:pPr>
      <w:r>
        <w:rPr>
          <w:rFonts w:hint="eastAsia"/>
          <w:b/>
          <w:sz w:val="100"/>
          <w:szCs w:val="100"/>
        </w:rPr>
        <w:t>纲</w:t>
      </w:r>
    </w:p>
    <w:p w14:paraId="096BE0B5"/>
    <w:p w14:paraId="10FD3EDA">
      <w:pPr>
        <w:pStyle w:val="64"/>
        <w:rPr>
          <w:color w:val="auto"/>
        </w:rPr>
      </w:pPr>
    </w:p>
    <w:p w14:paraId="220FBD7A">
      <w:pPr>
        <w:spacing w:line="460" w:lineRule="exact"/>
        <w:rPr>
          <w:rFonts w:ascii="宋体" w:hAnsi="宋体" w:cs="宋体"/>
          <w:b/>
          <w:bCs/>
          <w:sz w:val="22"/>
          <w:szCs w:val="28"/>
        </w:rPr>
      </w:pPr>
    </w:p>
    <w:p w14:paraId="094BED55">
      <w:pPr>
        <w:pStyle w:val="64"/>
        <w:rPr>
          <w:color w:val="auto"/>
        </w:rPr>
      </w:pPr>
    </w:p>
    <w:p w14:paraId="03EB4EC5">
      <w:pPr>
        <w:pStyle w:val="2"/>
      </w:pPr>
    </w:p>
    <w:p w14:paraId="19AB65A8">
      <w:pPr>
        <w:spacing w:line="440" w:lineRule="exact"/>
        <w:jc w:val="right"/>
      </w:pPr>
    </w:p>
    <w:sectPr>
      <w:headerReference r:id="rId10" w:type="first"/>
      <w:footerReference r:id="rId12" w:type="first"/>
      <w:footerReference r:id="rId11" w:type="default"/>
      <w:pgSz w:w="11906" w:h="16838"/>
      <w:pgMar w:top="1440" w:right="1247" w:bottom="1440" w:left="1701" w:header="1077" w:footer="102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9774">
    <w:pPr>
      <w:pStyle w:val="28"/>
      <w:pBdr>
        <w:top w:val="thinThickSmallGap" w:color="auto" w:sz="24" w:space="1"/>
      </w:pBdr>
      <w:ind w:right="360" w:firstLine="7665"/>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0014">
    <w:pPr>
      <w:pStyle w:val="28"/>
      <w:framePr w:wrap="around" w:vAnchor="text" w:hAnchor="margin" w:xAlign="right" w:y="1"/>
      <w:ind w:firstLine="7665"/>
      <w:rPr>
        <w:rStyle w:val="50"/>
      </w:rPr>
    </w:pPr>
    <w:r>
      <w:fldChar w:fldCharType="begin"/>
    </w:r>
    <w:r>
      <w:rPr>
        <w:rStyle w:val="50"/>
      </w:rPr>
      <w:instrText xml:space="preserve">PAGE  </w:instrText>
    </w:r>
    <w:r>
      <w:fldChar w:fldCharType="end"/>
    </w:r>
  </w:p>
  <w:p w14:paraId="6EF4A415">
    <w:pPr>
      <w:pStyle w:val="28"/>
      <w:ind w:right="360" w:firstLine="76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BFCA">
    <w:pPr>
      <w:pStyle w:val="28"/>
      <w:pBdr>
        <w:top w:val="thinThickSmallGap" w:color="auto" w:sz="24" w:space="1"/>
      </w:pBdr>
      <w:ind w:right="360"/>
      <w:jc w:val="both"/>
      <w:rPr>
        <w:b/>
        <w:bCs/>
        <w:sz w:val="15"/>
        <w:szCs w:val="15"/>
      </w:rPr>
    </w:pPr>
    <w:r>
      <w:rPr>
        <w:b/>
        <w:bCs/>
        <w:sz w:val="15"/>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0916C709">
                <w:pPr>
                  <w:pStyle w:val="2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9083">
    <w:pPr>
      <w:pStyle w:val="28"/>
      <w:ind w:firstLine="7665"/>
    </w:pPr>
    <w:r>
      <w:pict>
        <v:shape id="文本框 1029"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0DC6E6FD">
                <w:pPr>
                  <w:pStyle w:val="28"/>
                </w:pPr>
                <w:r>
                  <w:fldChar w:fldCharType="begin"/>
                </w:r>
                <w:r>
                  <w:instrText xml:space="preserve"> PAGE  \* MERGEFORMAT </w:instrText>
                </w:r>
                <w:r>
                  <w:fldChar w:fldCharType="separate"/>
                </w:r>
                <w:r>
                  <w:t>31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E40E">
    <w:pPr>
      <w:pStyle w:val="28"/>
      <w:pBdr>
        <w:top w:val="thinThickSmallGap" w:color="auto" w:sz="24" w:space="1"/>
      </w:pBdr>
      <w:ind w:right="360"/>
      <w:rPr>
        <w:sz w:val="21"/>
        <w:szCs w:val="21"/>
      </w:rPr>
    </w:pPr>
    <w:r>
      <w:rPr>
        <w:sz w:val="21"/>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14:paraId="1BCC0F52">
                <w:pPr>
                  <w:pStyle w:val="28"/>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926924"/>
    </w:sdtPr>
    <w:sdtContent>
      <w:p w14:paraId="2EBBEF4F">
        <w:pPr>
          <w:pStyle w:val="28"/>
          <w:jc w:val="center"/>
        </w:pPr>
        <w:r>
          <w:fldChar w:fldCharType="begin"/>
        </w:r>
        <w:r>
          <w:instrText xml:space="preserve"> PAGE   \* MERGEFORMAT </w:instrText>
        </w:r>
        <w:r>
          <w:fldChar w:fldCharType="separate"/>
        </w:r>
        <w:r>
          <w:rPr>
            <w:lang w:val="zh-CN"/>
          </w:rPr>
          <w:t>53</w:t>
        </w:r>
        <w:r>
          <w:rPr>
            <w:lang w:val="zh-CN"/>
          </w:rPr>
          <w:fldChar w:fldCharType="end"/>
        </w:r>
      </w:p>
    </w:sdtContent>
  </w:sdt>
  <w:p w14:paraId="39A9018B">
    <w:pPr>
      <w:pStyle w:val="28"/>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8D89">
    <w:pPr>
      <w:pStyle w:val="28"/>
      <w:ind w:firstLine="4050" w:firstLineChars="2700"/>
      <w:rPr>
        <w:rFonts w:ascii="宋体" w:hAnsi="宋体"/>
        <w:b/>
        <w:spacing w:val="15"/>
        <w:kern w:val="0"/>
        <w:sz w:val="15"/>
      </w:rPr>
    </w:pPr>
    <w:r>
      <w:rPr>
        <w:sz w:val="15"/>
      </w:rPr>
      <w:pict>
        <v:shape id="文本框 14"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308914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v:textbox>
        </v:shape>
      </w:pict>
    </w:r>
    <w:r>
      <w:rPr>
        <w:sz w:val="15"/>
      </w:rPr>
      <w:pict>
        <v:shape id="文本框 9"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D32F739">
                <w:pPr>
                  <w:snapToGrid w:val="0"/>
                  <w:rPr>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E2B5">
    <w:pPr>
      <w:pStyle w:val="28"/>
      <w:ind w:firstLine="7665"/>
    </w:pPr>
    <w:r>
      <w:pict>
        <v:shape id="文本框 15" o:spid="_x0000_s3082" o:spt="202" type="#_x0000_t202" style="position:absolute;left:0pt;margin-top:0pt;height:12.05pt;width:10.55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C08DA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shape>
      </w:pict>
    </w:r>
    <w:r>
      <w:pict>
        <v:shape id="_x0000_s3079" o:spid="_x0000_s3079" o:spt="202" type="#_x0000_t202" style="position:absolute;left:0pt;margin-top:0pt;height:10.35pt;width:9.05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3E36090">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4CAE">
    <w:pPr>
      <w:pStyle w:val="29"/>
      <w:pBdr>
        <w:bottom w:val="thickThinSmallGap" w:color="622423" w:sz="24" w:space="0"/>
      </w:pBdr>
      <w:ind w:firstLine="6570" w:firstLineChars="3650"/>
      <w:jc w:val="both"/>
    </w:pPr>
    <w:r>
      <w:rPr>
        <w:rFonts w:hint="eastAsia" w:ascii="宋体" w:hAnsi="宋体"/>
        <w:szCs w:val="21"/>
      </w:rPr>
      <w:t>公开  公平  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98CB">
    <w:pPr>
      <w:pStyle w:val="29"/>
      <w:pBdr>
        <w:bottom w:val="none" w:color="auto" w:sz="0" w:space="1"/>
      </w:pBdr>
      <w:ind w:firstLine="766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F61D0"/>
    <w:multiLevelType w:val="multilevel"/>
    <w:tmpl w:val="06CF61D0"/>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
    <w:nsid w:val="419DE3A1"/>
    <w:multiLevelType w:val="singleLevel"/>
    <w:tmpl w:val="419DE3A1"/>
    <w:lvl w:ilvl="0" w:tentative="0">
      <w:start w:val="4"/>
      <w:numFmt w:val="chineseCounting"/>
      <w:suff w:val="space"/>
      <w:lvlText w:val="第%1章"/>
      <w:lvlJc w:val="left"/>
      <w:rPr>
        <w:rFonts w:hint="eastAsia"/>
      </w:rPr>
    </w:lvl>
  </w:abstractNum>
  <w:abstractNum w:abstractNumId="2">
    <w:nsid w:val="578EEA68"/>
    <w:multiLevelType w:val="singleLevel"/>
    <w:tmpl w:val="578EEA68"/>
    <w:lvl w:ilvl="0" w:tentative="0">
      <w:start w:val="1"/>
      <w:numFmt w:val="decimal"/>
      <w:suff w:val="nothing"/>
      <w:lvlText w:val="%1．"/>
      <w:lvlJc w:val="left"/>
      <w:pPr>
        <w:ind w:left="0" w:firstLine="400"/>
      </w:pPr>
      <w:rPr>
        <w:rFonts w:hint="default"/>
      </w:rPr>
    </w:lvl>
  </w:abstractNum>
  <w:abstractNum w:abstractNumId="3">
    <w:nsid w:val="5D845E87"/>
    <w:multiLevelType w:val="multilevel"/>
    <w:tmpl w:val="5D845E87"/>
    <w:lvl w:ilvl="0" w:tentative="0">
      <w:start w:val="4"/>
      <w:numFmt w:val="decimal"/>
      <w:lvlText w:val="%1"/>
      <w:lvlJc w:val="left"/>
      <w:pPr>
        <w:ind w:left="525" w:hanging="525"/>
      </w:pPr>
      <w:rPr>
        <w:rFonts w:hint="default"/>
      </w:rPr>
    </w:lvl>
    <w:lvl w:ilvl="1" w:tentative="0">
      <w:start w:val="2"/>
      <w:numFmt w:val="decimal"/>
      <w:lvlText w:val="%1.%2"/>
      <w:lvlJc w:val="left"/>
      <w:pPr>
        <w:ind w:left="735" w:hanging="525"/>
      </w:pPr>
      <w:rPr>
        <w:rFonts w:hint="default"/>
      </w:rPr>
    </w:lvl>
    <w:lvl w:ilvl="2" w:tentative="0">
      <w:start w:val="4"/>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ZjM2FlNjJkYTlkZjE5MDRhN2RiMmJjZTAzM2VhNzEifQ=="/>
  </w:docVars>
  <w:rsids>
    <w:rsidRoot w:val="00172A27"/>
    <w:rsid w:val="00002238"/>
    <w:rsid w:val="00002BDE"/>
    <w:rsid w:val="000030B9"/>
    <w:rsid w:val="00005173"/>
    <w:rsid w:val="00011A75"/>
    <w:rsid w:val="00012CDC"/>
    <w:rsid w:val="00020CC5"/>
    <w:rsid w:val="000278A1"/>
    <w:rsid w:val="00030364"/>
    <w:rsid w:val="00030511"/>
    <w:rsid w:val="00030907"/>
    <w:rsid w:val="0003363F"/>
    <w:rsid w:val="0003703C"/>
    <w:rsid w:val="000411F7"/>
    <w:rsid w:val="00053FA8"/>
    <w:rsid w:val="00055A9D"/>
    <w:rsid w:val="00061DD7"/>
    <w:rsid w:val="0006206C"/>
    <w:rsid w:val="000631C6"/>
    <w:rsid w:val="000640B8"/>
    <w:rsid w:val="00064BD8"/>
    <w:rsid w:val="00066DF4"/>
    <w:rsid w:val="00075EBC"/>
    <w:rsid w:val="00076FAD"/>
    <w:rsid w:val="00077063"/>
    <w:rsid w:val="00082B01"/>
    <w:rsid w:val="00083809"/>
    <w:rsid w:val="00090815"/>
    <w:rsid w:val="00090944"/>
    <w:rsid w:val="00093EFE"/>
    <w:rsid w:val="000942B1"/>
    <w:rsid w:val="00096ECF"/>
    <w:rsid w:val="000A1F88"/>
    <w:rsid w:val="000B1E71"/>
    <w:rsid w:val="000B3665"/>
    <w:rsid w:val="000B6398"/>
    <w:rsid w:val="000C2F8D"/>
    <w:rsid w:val="000D1585"/>
    <w:rsid w:val="000D175A"/>
    <w:rsid w:val="000D39D1"/>
    <w:rsid w:val="000D4577"/>
    <w:rsid w:val="000D4BCB"/>
    <w:rsid w:val="000D6CFE"/>
    <w:rsid w:val="000E2A35"/>
    <w:rsid w:val="000F0897"/>
    <w:rsid w:val="000F6C0E"/>
    <w:rsid w:val="00100ABB"/>
    <w:rsid w:val="00101A66"/>
    <w:rsid w:val="00101E9D"/>
    <w:rsid w:val="00114811"/>
    <w:rsid w:val="001169DA"/>
    <w:rsid w:val="00117880"/>
    <w:rsid w:val="00120FA2"/>
    <w:rsid w:val="001212A7"/>
    <w:rsid w:val="00124129"/>
    <w:rsid w:val="001307E8"/>
    <w:rsid w:val="00135FB3"/>
    <w:rsid w:val="0013681B"/>
    <w:rsid w:val="001413B5"/>
    <w:rsid w:val="001422AA"/>
    <w:rsid w:val="0015182A"/>
    <w:rsid w:val="00160440"/>
    <w:rsid w:val="001636DB"/>
    <w:rsid w:val="00165953"/>
    <w:rsid w:val="00167D9C"/>
    <w:rsid w:val="00172231"/>
    <w:rsid w:val="00172A27"/>
    <w:rsid w:val="0017600C"/>
    <w:rsid w:val="00184EA0"/>
    <w:rsid w:val="00186410"/>
    <w:rsid w:val="00187AE2"/>
    <w:rsid w:val="00196316"/>
    <w:rsid w:val="001A2273"/>
    <w:rsid w:val="001A6168"/>
    <w:rsid w:val="001B14D8"/>
    <w:rsid w:val="001B20EA"/>
    <w:rsid w:val="001B21C7"/>
    <w:rsid w:val="001B3EF7"/>
    <w:rsid w:val="001B610E"/>
    <w:rsid w:val="001B7480"/>
    <w:rsid w:val="001C475A"/>
    <w:rsid w:val="001D091B"/>
    <w:rsid w:val="001D1235"/>
    <w:rsid w:val="001D6D6A"/>
    <w:rsid w:val="001D7F18"/>
    <w:rsid w:val="001E2C32"/>
    <w:rsid w:val="001F1AB8"/>
    <w:rsid w:val="00203297"/>
    <w:rsid w:val="00203FE6"/>
    <w:rsid w:val="00211E88"/>
    <w:rsid w:val="00216E8B"/>
    <w:rsid w:val="002236DD"/>
    <w:rsid w:val="00227D97"/>
    <w:rsid w:val="00232803"/>
    <w:rsid w:val="00234C00"/>
    <w:rsid w:val="0023737B"/>
    <w:rsid w:val="0023757A"/>
    <w:rsid w:val="00240CF5"/>
    <w:rsid w:val="002427FA"/>
    <w:rsid w:val="00244AD8"/>
    <w:rsid w:val="0024540B"/>
    <w:rsid w:val="00247575"/>
    <w:rsid w:val="00250DFB"/>
    <w:rsid w:val="00251D22"/>
    <w:rsid w:val="00252A2A"/>
    <w:rsid w:val="00253212"/>
    <w:rsid w:val="00257CF4"/>
    <w:rsid w:val="00261356"/>
    <w:rsid w:val="00261CFF"/>
    <w:rsid w:val="0026229D"/>
    <w:rsid w:val="0026660E"/>
    <w:rsid w:val="0027025C"/>
    <w:rsid w:val="0027567F"/>
    <w:rsid w:val="00275C8D"/>
    <w:rsid w:val="00275F5D"/>
    <w:rsid w:val="00287C6C"/>
    <w:rsid w:val="00291F08"/>
    <w:rsid w:val="00292DEF"/>
    <w:rsid w:val="002A2571"/>
    <w:rsid w:val="002A581F"/>
    <w:rsid w:val="002A5C16"/>
    <w:rsid w:val="002A686C"/>
    <w:rsid w:val="002A76B4"/>
    <w:rsid w:val="002B1759"/>
    <w:rsid w:val="002B1E3B"/>
    <w:rsid w:val="002B2487"/>
    <w:rsid w:val="002B5B41"/>
    <w:rsid w:val="002C2FC2"/>
    <w:rsid w:val="002D1248"/>
    <w:rsid w:val="002E1F0F"/>
    <w:rsid w:val="002E387A"/>
    <w:rsid w:val="002E43BD"/>
    <w:rsid w:val="002E4C6A"/>
    <w:rsid w:val="002E52C8"/>
    <w:rsid w:val="002E69B8"/>
    <w:rsid w:val="002F7077"/>
    <w:rsid w:val="00300121"/>
    <w:rsid w:val="003020C0"/>
    <w:rsid w:val="00304981"/>
    <w:rsid w:val="003064A3"/>
    <w:rsid w:val="00307B23"/>
    <w:rsid w:val="00310AB7"/>
    <w:rsid w:val="00311365"/>
    <w:rsid w:val="003123F3"/>
    <w:rsid w:val="003162A0"/>
    <w:rsid w:val="00330411"/>
    <w:rsid w:val="00331BE7"/>
    <w:rsid w:val="0033412D"/>
    <w:rsid w:val="0033694E"/>
    <w:rsid w:val="00344AC6"/>
    <w:rsid w:val="003468D2"/>
    <w:rsid w:val="00351730"/>
    <w:rsid w:val="00351934"/>
    <w:rsid w:val="00352C14"/>
    <w:rsid w:val="003534DF"/>
    <w:rsid w:val="0036488E"/>
    <w:rsid w:val="00382427"/>
    <w:rsid w:val="0038455B"/>
    <w:rsid w:val="00393922"/>
    <w:rsid w:val="003951AF"/>
    <w:rsid w:val="003A1CC8"/>
    <w:rsid w:val="003B23FE"/>
    <w:rsid w:val="003B53ED"/>
    <w:rsid w:val="003B7649"/>
    <w:rsid w:val="003B777C"/>
    <w:rsid w:val="003C0EE6"/>
    <w:rsid w:val="003C3267"/>
    <w:rsid w:val="003C4EED"/>
    <w:rsid w:val="003D329A"/>
    <w:rsid w:val="003D6585"/>
    <w:rsid w:val="003D7FEA"/>
    <w:rsid w:val="003E006E"/>
    <w:rsid w:val="003E1618"/>
    <w:rsid w:val="003E7BB0"/>
    <w:rsid w:val="003F1339"/>
    <w:rsid w:val="003F4376"/>
    <w:rsid w:val="00403243"/>
    <w:rsid w:val="0041254B"/>
    <w:rsid w:val="004150DD"/>
    <w:rsid w:val="0041570D"/>
    <w:rsid w:val="00417526"/>
    <w:rsid w:val="00421DD0"/>
    <w:rsid w:val="00422E14"/>
    <w:rsid w:val="00427021"/>
    <w:rsid w:val="00427BB2"/>
    <w:rsid w:val="00434E56"/>
    <w:rsid w:val="00443827"/>
    <w:rsid w:val="00445A04"/>
    <w:rsid w:val="0044669C"/>
    <w:rsid w:val="00451C2A"/>
    <w:rsid w:val="00453CCC"/>
    <w:rsid w:val="0046081C"/>
    <w:rsid w:val="00472407"/>
    <w:rsid w:val="004775E9"/>
    <w:rsid w:val="0048173D"/>
    <w:rsid w:val="00483373"/>
    <w:rsid w:val="00487F49"/>
    <w:rsid w:val="0049227C"/>
    <w:rsid w:val="0049358D"/>
    <w:rsid w:val="00493C9D"/>
    <w:rsid w:val="00497474"/>
    <w:rsid w:val="004A5C13"/>
    <w:rsid w:val="004A68A8"/>
    <w:rsid w:val="004B311D"/>
    <w:rsid w:val="004B5F44"/>
    <w:rsid w:val="004B7896"/>
    <w:rsid w:val="004D0A4A"/>
    <w:rsid w:val="004D0AE4"/>
    <w:rsid w:val="004D12CF"/>
    <w:rsid w:val="004D2535"/>
    <w:rsid w:val="004E26B0"/>
    <w:rsid w:val="004E51AD"/>
    <w:rsid w:val="004F11F7"/>
    <w:rsid w:val="00500D44"/>
    <w:rsid w:val="005015B7"/>
    <w:rsid w:val="00502C45"/>
    <w:rsid w:val="005051F8"/>
    <w:rsid w:val="00505865"/>
    <w:rsid w:val="00510593"/>
    <w:rsid w:val="005122FB"/>
    <w:rsid w:val="005131DC"/>
    <w:rsid w:val="005161B0"/>
    <w:rsid w:val="00517088"/>
    <w:rsid w:val="005202B7"/>
    <w:rsid w:val="0052263A"/>
    <w:rsid w:val="00524A82"/>
    <w:rsid w:val="00526C81"/>
    <w:rsid w:val="00527A4B"/>
    <w:rsid w:val="00531106"/>
    <w:rsid w:val="00543F6A"/>
    <w:rsid w:val="0054778E"/>
    <w:rsid w:val="005501EE"/>
    <w:rsid w:val="0055066E"/>
    <w:rsid w:val="00556A1B"/>
    <w:rsid w:val="00572634"/>
    <w:rsid w:val="00573783"/>
    <w:rsid w:val="00573FB3"/>
    <w:rsid w:val="005854C3"/>
    <w:rsid w:val="00590B03"/>
    <w:rsid w:val="00590D86"/>
    <w:rsid w:val="00592EA4"/>
    <w:rsid w:val="005932A4"/>
    <w:rsid w:val="00595087"/>
    <w:rsid w:val="00595230"/>
    <w:rsid w:val="00596977"/>
    <w:rsid w:val="00597053"/>
    <w:rsid w:val="0059769B"/>
    <w:rsid w:val="005A54FA"/>
    <w:rsid w:val="005A7F88"/>
    <w:rsid w:val="005B095D"/>
    <w:rsid w:val="005B4A04"/>
    <w:rsid w:val="005D2D0A"/>
    <w:rsid w:val="005D5809"/>
    <w:rsid w:val="005D61D1"/>
    <w:rsid w:val="005E1BB0"/>
    <w:rsid w:val="005E2B54"/>
    <w:rsid w:val="005E6AC6"/>
    <w:rsid w:val="005E7905"/>
    <w:rsid w:val="005E7BDB"/>
    <w:rsid w:val="005F3003"/>
    <w:rsid w:val="005F5400"/>
    <w:rsid w:val="005F571E"/>
    <w:rsid w:val="005F7187"/>
    <w:rsid w:val="005F76A9"/>
    <w:rsid w:val="006030ED"/>
    <w:rsid w:val="006061A9"/>
    <w:rsid w:val="00606921"/>
    <w:rsid w:val="00610EBC"/>
    <w:rsid w:val="00612F3D"/>
    <w:rsid w:val="0062094E"/>
    <w:rsid w:val="00621652"/>
    <w:rsid w:val="00624CE0"/>
    <w:rsid w:val="00624FEA"/>
    <w:rsid w:val="0062517D"/>
    <w:rsid w:val="006338E1"/>
    <w:rsid w:val="00640829"/>
    <w:rsid w:val="0064181A"/>
    <w:rsid w:val="00646FB7"/>
    <w:rsid w:val="00647079"/>
    <w:rsid w:val="00650FC0"/>
    <w:rsid w:val="006541B5"/>
    <w:rsid w:val="0065519F"/>
    <w:rsid w:val="006562C0"/>
    <w:rsid w:val="00656338"/>
    <w:rsid w:val="00665372"/>
    <w:rsid w:val="006660E8"/>
    <w:rsid w:val="00667EEA"/>
    <w:rsid w:val="0067076D"/>
    <w:rsid w:val="00673538"/>
    <w:rsid w:val="00673BE9"/>
    <w:rsid w:val="0067690A"/>
    <w:rsid w:val="00687052"/>
    <w:rsid w:val="0069661B"/>
    <w:rsid w:val="006A36AA"/>
    <w:rsid w:val="006A4360"/>
    <w:rsid w:val="006B57BE"/>
    <w:rsid w:val="006C12DC"/>
    <w:rsid w:val="006C1D5B"/>
    <w:rsid w:val="006C658E"/>
    <w:rsid w:val="006E1F45"/>
    <w:rsid w:val="006E27FD"/>
    <w:rsid w:val="006F018B"/>
    <w:rsid w:val="006F1440"/>
    <w:rsid w:val="00702AEF"/>
    <w:rsid w:val="00712BFF"/>
    <w:rsid w:val="0071668B"/>
    <w:rsid w:val="00717100"/>
    <w:rsid w:val="007173B9"/>
    <w:rsid w:val="00721F64"/>
    <w:rsid w:val="00725C80"/>
    <w:rsid w:val="00734F5A"/>
    <w:rsid w:val="00740E09"/>
    <w:rsid w:val="0074117D"/>
    <w:rsid w:val="00742C6D"/>
    <w:rsid w:val="0075716C"/>
    <w:rsid w:val="00760E4E"/>
    <w:rsid w:val="00764B9A"/>
    <w:rsid w:val="00772E99"/>
    <w:rsid w:val="007909B0"/>
    <w:rsid w:val="00792923"/>
    <w:rsid w:val="00794FCC"/>
    <w:rsid w:val="00796B50"/>
    <w:rsid w:val="007A5C09"/>
    <w:rsid w:val="007A66B6"/>
    <w:rsid w:val="007B0276"/>
    <w:rsid w:val="007C008F"/>
    <w:rsid w:val="007C2D04"/>
    <w:rsid w:val="007C2E01"/>
    <w:rsid w:val="007C7644"/>
    <w:rsid w:val="007D579E"/>
    <w:rsid w:val="007D5ED8"/>
    <w:rsid w:val="007E2814"/>
    <w:rsid w:val="007E523F"/>
    <w:rsid w:val="007E69F2"/>
    <w:rsid w:val="007E7C90"/>
    <w:rsid w:val="007F19E1"/>
    <w:rsid w:val="007F7189"/>
    <w:rsid w:val="00800636"/>
    <w:rsid w:val="00800E44"/>
    <w:rsid w:val="008103B0"/>
    <w:rsid w:val="00811449"/>
    <w:rsid w:val="00813B01"/>
    <w:rsid w:val="008223FA"/>
    <w:rsid w:val="00824C4E"/>
    <w:rsid w:val="00824C9F"/>
    <w:rsid w:val="0082521C"/>
    <w:rsid w:val="008327B1"/>
    <w:rsid w:val="008379A3"/>
    <w:rsid w:val="00837E80"/>
    <w:rsid w:val="00840128"/>
    <w:rsid w:val="00842522"/>
    <w:rsid w:val="00844D21"/>
    <w:rsid w:val="00855497"/>
    <w:rsid w:val="00860619"/>
    <w:rsid w:val="00867116"/>
    <w:rsid w:val="008773FC"/>
    <w:rsid w:val="00880DBF"/>
    <w:rsid w:val="00890A14"/>
    <w:rsid w:val="00897718"/>
    <w:rsid w:val="008A0072"/>
    <w:rsid w:val="008A2BBA"/>
    <w:rsid w:val="008A4C3A"/>
    <w:rsid w:val="008B1181"/>
    <w:rsid w:val="008B7010"/>
    <w:rsid w:val="008C07F4"/>
    <w:rsid w:val="008C454A"/>
    <w:rsid w:val="008D6122"/>
    <w:rsid w:val="008E1E0A"/>
    <w:rsid w:val="008F265F"/>
    <w:rsid w:val="008F442F"/>
    <w:rsid w:val="008F4FDF"/>
    <w:rsid w:val="008F5102"/>
    <w:rsid w:val="008F54AB"/>
    <w:rsid w:val="008F7A65"/>
    <w:rsid w:val="00900E9B"/>
    <w:rsid w:val="00904A8E"/>
    <w:rsid w:val="00906021"/>
    <w:rsid w:val="00907AEA"/>
    <w:rsid w:val="0091495C"/>
    <w:rsid w:val="00920E45"/>
    <w:rsid w:val="00921535"/>
    <w:rsid w:val="0093128F"/>
    <w:rsid w:val="00931B5E"/>
    <w:rsid w:val="00934170"/>
    <w:rsid w:val="00940372"/>
    <w:rsid w:val="009530B7"/>
    <w:rsid w:val="009537A2"/>
    <w:rsid w:val="009545E8"/>
    <w:rsid w:val="00955566"/>
    <w:rsid w:val="00955627"/>
    <w:rsid w:val="009628C9"/>
    <w:rsid w:val="009635B7"/>
    <w:rsid w:val="0096580D"/>
    <w:rsid w:val="009679E2"/>
    <w:rsid w:val="009754AB"/>
    <w:rsid w:val="009805FF"/>
    <w:rsid w:val="009836E5"/>
    <w:rsid w:val="009926E1"/>
    <w:rsid w:val="0099399A"/>
    <w:rsid w:val="00994F35"/>
    <w:rsid w:val="009A5DBE"/>
    <w:rsid w:val="009A621E"/>
    <w:rsid w:val="009A6C43"/>
    <w:rsid w:val="009B0452"/>
    <w:rsid w:val="009B28C9"/>
    <w:rsid w:val="009B40B8"/>
    <w:rsid w:val="009C37CA"/>
    <w:rsid w:val="009D42FB"/>
    <w:rsid w:val="009D5C62"/>
    <w:rsid w:val="009D60F1"/>
    <w:rsid w:val="009E007F"/>
    <w:rsid w:val="009E020E"/>
    <w:rsid w:val="009E18AB"/>
    <w:rsid w:val="009E1EA0"/>
    <w:rsid w:val="009E5D5C"/>
    <w:rsid w:val="009F13A6"/>
    <w:rsid w:val="009F2FF2"/>
    <w:rsid w:val="009F4A55"/>
    <w:rsid w:val="009F4ABD"/>
    <w:rsid w:val="009F7416"/>
    <w:rsid w:val="00A079D2"/>
    <w:rsid w:val="00A134CE"/>
    <w:rsid w:val="00A17450"/>
    <w:rsid w:val="00A2444E"/>
    <w:rsid w:val="00A35C57"/>
    <w:rsid w:val="00A35E9D"/>
    <w:rsid w:val="00A44BF1"/>
    <w:rsid w:val="00A455A4"/>
    <w:rsid w:val="00A462FB"/>
    <w:rsid w:val="00A52B91"/>
    <w:rsid w:val="00A53C06"/>
    <w:rsid w:val="00A54EC9"/>
    <w:rsid w:val="00A65941"/>
    <w:rsid w:val="00A72524"/>
    <w:rsid w:val="00A7623F"/>
    <w:rsid w:val="00A76936"/>
    <w:rsid w:val="00A76C78"/>
    <w:rsid w:val="00A81E8C"/>
    <w:rsid w:val="00A8401E"/>
    <w:rsid w:val="00A86A25"/>
    <w:rsid w:val="00A901F7"/>
    <w:rsid w:val="00AA4693"/>
    <w:rsid w:val="00AB3146"/>
    <w:rsid w:val="00AB39A0"/>
    <w:rsid w:val="00AB4B3E"/>
    <w:rsid w:val="00AC3128"/>
    <w:rsid w:val="00AC57C6"/>
    <w:rsid w:val="00AC68A5"/>
    <w:rsid w:val="00AD5EF5"/>
    <w:rsid w:val="00AE439F"/>
    <w:rsid w:val="00AF45D9"/>
    <w:rsid w:val="00B00459"/>
    <w:rsid w:val="00B05722"/>
    <w:rsid w:val="00B0634A"/>
    <w:rsid w:val="00B10015"/>
    <w:rsid w:val="00B108C6"/>
    <w:rsid w:val="00B13F24"/>
    <w:rsid w:val="00B154E1"/>
    <w:rsid w:val="00B321AE"/>
    <w:rsid w:val="00B35E6F"/>
    <w:rsid w:val="00B372D3"/>
    <w:rsid w:val="00B45431"/>
    <w:rsid w:val="00B46CB2"/>
    <w:rsid w:val="00B52506"/>
    <w:rsid w:val="00B53BB0"/>
    <w:rsid w:val="00B56DA4"/>
    <w:rsid w:val="00B61904"/>
    <w:rsid w:val="00B6413D"/>
    <w:rsid w:val="00B642DB"/>
    <w:rsid w:val="00B72DDA"/>
    <w:rsid w:val="00B93A6F"/>
    <w:rsid w:val="00B94EB6"/>
    <w:rsid w:val="00BA166E"/>
    <w:rsid w:val="00BA33A5"/>
    <w:rsid w:val="00BB3C19"/>
    <w:rsid w:val="00BB5180"/>
    <w:rsid w:val="00BB5DD7"/>
    <w:rsid w:val="00BB6241"/>
    <w:rsid w:val="00BC2013"/>
    <w:rsid w:val="00BC2B3D"/>
    <w:rsid w:val="00BE35C5"/>
    <w:rsid w:val="00BF0729"/>
    <w:rsid w:val="00BF7C40"/>
    <w:rsid w:val="00C01F3B"/>
    <w:rsid w:val="00C05069"/>
    <w:rsid w:val="00C06E53"/>
    <w:rsid w:val="00C23E18"/>
    <w:rsid w:val="00C30232"/>
    <w:rsid w:val="00C403AC"/>
    <w:rsid w:val="00C40B49"/>
    <w:rsid w:val="00C40B78"/>
    <w:rsid w:val="00C46018"/>
    <w:rsid w:val="00C534F1"/>
    <w:rsid w:val="00C54381"/>
    <w:rsid w:val="00C564F6"/>
    <w:rsid w:val="00C57381"/>
    <w:rsid w:val="00C60745"/>
    <w:rsid w:val="00C6607F"/>
    <w:rsid w:val="00C66FEF"/>
    <w:rsid w:val="00C67A3B"/>
    <w:rsid w:val="00C77254"/>
    <w:rsid w:val="00C81E56"/>
    <w:rsid w:val="00C96FBD"/>
    <w:rsid w:val="00CA4469"/>
    <w:rsid w:val="00CA6059"/>
    <w:rsid w:val="00CB143C"/>
    <w:rsid w:val="00CB3B45"/>
    <w:rsid w:val="00CB41ED"/>
    <w:rsid w:val="00CD31FB"/>
    <w:rsid w:val="00CD79A1"/>
    <w:rsid w:val="00CD7C0F"/>
    <w:rsid w:val="00CE21DA"/>
    <w:rsid w:val="00CE49F7"/>
    <w:rsid w:val="00CE525D"/>
    <w:rsid w:val="00CE540B"/>
    <w:rsid w:val="00CF0A82"/>
    <w:rsid w:val="00CF2FE4"/>
    <w:rsid w:val="00CF3A37"/>
    <w:rsid w:val="00CF5174"/>
    <w:rsid w:val="00CF602C"/>
    <w:rsid w:val="00CF6DE2"/>
    <w:rsid w:val="00CF74B8"/>
    <w:rsid w:val="00D0353F"/>
    <w:rsid w:val="00D046BF"/>
    <w:rsid w:val="00D123E2"/>
    <w:rsid w:val="00D1279B"/>
    <w:rsid w:val="00D172C3"/>
    <w:rsid w:val="00D1780A"/>
    <w:rsid w:val="00D2483F"/>
    <w:rsid w:val="00D24918"/>
    <w:rsid w:val="00D328AA"/>
    <w:rsid w:val="00D352D3"/>
    <w:rsid w:val="00D3727F"/>
    <w:rsid w:val="00D41A64"/>
    <w:rsid w:val="00D4234C"/>
    <w:rsid w:val="00D538A2"/>
    <w:rsid w:val="00D6702C"/>
    <w:rsid w:val="00D70386"/>
    <w:rsid w:val="00D707F8"/>
    <w:rsid w:val="00D73B81"/>
    <w:rsid w:val="00D80F80"/>
    <w:rsid w:val="00D81256"/>
    <w:rsid w:val="00D92811"/>
    <w:rsid w:val="00D975BA"/>
    <w:rsid w:val="00D97AB8"/>
    <w:rsid w:val="00DA3BB8"/>
    <w:rsid w:val="00DA4554"/>
    <w:rsid w:val="00DA5966"/>
    <w:rsid w:val="00DA63BD"/>
    <w:rsid w:val="00DC7834"/>
    <w:rsid w:val="00DC7A9A"/>
    <w:rsid w:val="00DD4384"/>
    <w:rsid w:val="00DE24EB"/>
    <w:rsid w:val="00DE4EBF"/>
    <w:rsid w:val="00DF76CF"/>
    <w:rsid w:val="00DF7D90"/>
    <w:rsid w:val="00E000F4"/>
    <w:rsid w:val="00E07B94"/>
    <w:rsid w:val="00E23A6D"/>
    <w:rsid w:val="00E2400C"/>
    <w:rsid w:val="00E31D31"/>
    <w:rsid w:val="00E32BD5"/>
    <w:rsid w:val="00E36D66"/>
    <w:rsid w:val="00E4221D"/>
    <w:rsid w:val="00E42D3A"/>
    <w:rsid w:val="00E44460"/>
    <w:rsid w:val="00E52D33"/>
    <w:rsid w:val="00E5362C"/>
    <w:rsid w:val="00E54449"/>
    <w:rsid w:val="00E544A0"/>
    <w:rsid w:val="00E6010A"/>
    <w:rsid w:val="00E62394"/>
    <w:rsid w:val="00E637BA"/>
    <w:rsid w:val="00E70514"/>
    <w:rsid w:val="00E70D27"/>
    <w:rsid w:val="00E853A8"/>
    <w:rsid w:val="00E90D21"/>
    <w:rsid w:val="00E927A3"/>
    <w:rsid w:val="00E927F5"/>
    <w:rsid w:val="00E94796"/>
    <w:rsid w:val="00E95A34"/>
    <w:rsid w:val="00E95D23"/>
    <w:rsid w:val="00EB37F2"/>
    <w:rsid w:val="00EB42B0"/>
    <w:rsid w:val="00EC63D5"/>
    <w:rsid w:val="00ED4529"/>
    <w:rsid w:val="00ED6545"/>
    <w:rsid w:val="00EE2093"/>
    <w:rsid w:val="00EF17C5"/>
    <w:rsid w:val="00EF3FC9"/>
    <w:rsid w:val="00EF5608"/>
    <w:rsid w:val="00EF7FE8"/>
    <w:rsid w:val="00F0484E"/>
    <w:rsid w:val="00F05A24"/>
    <w:rsid w:val="00F21653"/>
    <w:rsid w:val="00F21A5D"/>
    <w:rsid w:val="00F23906"/>
    <w:rsid w:val="00F23AF6"/>
    <w:rsid w:val="00F24233"/>
    <w:rsid w:val="00F27621"/>
    <w:rsid w:val="00F30174"/>
    <w:rsid w:val="00F34C6C"/>
    <w:rsid w:val="00F35D59"/>
    <w:rsid w:val="00F42DC3"/>
    <w:rsid w:val="00F4350A"/>
    <w:rsid w:val="00F439B1"/>
    <w:rsid w:val="00F45CD7"/>
    <w:rsid w:val="00F460BC"/>
    <w:rsid w:val="00F54FF2"/>
    <w:rsid w:val="00F57A42"/>
    <w:rsid w:val="00F61C8A"/>
    <w:rsid w:val="00F63184"/>
    <w:rsid w:val="00F634B7"/>
    <w:rsid w:val="00F809A2"/>
    <w:rsid w:val="00F81180"/>
    <w:rsid w:val="00F81E40"/>
    <w:rsid w:val="00F87F74"/>
    <w:rsid w:val="00F92F9D"/>
    <w:rsid w:val="00F93C5B"/>
    <w:rsid w:val="00FA0443"/>
    <w:rsid w:val="00FA420B"/>
    <w:rsid w:val="00FA623A"/>
    <w:rsid w:val="00FB08C0"/>
    <w:rsid w:val="00FC14E4"/>
    <w:rsid w:val="00FC173A"/>
    <w:rsid w:val="00FD2DC9"/>
    <w:rsid w:val="00FD5759"/>
    <w:rsid w:val="00FE08F8"/>
    <w:rsid w:val="00FF05ED"/>
    <w:rsid w:val="00FF1AA4"/>
    <w:rsid w:val="00FF3D5B"/>
    <w:rsid w:val="00FF4542"/>
    <w:rsid w:val="00FF7009"/>
    <w:rsid w:val="01545E8B"/>
    <w:rsid w:val="01B27F98"/>
    <w:rsid w:val="01DF4411"/>
    <w:rsid w:val="01F64CFB"/>
    <w:rsid w:val="02064D01"/>
    <w:rsid w:val="0239146C"/>
    <w:rsid w:val="02586E3A"/>
    <w:rsid w:val="02597956"/>
    <w:rsid w:val="0265221E"/>
    <w:rsid w:val="02E500E5"/>
    <w:rsid w:val="03956A40"/>
    <w:rsid w:val="04E00A21"/>
    <w:rsid w:val="05365B75"/>
    <w:rsid w:val="053D44DF"/>
    <w:rsid w:val="056B12A7"/>
    <w:rsid w:val="05D717B8"/>
    <w:rsid w:val="05E4676B"/>
    <w:rsid w:val="05E823AF"/>
    <w:rsid w:val="07165970"/>
    <w:rsid w:val="0743215E"/>
    <w:rsid w:val="07716B9F"/>
    <w:rsid w:val="07FF2EC6"/>
    <w:rsid w:val="08487248"/>
    <w:rsid w:val="099730C7"/>
    <w:rsid w:val="0A160084"/>
    <w:rsid w:val="0A34163E"/>
    <w:rsid w:val="0A591B18"/>
    <w:rsid w:val="0A8717F1"/>
    <w:rsid w:val="0A9179B1"/>
    <w:rsid w:val="0ABD1493"/>
    <w:rsid w:val="0BC23DFE"/>
    <w:rsid w:val="0C1C1194"/>
    <w:rsid w:val="0C4624AE"/>
    <w:rsid w:val="0C7B7BF7"/>
    <w:rsid w:val="0C911C42"/>
    <w:rsid w:val="0C942938"/>
    <w:rsid w:val="0CB64FD1"/>
    <w:rsid w:val="0CDB5F9E"/>
    <w:rsid w:val="0DE8684B"/>
    <w:rsid w:val="0E55605B"/>
    <w:rsid w:val="0EA50FF7"/>
    <w:rsid w:val="0EB22307"/>
    <w:rsid w:val="0ECD015D"/>
    <w:rsid w:val="0EEC0934"/>
    <w:rsid w:val="0F3249FA"/>
    <w:rsid w:val="0FE12197"/>
    <w:rsid w:val="102275BF"/>
    <w:rsid w:val="11627130"/>
    <w:rsid w:val="120963A4"/>
    <w:rsid w:val="125F45A4"/>
    <w:rsid w:val="12E9771C"/>
    <w:rsid w:val="13020F21"/>
    <w:rsid w:val="13C5065D"/>
    <w:rsid w:val="13CE757A"/>
    <w:rsid w:val="143567FD"/>
    <w:rsid w:val="147312C9"/>
    <w:rsid w:val="14DD7C59"/>
    <w:rsid w:val="14EF60DE"/>
    <w:rsid w:val="154B6AAD"/>
    <w:rsid w:val="15EE6798"/>
    <w:rsid w:val="162219DC"/>
    <w:rsid w:val="16933830"/>
    <w:rsid w:val="16FF6003"/>
    <w:rsid w:val="1716382D"/>
    <w:rsid w:val="17A12C92"/>
    <w:rsid w:val="17AF6B65"/>
    <w:rsid w:val="183456B1"/>
    <w:rsid w:val="18614421"/>
    <w:rsid w:val="18E2056A"/>
    <w:rsid w:val="191B713B"/>
    <w:rsid w:val="19891B5F"/>
    <w:rsid w:val="1A101B8A"/>
    <w:rsid w:val="1A2E4750"/>
    <w:rsid w:val="1A50324F"/>
    <w:rsid w:val="1A901289"/>
    <w:rsid w:val="1A9B7B70"/>
    <w:rsid w:val="1A9C6B1D"/>
    <w:rsid w:val="1ACB7F75"/>
    <w:rsid w:val="1B4C5F99"/>
    <w:rsid w:val="1B9A19DC"/>
    <w:rsid w:val="1E5253EF"/>
    <w:rsid w:val="1EF129A3"/>
    <w:rsid w:val="1F4B72EA"/>
    <w:rsid w:val="1FB361F7"/>
    <w:rsid w:val="20D72926"/>
    <w:rsid w:val="20DD0368"/>
    <w:rsid w:val="20E33285"/>
    <w:rsid w:val="210178A2"/>
    <w:rsid w:val="22245FC7"/>
    <w:rsid w:val="223F602E"/>
    <w:rsid w:val="22C40A77"/>
    <w:rsid w:val="22E36A59"/>
    <w:rsid w:val="22EB4247"/>
    <w:rsid w:val="23427E14"/>
    <w:rsid w:val="24210A80"/>
    <w:rsid w:val="24415823"/>
    <w:rsid w:val="245162BA"/>
    <w:rsid w:val="25265704"/>
    <w:rsid w:val="259D3F98"/>
    <w:rsid w:val="259E5D31"/>
    <w:rsid w:val="25A75843"/>
    <w:rsid w:val="25A8705C"/>
    <w:rsid w:val="25AA1ABF"/>
    <w:rsid w:val="25EA47D5"/>
    <w:rsid w:val="260470EF"/>
    <w:rsid w:val="274202B3"/>
    <w:rsid w:val="274E0431"/>
    <w:rsid w:val="27903413"/>
    <w:rsid w:val="285E03E3"/>
    <w:rsid w:val="28A6003E"/>
    <w:rsid w:val="297A5B9F"/>
    <w:rsid w:val="29C26D33"/>
    <w:rsid w:val="2A2420B3"/>
    <w:rsid w:val="2AA45ABB"/>
    <w:rsid w:val="2C603BDB"/>
    <w:rsid w:val="2D2B20EF"/>
    <w:rsid w:val="2D3D489B"/>
    <w:rsid w:val="2E063CC5"/>
    <w:rsid w:val="2E182F2D"/>
    <w:rsid w:val="2E9462C4"/>
    <w:rsid w:val="2F726614"/>
    <w:rsid w:val="30244F2D"/>
    <w:rsid w:val="304E3790"/>
    <w:rsid w:val="30534D92"/>
    <w:rsid w:val="30547C8A"/>
    <w:rsid w:val="308E6245"/>
    <w:rsid w:val="30AF1490"/>
    <w:rsid w:val="30C8040E"/>
    <w:rsid w:val="30DD6338"/>
    <w:rsid w:val="31052F19"/>
    <w:rsid w:val="3166754F"/>
    <w:rsid w:val="31CB2646"/>
    <w:rsid w:val="321B1BE3"/>
    <w:rsid w:val="32D061A7"/>
    <w:rsid w:val="33F7351E"/>
    <w:rsid w:val="342A373C"/>
    <w:rsid w:val="34BC6E78"/>
    <w:rsid w:val="34C24CCA"/>
    <w:rsid w:val="352D6D1F"/>
    <w:rsid w:val="35684E2E"/>
    <w:rsid w:val="35E46987"/>
    <w:rsid w:val="36053EA9"/>
    <w:rsid w:val="36246AC5"/>
    <w:rsid w:val="36733AE2"/>
    <w:rsid w:val="372421DA"/>
    <w:rsid w:val="37914701"/>
    <w:rsid w:val="37A821C8"/>
    <w:rsid w:val="37D04190"/>
    <w:rsid w:val="391C514D"/>
    <w:rsid w:val="39891564"/>
    <w:rsid w:val="39DF161A"/>
    <w:rsid w:val="39FD487C"/>
    <w:rsid w:val="3A3A3F5E"/>
    <w:rsid w:val="3ADE3B5B"/>
    <w:rsid w:val="3AE05B82"/>
    <w:rsid w:val="3AFA027D"/>
    <w:rsid w:val="3BC16390"/>
    <w:rsid w:val="3BC65190"/>
    <w:rsid w:val="3BD632EC"/>
    <w:rsid w:val="3BEE27BE"/>
    <w:rsid w:val="3C626F7D"/>
    <w:rsid w:val="3CC33EB1"/>
    <w:rsid w:val="3DE85D1D"/>
    <w:rsid w:val="3DEE28BF"/>
    <w:rsid w:val="3E255286"/>
    <w:rsid w:val="3F0646C5"/>
    <w:rsid w:val="3F3C718D"/>
    <w:rsid w:val="3FC221AA"/>
    <w:rsid w:val="3FE507F1"/>
    <w:rsid w:val="3FFC02AD"/>
    <w:rsid w:val="40AD66C2"/>
    <w:rsid w:val="419134B3"/>
    <w:rsid w:val="42230CCD"/>
    <w:rsid w:val="422974EB"/>
    <w:rsid w:val="426E6E85"/>
    <w:rsid w:val="42AF3172"/>
    <w:rsid w:val="42BE129C"/>
    <w:rsid w:val="433F06C7"/>
    <w:rsid w:val="43BB26A0"/>
    <w:rsid w:val="449C54CE"/>
    <w:rsid w:val="44A2649B"/>
    <w:rsid w:val="46A7400D"/>
    <w:rsid w:val="46B3080E"/>
    <w:rsid w:val="46C40F0B"/>
    <w:rsid w:val="472A1E0E"/>
    <w:rsid w:val="48040267"/>
    <w:rsid w:val="481612F9"/>
    <w:rsid w:val="48BF5E10"/>
    <w:rsid w:val="493B0DEC"/>
    <w:rsid w:val="49576DF5"/>
    <w:rsid w:val="499113C0"/>
    <w:rsid w:val="49AA29D8"/>
    <w:rsid w:val="4A023554"/>
    <w:rsid w:val="4AE27302"/>
    <w:rsid w:val="4AED1C69"/>
    <w:rsid w:val="4C7E195F"/>
    <w:rsid w:val="4CAD5459"/>
    <w:rsid w:val="4CE656E9"/>
    <w:rsid w:val="4D5664DE"/>
    <w:rsid w:val="4DDD044E"/>
    <w:rsid w:val="4DF9673A"/>
    <w:rsid w:val="4E3D234F"/>
    <w:rsid w:val="4EE76A00"/>
    <w:rsid w:val="4EE83861"/>
    <w:rsid w:val="4F8051EC"/>
    <w:rsid w:val="4F926354"/>
    <w:rsid w:val="4FE7028A"/>
    <w:rsid w:val="50123FD4"/>
    <w:rsid w:val="50CD68D8"/>
    <w:rsid w:val="5168691A"/>
    <w:rsid w:val="524205FD"/>
    <w:rsid w:val="543645E0"/>
    <w:rsid w:val="55434A91"/>
    <w:rsid w:val="55AE6B49"/>
    <w:rsid w:val="55CA6E4E"/>
    <w:rsid w:val="55FB2E99"/>
    <w:rsid w:val="5684178D"/>
    <w:rsid w:val="5775692F"/>
    <w:rsid w:val="5777740D"/>
    <w:rsid w:val="57AF1170"/>
    <w:rsid w:val="5A69538E"/>
    <w:rsid w:val="5ABE0424"/>
    <w:rsid w:val="5B1B1681"/>
    <w:rsid w:val="5B225C3B"/>
    <w:rsid w:val="5B2C0F19"/>
    <w:rsid w:val="5B3C4873"/>
    <w:rsid w:val="5B413EC0"/>
    <w:rsid w:val="5B5335F3"/>
    <w:rsid w:val="5B770683"/>
    <w:rsid w:val="5BC91CB0"/>
    <w:rsid w:val="5BE10596"/>
    <w:rsid w:val="5D266477"/>
    <w:rsid w:val="5DC84A97"/>
    <w:rsid w:val="5DE240E8"/>
    <w:rsid w:val="5E0F4950"/>
    <w:rsid w:val="5E247C55"/>
    <w:rsid w:val="5E3224F3"/>
    <w:rsid w:val="5E3C52E0"/>
    <w:rsid w:val="5E430026"/>
    <w:rsid w:val="5E721B07"/>
    <w:rsid w:val="5F28262C"/>
    <w:rsid w:val="5F4145F2"/>
    <w:rsid w:val="5FDB1C82"/>
    <w:rsid w:val="60BC71D8"/>
    <w:rsid w:val="614F5D7E"/>
    <w:rsid w:val="61826F89"/>
    <w:rsid w:val="61831529"/>
    <w:rsid w:val="61B0518C"/>
    <w:rsid w:val="61DA1E7B"/>
    <w:rsid w:val="623F75AA"/>
    <w:rsid w:val="62D40078"/>
    <w:rsid w:val="63CC24D3"/>
    <w:rsid w:val="64941346"/>
    <w:rsid w:val="64F931B3"/>
    <w:rsid w:val="6503635B"/>
    <w:rsid w:val="65D75F4A"/>
    <w:rsid w:val="66721CD3"/>
    <w:rsid w:val="66E55A5B"/>
    <w:rsid w:val="672D7808"/>
    <w:rsid w:val="6809168C"/>
    <w:rsid w:val="690F299F"/>
    <w:rsid w:val="69663FBE"/>
    <w:rsid w:val="6A047421"/>
    <w:rsid w:val="6A0E03C1"/>
    <w:rsid w:val="6A7D73DD"/>
    <w:rsid w:val="6AAF1314"/>
    <w:rsid w:val="6AD83DF9"/>
    <w:rsid w:val="6B631809"/>
    <w:rsid w:val="6C570742"/>
    <w:rsid w:val="6D36583B"/>
    <w:rsid w:val="6D41194E"/>
    <w:rsid w:val="6DCC565E"/>
    <w:rsid w:val="6EAA08FD"/>
    <w:rsid w:val="6F654D32"/>
    <w:rsid w:val="6FC872CB"/>
    <w:rsid w:val="6FDB215B"/>
    <w:rsid w:val="70013C8A"/>
    <w:rsid w:val="700439AB"/>
    <w:rsid w:val="70381498"/>
    <w:rsid w:val="703A6FFF"/>
    <w:rsid w:val="71B36470"/>
    <w:rsid w:val="71ED132E"/>
    <w:rsid w:val="72DF7E8B"/>
    <w:rsid w:val="72E50A3E"/>
    <w:rsid w:val="734B1AA6"/>
    <w:rsid w:val="73720168"/>
    <w:rsid w:val="744D6C76"/>
    <w:rsid w:val="74B561EF"/>
    <w:rsid w:val="74D11E92"/>
    <w:rsid w:val="74DF18DB"/>
    <w:rsid w:val="750B2446"/>
    <w:rsid w:val="7567491F"/>
    <w:rsid w:val="75EA7060"/>
    <w:rsid w:val="75FC27A0"/>
    <w:rsid w:val="76311FBE"/>
    <w:rsid w:val="76411566"/>
    <w:rsid w:val="76EE0A0A"/>
    <w:rsid w:val="771B0FFA"/>
    <w:rsid w:val="77E37F3B"/>
    <w:rsid w:val="77E8354E"/>
    <w:rsid w:val="782B3CE8"/>
    <w:rsid w:val="794306D1"/>
    <w:rsid w:val="7A853931"/>
    <w:rsid w:val="7BC154B1"/>
    <w:rsid w:val="7C91411D"/>
    <w:rsid w:val="7CAE5A9D"/>
    <w:rsid w:val="7CC900AE"/>
    <w:rsid w:val="7D3C7172"/>
    <w:rsid w:val="7D440291"/>
    <w:rsid w:val="7D6A3C51"/>
    <w:rsid w:val="7DC9796B"/>
    <w:rsid w:val="7E505FDE"/>
    <w:rsid w:val="7E71262C"/>
    <w:rsid w:val="7EDE0302"/>
    <w:rsid w:val="7F661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8"/>
    <w:qFormat/>
    <w:uiPriority w:val="0"/>
    <w:pPr>
      <w:keepNext/>
      <w:keepLines/>
      <w:spacing w:before="260" w:after="260" w:line="415" w:lineRule="auto"/>
      <w:outlineLvl w:val="2"/>
    </w:pPr>
    <w:rPr>
      <w:b/>
      <w:bCs/>
      <w:sz w:val="32"/>
      <w:szCs w:val="32"/>
    </w:rPr>
  </w:style>
  <w:style w:type="paragraph" w:styleId="6">
    <w:name w:val="heading 4"/>
    <w:basedOn w:val="1"/>
    <w:next w:val="1"/>
    <w:link w:val="6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0"/>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2"/>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style>
  <w:style w:type="paragraph" w:styleId="12">
    <w:name w:val="toc 7"/>
    <w:basedOn w:val="1"/>
    <w:next w:val="1"/>
    <w:qFormat/>
    <w:uiPriority w:val="39"/>
    <w:pPr>
      <w:ind w:left="2520" w:leftChars="1200"/>
    </w:pPr>
  </w:style>
  <w:style w:type="paragraph" w:styleId="13">
    <w:name w:val="Normal Indent"/>
    <w:basedOn w:val="1"/>
    <w:link w:val="77"/>
    <w:qFormat/>
    <w:uiPriority w:val="0"/>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8"/>
    <w:qFormat/>
    <w:uiPriority w:val="0"/>
    <w:pPr>
      <w:shd w:val="clear" w:color="auto" w:fill="000080"/>
    </w:pPr>
  </w:style>
  <w:style w:type="paragraph" w:styleId="16">
    <w:name w:val="annotation text"/>
    <w:basedOn w:val="1"/>
    <w:link w:val="75"/>
    <w:qFormat/>
    <w:uiPriority w:val="0"/>
    <w:pPr>
      <w:jc w:val="left"/>
    </w:pPr>
  </w:style>
  <w:style w:type="paragraph" w:styleId="17">
    <w:name w:val="Body Text 3"/>
    <w:basedOn w:val="1"/>
    <w:link w:val="79"/>
    <w:qFormat/>
    <w:uiPriority w:val="0"/>
    <w:rPr>
      <w:rFonts w:ascii="宋体"/>
      <w:sz w:val="24"/>
      <w:szCs w:val="20"/>
    </w:rPr>
  </w:style>
  <w:style w:type="paragraph" w:styleId="18">
    <w:name w:val="Body Text Indent"/>
    <w:basedOn w:val="1"/>
    <w:link w:val="80"/>
    <w:qFormat/>
    <w:uiPriority w:val="0"/>
    <w:pPr>
      <w:spacing w:after="120"/>
      <w:ind w:left="420" w:leftChars="200"/>
    </w:pPr>
  </w:style>
  <w:style w:type="paragraph" w:styleId="19">
    <w:name w:val="Block Text"/>
    <w:basedOn w:val="1"/>
    <w:qFormat/>
    <w:uiPriority w:val="0"/>
    <w:pPr>
      <w:adjustRightInd w:val="0"/>
      <w:ind w:left="420" w:right="33"/>
      <w:jc w:val="left"/>
      <w:textAlignment w:val="baseline"/>
    </w:pPr>
    <w:rPr>
      <w:kern w:val="0"/>
      <w:sz w:val="24"/>
      <w:szCs w:val="20"/>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1680" w:leftChars="800"/>
    </w:pPr>
  </w:style>
  <w:style w:type="paragraph" w:styleId="22">
    <w:name w:val="toc 3"/>
    <w:basedOn w:val="1"/>
    <w:next w:val="1"/>
    <w:qFormat/>
    <w:uiPriority w:val="39"/>
    <w:pPr>
      <w:ind w:left="840" w:leftChars="400"/>
    </w:pPr>
  </w:style>
  <w:style w:type="paragraph" w:styleId="23">
    <w:name w:val="Plain Text"/>
    <w:basedOn w:val="1"/>
    <w:link w:val="81"/>
    <w:qFormat/>
    <w:uiPriority w:val="0"/>
    <w:rPr>
      <w:rFonts w:ascii="Courier New" w:hAnsi="Courier New"/>
      <w:szCs w:val="20"/>
    </w:rPr>
  </w:style>
  <w:style w:type="paragraph" w:styleId="24">
    <w:name w:val="toc 8"/>
    <w:basedOn w:val="1"/>
    <w:next w:val="1"/>
    <w:qFormat/>
    <w:uiPriority w:val="39"/>
    <w:pPr>
      <w:ind w:left="2940" w:leftChars="1400"/>
    </w:pPr>
  </w:style>
  <w:style w:type="paragraph" w:styleId="25">
    <w:name w:val="Date"/>
    <w:basedOn w:val="1"/>
    <w:next w:val="1"/>
    <w:link w:val="82"/>
    <w:qFormat/>
    <w:uiPriority w:val="0"/>
    <w:rPr>
      <w:sz w:val="24"/>
      <w:szCs w:val="20"/>
    </w:rPr>
  </w:style>
  <w:style w:type="paragraph" w:styleId="26">
    <w:name w:val="Body Text Indent 2"/>
    <w:basedOn w:val="1"/>
    <w:link w:val="83"/>
    <w:qFormat/>
    <w:uiPriority w:val="0"/>
    <w:pPr>
      <w:ind w:firstLine="570"/>
    </w:pPr>
    <w:rPr>
      <w:sz w:val="32"/>
    </w:rPr>
  </w:style>
  <w:style w:type="paragraph" w:styleId="27">
    <w:name w:val="Balloon Text"/>
    <w:basedOn w:val="1"/>
    <w:link w:val="84"/>
    <w:qFormat/>
    <w:uiPriority w:val="0"/>
    <w:rPr>
      <w:sz w:val="18"/>
      <w:szCs w:val="18"/>
    </w:rPr>
  </w:style>
  <w:style w:type="paragraph" w:styleId="28">
    <w:name w:val="footer"/>
    <w:basedOn w:val="1"/>
    <w:link w:val="85"/>
    <w:qFormat/>
    <w:uiPriority w:val="99"/>
    <w:pPr>
      <w:tabs>
        <w:tab w:val="center" w:pos="4153"/>
        <w:tab w:val="right" w:pos="8306"/>
      </w:tabs>
      <w:snapToGrid w:val="0"/>
      <w:jc w:val="left"/>
    </w:pPr>
    <w:rPr>
      <w:sz w:val="18"/>
      <w:szCs w:val="18"/>
    </w:rPr>
  </w:style>
  <w:style w:type="paragraph" w:styleId="29">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480" w:lineRule="auto"/>
    </w:pPr>
  </w:style>
  <w:style w:type="paragraph" w:styleId="31">
    <w:name w:val="toc 4"/>
    <w:basedOn w:val="1"/>
    <w:next w:val="1"/>
    <w:qFormat/>
    <w:uiPriority w:val="39"/>
    <w:pPr>
      <w:ind w:left="1260" w:leftChars="600"/>
    </w:pPr>
  </w:style>
  <w:style w:type="paragraph" w:styleId="32">
    <w:name w:val="Subtitle"/>
    <w:basedOn w:val="1"/>
    <w:next w:val="1"/>
    <w:link w:val="120"/>
    <w:qFormat/>
    <w:uiPriority w:val="0"/>
    <w:pPr>
      <w:spacing w:before="240" w:after="60" w:line="312" w:lineRule="auto"/>
      <w:jc w:val="center"/>
      <w:outlineLvl w:val="1"/>
    </w:pPr>
    <w:rPr>
      <w:rFonts w:ascii="Cambria" w:hAnsi="Cambria" w:cs="黑体"/>
      <w:b/>
      <w:bCs/>
      <w:kern w:val="28"/>
      <w:sz w:val="32"/>
      <w:szCs w:val="32"/>
    </w:rPr>
  </w:style>
  <w:style w:type="paragraph" w:styleId="33">
    <w:name w:val="footnote text"/>
    <w:basedOn w:val="1"/>
    <w:qFormat/>
    <w:uiPriority w:val="0"/>
    <w:rPr>
      <w:sz w:val="20"/>
      <w:szCs w:val="20"/>
    </w:rPr>
  </w:style>
  <w:style w:type="paragraph" w:styleId="34">
    <w:name w:val="toc 6"/>
    <w:basedOn w:val="1"/>
    <w:next w:val="1"/>
    <w:qFormat/>
    <w:uiPriority w:val="39"/>
    <w:pPr>
      <w:ind w:left="2100" w:leftChars="1000"/>
    </w:pPr>
  </w:style>
  <w:style w:type="paragraph" w:styleId="35">
    <w:name w:val="Body Text Indent 3"/>
    <w:basedOn w:val="1"/>
    <w:link w:val="87"/>
    <w:qFormat/>
    <w:uiPriority w:val="0"/>
    <w:pPr>
      <w:spacing w:after="120"/>
      <w:ind w:left="420" w:leftChars="200"/>
    </w:pPr>
    <w:rPr>
      <w:sz w:val="16"/>
      <w:szCs w:val="16"/>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ind w:left="420" w:leftChars="200"/>
    </w:pPr>
  </w:style>
  <w:style w:type="paragraph" w:styleId="38">
    <w:name w:val="toc 9"/>
    <w:basedOn w:val="1"/>
    <w:next w:val="1"/>
    <w:qFormat/>
    <w:uiPriority w:val="39"/>
    <w:pPr>
      <w:ind w:left="3360" w:leftChars="1600"/>
    </w:pPr>
  </w:style>
  <w:style w:type="paragraph" w:styleId="39">
    <w:name w:val="Body Text 2"/>
    <w:basedOn w:val="1"/>
    <w:link w:val="121"/>
    <w:qFormat/>
    <w:uiPriority w:val="0"/>
    <w:pPr>
      <w:tabs>
        <w:tab w:val="left" w:pos="540"/>
      </w:tabs>
      <w:spacing w:line="360" w:lineRule="auto"/>
    </w:pPr>
    <w:rPr>
      <w:rFonts w:ascii="宋体"/>
      <w:color w:val="000000"/>
      <w:sz w:val="28"/>
      <w:szCs w:val="20"/>
    </w:rPr>
  </w:style>
  <w:style w:type="paragraph" w:styleId="40">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1">
    <w:name w:val="index 1"/>
    <w:basedOn w:val="1"/>
    <w:next w:val="1"/>
    <w:qFormat/>
    <w:uiPriority w:val="0"/>
  </w:style>
  <w:style w:type="paragraph" w:styleId="42">
    <w:name w:val="Title"/>
    <w:basedOn w:val="1"/>
    <w:link w:val="8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6"/>
    <w:qFormat/>
    <w:uiPriority w:val="0"/>
    <w:rPr>
      <w:b/>
      <w:bCs/>
    </w:rPr>
  </w:style>
  <w:style w:type="paragraph" w:styleId="44">
    <w:name w:val="Body Text First Indent"/>
    <w:basedOn w:val="2"/>
    <w:link w:val="118"/>
    <w:qFormat/>
    <w:uiPriority w:val="0"/>
    <w:pPr>
      <w:ind w:firstLine="420" w:firstLineChars="100"/>
    </w:pPr>
  </w:style>
  <w:style w:type="paragraph" w:styleId="45">
    <w:name w:val="Body Text First Indent 2"/>
    <w:basedOn w:val="18"/>
    <w:link w:val="119"/>
    <w:qFormat/>
    <w:uiPriority w:val="0"/>
    <w:pPr>
      <w:ind w:firstLine="420" w:firstLineChars="200"/>
    </w:pPr>
    <w:rPr>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style>
  <w:style w:type="character" w:styleId="50">
    <w:name w:val="page number"/>
    <w:basedOn w:val="48"/>
    <w:qFormat/>
    <w:uiPriority w:val="0"/>
  </w:style>
  <w:style w:type="character" w:styleId="51">
    <w:name w:val="FollowedHyperlink"/>
    <w:basedOn w:val="48"/>
    <w:qFormat/>
    <w:uiPriority w:val="0"/>
    <w:rPr>
      <w:color w:val="333333"/>
      <w:u w:val="none"/>
    </w:rPr>
  </w:style>
  <w:style w:type="character" w:styleId="52">
    <w:name w:val="Emphasis"/>
    <w:basedOn w:val="48"/>
    <w:qFormat/>
    <w:uiPriority w:val="0"/>
  </w:style>
  <w:style w:type="character" w:styleId="53">
    <w:name w:val="HTML Definition"/>
    <w:basedOn w:val="48"/>
    <w:qFormat/>
    <w:uiPriority w:val="0"/>
  </w:style>
  <w:style w:type="character" w:styleId="54">
    <w:name w:val="HTML Typewriter"/>
    <w:basedOn w:val="48"/>
    <w:qFormat/>
    <w:uiPriority w:val="0"/>
    <w:rPr>
      <w:rFonts w:ascii="monospace" w:hAnsi="monospace" w:eastAsia="monospace" w:cs="monospace"/>
      <w:sz w:val="20"/>
    </w:rPr>
  </w:style>
  <w:style w:type="character" w:styleId="55">
    <w:name w:val="HTML Acronym"/>
    <w:basedOn w:val="48"/>
    <w:qFormat/>
    <w:uiPriority w:val="0"/>
    <w:rPr>
      <w:bdr w:val="none" w:color="auto" w:sz="0" w:space="0"/>
    </w:rPr>
  </w:style>
  <w:style w:type="character" w:styleId="56">
    <w:name w:val="HTML Variable"/>
    <w:basedOn w:val="48"/>
    <w:qFormat/>
    <w:uiPriority w:val="0"/>
  </w:style>
  <w:style w:type="character" w:styleId="57">
    <w:name w:val="Hyperlink"/>
    <w:basedOn w:val="48"/>
    <w:qFormat/>
    <w:uiPriority w:val="99"/>
    <w:rPr>
      <w:color w:val="333333"/>
      <w:u w:val="none"/>
    </w:rPr>
  </w:style>
  <w:style w:type="character" w:styleId="58">
    <w:name w:val="HTML Code"/>
    <w:basedOn w:val="48"/>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8"/>
    <w:qFormat/>
    <w:uiPriority w:val="0"/>
  </w:style>
  <w:style w:type="character" w:styleId="61">
    <w:name w:val="footnote reference"/>
    <w:qFormat/>
    <w:uiPriority w:val="0"/>
    <w:rPr>
      <w:vertAlign w:val="superscript"/>
    </w:rPr>
  </w:style>
  <w:style w:type="character" w:styleId="62">
    <w:name w:val="HTML Keyboard"/>
    <w:basedOn w:val="48"/>
    <w:qFormat/>
    <w:uiPriority w:val="0"/>
    <w:rPr>
      <w:rFonts w:hint="default" w:ascii="monospace" w:hAnsi="monospace" w:eastAsia="monospace" w:cs="monospace"/>
      <w:sz w:val="20"/>
    </w:rPr>
  </w:style>
  <w:style w:type="character" w:styleId="63">
    <w:name w:val="HTML Sample"/>
    <w:basedOn w:val="48"/>
    <w:qFormat/>
    <w:uiPriority w:val="0"/>
    <w:rPr>
      <w:rFonts w:hint="default" w:ascii="monospace" w:hAnsi="monospace" w:eastAsia="monospace" w:cs="monospace"/>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正文文本 Char"/>
    <w:basedOn w:val="48"/>
    <w:link w:val="2"/>
    <w:qFormat/>
    <w:uiPriority w:val="0"/>
    <w:rPr>
      <w:kern w:val="2"/>
      <w:sz w:val="21"/>
      <w:szCs w:val="24"/>
    </w:rPr>
  </w:style>
  <w:style w:type="character" w:customStyle="1" w:styleId="66">
    <w:name w:val="标题 1 Char"/>
    <w:link w:val="3"/>
    <w:qFormat/>
    <w:uiPriority w:val="0"/>
    <w:rPr>
      <w:rFonts w:eastAsia="宋体"/>
      <w:b/>
      <w:bCs/>
      <w:kern w:val="44"/>
      <w:sz w:val="44"/>
      <w:szCs w:val="44"/>
      <w:lang w:val="en-US" w:eastAsia="zh-CN" w:bidi="ar-SA"/>
    </w:rPr>
  </w:style>
  <w:style w:type="character" w:customStyle="1" w:styleId="67">
    <w:name w:val="标题 2 Char1"/>
    <w:link w:val="4"/>
    <w:qFormat/>
    <w:uiPriority w:val="0"/>
    <w:rPr>
      <w:rFonts w:ascii="Arial" w:hAnsi="Arial" w:eastAsia="黑体"/>
      <w:b/>
      <w:bCs/>
      <w:kern w:val="2"/>
      <w:sz w:val="32"/>
      <w:szCs w:val="32"/>
      <w:lang w:val="en-US" w:eastAsia="zh-CN" w:bidi="ar-SA"/>
    </w:rPr>
  </w:style>
  <w:style w:type="character" w:customStyle="1" w:styleId="68">
    <w:name w:val="标题 3 Char"/>
    <w:link w:val="5"/>
    <w:qFormat/>
    <w:uiPriority w:val="0"/>
    <w:rPr>
      <w:b/>
      <w:bCs/>
      <w:sz w:val="32"/>
      <w:szCs w:val="32"/>
    </w:rPr>
  </w:style>
  <w:style w:type="character" w:customStyle="1" w:styleId="69">
    <w:name w:val="标题 4 Char"/>
    <w:link w:val="6"/>
    <w:qFormat/>
    <w:uiPriority w:val="0"/>
    <w:rPr>
      <w:rFonts w:ascii="Arial" w:hAnsi="Arial" w:eastAsia="黑体"/>
      <w:b/>
      <w:bCs/>
      <w:kern w:val="2"/>
      <w:sz w:val="28"/>
      <w:szCs w:val="28"/>
    </w:rPr>
  </w:style>
  <w:style w:type="character" w:customStyle="1" w:styleId="70">
    <w:name w:val="标题 5 Char"/>
    <w:basedOn w:val="48"/>
    <w:link w:val="7"/>
    <w:qFormat/>
    <w:uiPriority w:val="0"/>
    <w:rPr>
      <w:rFonts w:ascii="Calibri" w:hAnsi="Calibri"/>
      <w:b/>
      <w:bCs/>
      <w:kern w:val="2"/>
      <w:sz w:val="28"/>
      <w:szCs w:val="28"/>
    </w:rPr>
  </w:style>
  <w:style w:type="character" w:customStyle="1" w:styleId="71">
    <w:name w:val="标题 6 Char"/>
    <w:link w:val="8"/>
    <w:qFormat/>
    <w:uiPriority w:val="0"/>
    <w:rPr>
      <w:rFonts w:ascii="Arial" w:hAnsi="Arial" w:eastAsia="黑体"/>
      <w:b/>
      <w:bCs/>
      <w:sz w:val="24"/>
      <w:szCs w:val="24"/>
    </w:rPr>
  </w:style>
  <w:style w:type="character" w:customStyle="1" w:styleId="72">
    <w:name w:val="标题 7 Char"/>
    <w:link w:val="9"/>
    <w:qFormat/>
    <w:uiPriority w:val="0"/>
    <w:rPr>
      <w:b/>
      <w:bCs/>
      <w:sz w:val="24"/>
      <w:szCs w:val="24"/>
    </w:rPr>
  </w:style>
  <w:style w:type="character" w:customStyle="1" w:styleId="73">
    <w:name w:val="标题 8 Char"/>
    <w:link w:val="10"/>
    <w:qFormat/>
    <w:uiPriority w:val="0"/>
    <w:rPr>
      <w:rFonts w:ascii="Arial" w:hAnsi="Arial" w:eastAsia="黑体"/>
      <w:sz w:val="24"/>
      <w:szCs w:val="24"/>
    </w:rPr>
  </w:style>
  <w:style w:type="character" w:customStyle="1" w:styleId="74">
    <w:name w:val="标题 9 Char"/>
    <w:link w:val="11"/>
    <w:qFormat/>
    <w:uiPriority w:val="0"/>
    <w:rPr>
      <w:rFonts w:ascii="Arial" w:hAnsi="Arial" w:eastAsia="黑体"/>
      <w:sz w:val="21"/>
      <w:szCs w:val="21"/>
    </w:rPr>
  </w:style>
  <w:style w:type="character" w:customStyle="1" w:styleId="75">
    <w:name w:val="批注文字 Char"/>
    <w:link w:val="16"/>
    <w:qFormat/>
    <w:uiPriority w:val="0"/>
    <w:rPr>
      <w:rFonts w:eastAsia="宋体"/>
      <w:kern w:val="2"/>
      <w:sz w:val="21"/>
      <w:szCs w:val="24"/>
      <w:lang w:val="en-US" w:eastAsia="zh-CN" w:bidi="ar-SA"/>
    </w:rPr>
  </w:style>
  <w:style w:type="character" w:customStyle="1" w:styleId="76">
    <w:name w:val="批注主题 Char"/>
    <w:link w:val="43"/>
    <w:qFormat/>
    <w:uiPriority w:val="0"/>
    <w:rPr>
      <w:b/>
      <w:bCs/>
      <w:kern w:val="2"/>
      <w:sz w:val="21"/>
      <w:szCs w:val="24"/>
    </w:rPr>
  </w:style>
  <w:style w:type="character" w:customStyle="1" w:styleId="77">
    <w:name w:val="正文缩进 Char"/>
    <w:link w:val="13"/>
    <w:qFormat/>
    <w:uiPriority w:val="0"/>
    <w:rPr>
      <w:kern w:val="2"/>
      <w:sz w:val="21"/>
      <w:szCs w:val="24"/>
    </w:rPr>
  </w:style>
  <w:style w:type="character" w:customStyle="1" w:styleId="78">
    <w:name w:val="文档结构图 Char"/>
    <w:link w:val="15"/>
    <w:qFormat/>
    <w:uiPriority w:val="0"/>
    <w:rPr>
      <w:kern w:val="2"/>
      <w:sz w:val="21"/>
      <w:szCs w:val="24"/>
      <w:shd w:val="clear" w:color="auto" w:fill="000080"/>
    </w:rPr>
  </w:style>
  <w:style w:type="character" w:customStyle="1" w:styleId="79">
    <w:name w:val="正文文本 3 Char"/>
    <w:link w:val="17"/>
    <w:qFormat/>
    <w:uiPriority w:val="0"/>
    <w:rPr>
      <w:rFonts w:ascii="宋体"/>
      <w:kern w:val="2"/>
      <w:sz w:val="24"/>
    </w:rPr>
  </w:style>
  <w:style w:type="character" w:customStyle="1" w:styleId="80">
    <w:name w:val="正文文本缩进 Char"/>
    <w:basedOn w:val="48"/>
    <w:link w:val="18"/>
    <w:qFormat/>
    <w:uiPriority w:val="0"/>
    <w:rPr>
      <w:kern w:val="2"/>
      <w:sz w:val="21"/>
      <w:szCs w:val="24"/>
    </w:rPr>
  </w:style>
  <w:style w:type="character" w:customStyle="1" w:styleId="81">
    <w:name w:val="纯文本 Char"/>
    <w:link w:val="23"/>
    <w:qFormat/>
    <w:uiPriority w:val="0"/>
    <w:rPr>
      <w:rFonts w:ascii="Courier New" w:hAnsi="Courier New"/>
      <w:kern w:val="2"/>
      <w:sz w:val="21"/>
    </w:rPr>
  </w:style>
  <w:style w:type="character" w:customStyle="1" w:styleId="82">
    <w:name w:val="日期 Char"/>
    <w:link w:val="25"/>
    <w:qFormat/>
    <w:uiPriority w:val="0"/>
    <w:rPr>
      <w:kern w:val="2"/>
      <w:sz w:val="24"/>
    </w:rPr>
  </w:style>
  <w:style w:type="character" w:customStyle="1" w:styleId="83">
    <w:name w:val="正文文本缩进 2 Char"/>
    <w:link w:val="26"/>
    <w:qFormat/>
    <w:uiPriority w:val="0"/>
    <w:rPr>
      <w:kern w:val="2"/>
      <w:sz w:val="32"/>
      <w:szCs w:val="24"/>
    </w:rPr>
  </w:style>
  <w:style w:type="character" w:customStyle="1" w:styleId="84">
    <w:name w:val="批注框文本 Char"/>
    <w:link w:val="27"/>
    <w:qFormat/>
    <w:uiPriority w:val="0"/>
    <w:rPr>
      <w:kern w:val="2"/>
      <w:sz w:val="18"/>
      <w:szCs w:val="18"/>
    </w:rPr>
  </w:style>
  <w:style w:type="character" w:customStyle="1" w:styleId="85">
    <w:name w:val="页脚 Char"/>
    <w:link w:val="28"/>
    <w:qFormat/>
    <w:uiPriority w:val="99"/>
    <w:rPr>
      <w:kern w:val="2"/>
      <w:sz w:val="18"/>
      <w:szCs w:val="18"/>
    </w:rPr>
  </w:style>
  <w:style w:type="character" w:customStyle="1" w:styleId="86">
    <w:name w:val="页眉 Char"/>
    <w:link w:val="29"/>
    <w:qFormat/>
    <w:uiPriority w:val="0"/>
    <w:rPr>
      <w:kern w:val="2"/>
      <w:sz w:val="18"/>
      <w:szCs w:val="18"/>
    </w:rPr>
  </w:style>
  <w:style w:type="character" w:customStyle="1" w:styleId="87">
    <w:name w:val="正文文本缩进 3 Char"/>
    <w:link w:val="35"/>
    <w:qFormat/>
    <w:uiPriority w:val="0"/>
    <w:rPr>
      <w:kern w:val="2"/>
      <w:sz w:val="16"/>
      <w:szCs w:val="16"/>
    </w:rPr>
  </w:style>
  <w:style w:type="character" w:customStyle="1" w:styleId="88">
    <w:name w:val="标题 Char"/>
    <w:link w:val="42"/>
    <w:qFormat/>
    <w:uiPriority w:val="0"/>
    <w:rPr>
      <w:rFonts w:ascii="Arial" w:hAnsi="Arial"/>
      <w:b/>
      <w:sz w:val="32"/>
    </w:rPr>
  </w:style>
  <w:style w:type="character" w:customStyle="1" w:styleId="89">
    <w:name w:val="font51"/>
    <w:qFormat/>
    <w:uiPriority w:val="0"/>
    <w:rPr>
      <w:rFonts w:hint="eastAsia" w:ascii="宋体" w:hAnsi="宋体" w:eastAsia="宋体" w:cs="宋体"/>
      <w:color w:val="000000"/>
      <w:sz w:val="24"/>
      <w:szCs w:val="24"/>
      <w:u w:val="none"/>
    </w:rPr>
  </w:style>
  <w:style w:type="character" w:customStyle="1" w:styleId="90">
    <w:name w:val="font41"/>
    <w:qFormat/>
    <w:uiPriority w:val="0"/>
    <w:rPr>
      <w:rFonts w:hint="default" w:ascii="Garamond" w:hAnsi="Garamond" w:eastAsia="Garamond" w:cs="Garamond"/>
      <w:color w:val="000000"/>
      <w:sz w:val="24"/>
      <w:szCs w:val="24"/>
      <w:u w:val="none"/>
    </w:rPr>
  </w:style>
  <w:style w:type="character" w:customStyle="1" w:styleId="91">
    <w:name w:val="Char Char2"/>
    <w:qFormat/>
    <w:uiPriority w:val="0"/>
    <w:rPr>
      <w:rFonts w:eastAsia="宋体"/>
      <w:kern w:val="2"/>
      <w:sz w:val="21"/>
      <w:szCs w:val="24"/>
      <w:lang w:val="en-US" w:eastAsia="zh-CN" w:bidi="ar-SA"/>
    </w:rPr>
  </w:style>
  <w:style w:type="character" w:customStyle="1" w:styleId="92">
    <w:name w:val="Char Char8"/>
    <w:qFormat/>
    <w:uiPriority w:val="0"/>
    <w:rPr>
      <w:rFonts w:ascii="Arial" w:hAnsi="Arial" w:eastAsia="黑体"/>
      <w:b/>
      <w:bCs/>
      <w:kern w:val="2"/>
      <w:sz w:val="32"/>
      <w:szCs w:val="32"/>
      <w:lang w:val="en-US" w:eastAsia="zh-CN" w:bidi="ar-SA"/>
    </w:rPr>
  </w:style>
  <w:style w:type="character" w:customStyle="1" w:styleId="93">
    <w:name w:val="font101"/>
    <w:qFormat/>
    <w:uiPriority w:val="0"/>
    <w:rPr>
      <w:rFonts w:hint="default" w:ascii="Garamond" w:hAnsi="Garamond" w:eastAsia="Garamond" w:cs="Garamond"/>
      <w:color w:val="000000"/>
      <w:sz w:val="24"/>
      <w:szCs w:val="24"/>
      <w:u w:val="none"/>
    </w:rPr>
  </w:style>
  <w:style w:type="character" w:customStyle="1" w:styleId="94">
    <w:name w:val="font91"/>
    <w:qFormat/>
    <w:uiPriority w:val="0"/>
    <w:rPr>
      <w:rFonts w:hint="default" w:ascii="Garamond" w:hAnsi="Garamond" w:eastAsia="Garamond" w:cs="Garamond"/>
      <w:color w:val="000000"/>
      <w:sz w:val="24"/>
      <w:szCs w:val="24"/>
      <w:u w:val="none"/>
    </w:rPr>
  </w:style>
  <w:style w:type="character" w:customStyle="1" w:styleId="95">
    <w:name w:val="font11"/>
    <w:qFormat/>
    <w:uiPriority w:val="0"/>
    <w:rPr>
      <w:rFonts w:hint="default" w:ascii="Garamond" w:hAnsi="Garamond" w:eastAsia="Garamond" w:cs="Garamond"/>
      <w:color w:val="000000"/>
      <w:sz w:val="24"/>
      <w:szCs w:val="24"/>
      <w:u w:val="non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font61"/>
    <w:qFormat/>
    <w:uiPriority w:val="0"/>
    <w:rPr>
      <w:rFonts w:hint="eastAsia" w:ascii="宋体" w:hAnsi="宋体" w:eastAsia="宋体" w:cs="宋体"/>
      <w:color w:val="000000"/>
      <w:sz w:val="24"/>
      <w:szCs w:val="24"/>
      <w:u w:val="none"/>
    </w:rPr>
  </w:style>
  <w:style w:type="character" w:customStyle="1" w:styleId="98">
    <w:name w:val="font31"/>
    <w:qFormat/>
    <w:uiPriority w:val="0"/>
    <w:rPr>
      <w:rFonts w:hint="eastAsia" w:ascii="宋体" w:hAnsi="宋体" w:eastAsia="宋体" w:cs="宋体"/>
      <w:color w:val="000000"/>
      <w:sz w:val="24"/>
      <w:szCs w:val="24"/>
      <w:u w:val="none"/>
    </w:rPr>
  </w:style>
  <w:style w:type="character" w:customStyle="1" w:styleId="99">
    <w:name w:val="font71"/>
    <w:qFormat/>
    <w:uiPriority w:val="0"/>
    <w:rPr>
      <w:rFonts w:hint="eastAsia" w:ascii="宋体" w:hAnsi="宋体" w:eastAsia="宋体" w:cs="宋体"/>
      <w:color w:val="000000"/>
      <w:sz w:val="24"/>
      <w:szCs w:val="24"/>
      <w:u w:val="none"/>
    </w:rPr>
  </w:style>
  <w:style w:type="character" w:customStyle="1" w:styleId="100">
    <w:name w:val="font81"/>
    <w:qFormat/>
    <w:uiPriority w:val="0"/>
    <w:rPr>
      <w:rFonts w:hint="default" w:ascii="Garamond" w:hAnsi="Garamond" w:eastAsia="Garamond" w:cs="Garamond"/>
      <w:color w:val="000000"/>
      <w:sz w:val="24"/>
      <w:szCs w:val="24"/>
      <w:u w:val="none"/>
    </w:rPr>
  </w:style>
  <w:style w:type="character" w:customStyle="1" w:styleId="101">
    <w:name w:val="font21"/>
    <w:qFormat/>
    <w:uiPriority w:val="0"/>
    <w:rPr>
      <w:rFonts w:ascii="Garamond" w:hAnsi="Garamond" w:eastAsia="Garamond" w:cs="Garamond"/>
      <w:color w:val="000000"/>
      <w:sz w:val="24"/>
      <w:szCs w:val="24"/>
      <w:u w:val="none"/>
    </w:rPr>
  </w:style>
  <w:style w:type="character" w:customStyle="1" w:styleId="102">
    <w:name w:val="font161"/>
    <w:qFormat/>
    <w:uiPriority w:val="0"/>
    <w:rPr>
      <w:b/>
      <w:bCs/>
      <w:sz w:val="32"/>
      <w:szCs w:val="32"/>
    </w:rPr>
  </w:style>
  <w:style w:type="character" w:customStyle="1" w:styleId="103">
    <w:name w:val="Char Char Char"/>
    <w:qFormat/>
    <w:uiPriority w:val="0"/>
    <w:rPr>
      <w:rFonts w:ascii="Arial" w:hAnsi="Arial" w:eastAsia="黑体"/>
      <w:b/>
      <w:bCs/>
      <w:kern w:val="2"/>
      <w:sz w:val="32"/>
      <w:szCs w:val="32"/>
      <w:lang w:val="en-US" w:eastAsia="zh-CN" w:bidi="ar-SA"/>
    </w:rPr>
  </w:style>
  <w:style w:type="character" w:customStyle="1" w:styleId="104">
    <w:name w:val="font01"/>
    <w:qFormat/>
    <w:uiPriority w:val="0"/>
    <w:rPr>
      <w:rFonts w:hint="eastAsia" w:ascii="宋体" w:hAnsi="宋体" w:eastAsia="宋体" w:cs="宋体"/>
      <w:color w:val="000000"/>
      <w:sz w:val="24"/>
      <w:szCs w:val="24"/>
      <w:u w:val="none"/>
    </w:rPr>
  </w:style>
  <w:style w:type="paragraph" w:customStyle="1" w:styleId="105">
    <w:name w:val="表格"/>
    <w:basedOn w:val="1"/>
    <w:qFormat/>
    <w:uiPriority w:val="0"/>
    <w:pPr>
      <w:jc w:val="center"/>
      <w:textAlignment w:val="center"/>
    </w:pPr>
    <w:rPr>
      <w:rFonts w:ascii="华文细黑" w:hAnsi="华文细黑"/>
      <w:kern w:val="0"/>
      <w:szCs w:val="20"/>
    </w:rPr>
  </w:style>
  <w:style w:type="paragraph" w:customStyle="1" w:styleId="106">
    <w:name w:val="1"/>
    <w:basedOn w:val="1"/>
    <w:next w:val="1"/>
    <w:qFormat/>
    <w:uiPriority w:val="0"/>
  </w:style>
  <w:style w:type="paragraph" w:customStyle="1" w:styleId="107">
    <w:name w:val="样式2"/>
    <w:basedOn w:val="5"/>
    <w:qFormat/>
    <w:uiPriority w:val="0"/>
  </w:style>
  <w:style w:type="paragraph" w:customStyle="1" w:styleId="108">
    <w:name w:val="列出段落1"/>
    <w:basedOn w:val="1"/>
    <w:qFormat/>
    <w:uiPriority w:val="0"/>
    <w:pPr>
      <w:ind w:firstLine="420" w:firstLineChars="200"/>
    </w:p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0">
    <w:name w:val="表格文字"/>
    <w:basedOn w:val="1"/>
    <w:qFormat/>
    <w:uiPriority w:val="0"/>
    <w:pPr>
      <w:adjustRightInd w:val="0"/>
      <w:spacing w:line="420" w:lineRule="atLeast"/>
      <w:jc w:val="left"/>
      <w:textAlignment w:val="baseline"/>
    </w:pPr>
    <w:rPr>
      <w:kern w:val="0"/>
      <w:szCs w:val="20"/>
    </w:rPr>
  </w:style>
  <w:style w:type="paragraph" w:customStyle="1" w:styleId="1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2">
    <w:name w:val="样式1"/>
    <w:basedOn w:val="5"/>
    <w:qFormat/>
    <w:uiPriority w:val="0"/>
    <w:rPr>
      <w:rFonts w:eastAsia="Arial"/>
    </w:rPr>
  </w:style>
  <w:style w:type="paragraph" w:customStyle="1" w:styleId="113">
    <w:name w:val="样式3"/>
    <w:basedOn w:val="5"/>
    <w:qFormat/>
    <w:uiPriority w:val="0"/>
    <w:rPr>
      <w:rFonts w:eastAsia="Arial"/>
    </w:rPr>
  </w:style>
  <w:style w:type="paragraph" w:customStyle="1" w:styleId="114">
    <w:name w:val="Char"/>
    <w:basedOn w:val="1"/>
    <w:qFormat/>
    <w:uiPriority w:val="0"/>
    <w:pPr>
      <w:tabs>
        <w:tab w:val="left" w:pos="360"/>
      </w:tabs>
    </w:pPr>
    <w:rPr>
      <w:sz w:val="24"/>
    </w:rPr>
  </w:style>
  <w:style w:type="paragraph" w:customStyle="1" w:styleId="115">
    <w:name w:val="样式4"/>
    <w:basedOn w:val="5"/>
    <w:qFormat/>
    <w:uiPriority w:val="0"/>
    <w:rPr>
      <w:rFonts w:eastAsia="Arial"/>
    </w:rPr>
  </w:style>
  <w:style w:type="paragraph" w:customStyle="1" w:styleId="11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18">
    <w:name w:val="正文首行缩进 Char"/>
    <w:basedOn w:val="65"/>
    <w:link w:val="44"/>
    <w:qFormat/>
    <w:uiPriority w:val="0"/>
    <w:rPr>
      <w:kern w:val="2"/>
      <w:sz w:val="21"/>
      <w:szCs w:val="24"/>
    </w:rPr>
  </w:style>
  <w:style w:type="character" w:customStyle="1" w:styleId="119">
    <w:name w:val="正文首行缩进 2 Char"/>
    <w:basedOn w:val="80"/>
    <w:link w:val="45"/>
    <w:qFormat/>
    <w:uiPriority w:val="0"/>
    <w:rPr>
      <w:kern w:val="2"/>
      <w:sz w:val="21"/>
      <w:szCs w:val="24"/>
    </w:rPr>
  </w:style>
  <w:style w:type="character" w:customStyle="1" w:styleId="120">
    <w:name w:val="副标题 Char"/>
    <w:basedOn w:val="48"/>
    <w:link w:val="32"/>
    <w:qFormat/>
    <w:uiPriority w:val="0"/>
    <w:rPr>
      <w:rFonts w:ascii="Cambria" w:hAnsi="Cambria" w:cs="黑体"/>
      <w:b/>
      <w:bCs/>
      <w:kern w:val="28"/>
      <w:sz w:val="32"/>
      <w:szCs w:val="32"/>
    </w:rPr>
  </w:style>
  <w:style w:type="character" w:customStyle="1" w:styleId="121">
    <w:name w:val="正文文本 2 Char"/>
    <w:basedOn w:val="48"/>
    <w:link w:val="39"/>
    <w:qFormat/>
    <w:uiPriority w:val="0"/>
    <w:rPr>
      <w:rFonts w:ascii="宋体"/>
      <w:color w:val="000000"/>
      <w:kern w:val="2"/>
      <w:sz w:val="28"/>
    </w:rPr>
  </w:style>
  <w:style w:type="paragraph" w:customStyle="1" w:styleId="122">
    <w:name w:val="Definition Term"/>
    <w:basedOn w:val="1"/>
    <w:next w:val="123"/>
    <w:qFormat/>
    <w:uiPriority w:val="0"/>
    <w:pPr>
      <w:autoSpaceDE w:val="0"/>
      <w:autoSpaceDN w:val="0"/>
      <w:adjustRightInd w:val="0"/>
      <w:jc w:val="left"/>
    </w:pPr>
    <w:rPr>
      <w:kern w:val="0"/>
      <w:sz w:val="24"/>
      <w:szCs w:val="20"/>
    </w:rPr>
  </w:style>
  <w:style w:type="paragraph" w:customStyle="1" w:styleId="123">
    <w:name w:val="Definition List"/>
    <w:basedOn w:val="1"/>
    <w:next w:val="122"/>
    <w:qFormat/>
    <w:uiPriority w:val="0"/>
    <w:pPr>
      <w:autoSpaceDE w:val="0"/>
      <w:autoSpaceDN w:val="0"/>
      <w:adjustRightInd w:val="0"/>
      <w:ind w:left="360"/>
      <w:jc w:val="left"/>
    </w:pPr>
    <w:rPr>
      <w:kern w:val="0"/>
      <w:sz w:val="24"/>
      <w:szCs w:val="20"/>
    </w:rPr>
  </w:style>
  <w:style w:type="paragraph" w:customStyle="1" w:styleId="124">
    <w:name w:val="默认段落字体 Para Char Char Char Char Char Char Char"/>
    <w:basedOn w:val="1"/>
    <w:qFormat/>
    <w:uiPriority w:val="0"/>
    <w:rPr>
      <w:rFonts w:ascii="Tahoma" w:hAnsi="Tahoma"/>
      <w:sz w:val="24"/>
      <w:szCs w:val="20"/>
    </w:rPr>
  </w:style>
  <w:style w:type="paragraph" w:customStyle="1" w:styleId="125">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26">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27">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28">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29">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30">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31">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32">
    <w:name w:val="Address"/>
    <w:basedOn w:val="1"/>
    <w:next w:val="1"/>
    <w:qFormat/>
    <w:uiPriority w:val="0"/>
    <w:pPr>
      <w:autoSpaceDE w:val="0"/>
      <w:autoSpaceDN w:val="0"/>
      <w:adjustRightInd w:val="0"/>
      <w:jc w:val="left"/>
    </w:pPr>
    <w:rPr>
      <w:i/>
      <w:kern w:val="0"/>
      <w:sz w:val="24"/>
      <w:szCs w:val="20"/>
    </w:rPr>
  </w:style>
  <w:style w:type="paragraph" w:customStyle="1" w:styleId="13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5">
    <w:name w:val="z-Bottom of Form"/>
    <w:next w:val="1"/>
    <w:hidden/>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6">
    <w:name w:val="z-Top of Form"/>
    <w:next w:val="1"/>
    <w:hidden/>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character" w:customStyle="1" w:styleId="141">
    <w:name w:val="明显引用 Char"/>
    <w:link w:val="140"/>
    <w:qFormat/>
    <w:uiPriority w:val="0"/>
    <w:rPr>
      <w:rFonts w:ascii="Calibri" w:hAnsi="Calibri" w:cs="黑体"/>
      <w:b/>
      <w:bCs/>
      <w:i/>
      <w:iCs/>
      <w:color w:val="4F81BD"/>
      <w:kern w:val="2"/>
      <w:sz w:val="21"/>
      <w:szCs w:val="22"/>
    </w:rPr>
  </w:style>
  <w:style w:type="paragraph" w:customStyle="1" w:styleId="142">
    <w:name w:val="引用1"/>
    <w:basedOn w:val="1"/>
    <w:next w:val="1"/>
    <w:link w:val="143"/>
    <w:qFormat/>
    <w:uiPriority w:val="0"/>
    <w:rPr>
      <w:rFonts w:ascii="Calibri" w:hAnsi="Calibri" w:cs="黑体"/>
      <w:i/>
      <w:iCs/>
      <w:color w:val="000000"/>
      <w:szCs w:val="22"/>
    </w:rPr>
  </w:style>
  <w:style w:type="character" w:customStyle="1" w:styleId="143">
    <w:name w:val="引用 Char"/>
    <w:link w:val="142"/>
    <w:qFormat/>
    <w:uiPriority w:val="0"/>
    <w:rPr>
      <w:rFonts w:ascii="Calibri" w:hAnsi="Calibri" w:cs="黑体"/>
      <w:i/>
      <w:iCs/>
      <w:color w:val="000000"/>
      <w:kern w:val="2"/>
      <w:sz w:val="21"/>
      <w:szCs w:val="22"/>
    </w:rPr>
  </w:style>
  <w:style w:type="paragraph" w:customStyle="1" w:styleId="144">
    <w:name w:val="修订1"/>
    <w:qFormat/>
    <w:uiPriority w:val="0"/>
    <w:rPr>
      <w:rFonts w:ascii="Times New Roman" w:hAnsi="Times New Roman" w:eastAsia="宋体" w:cs="Times New Roman"/>
      <w:kern w:val="2"/>
      <w:sz w:val="21"/>
      <w:szCs w:val="24"/>
      <w:lang w:val="en-US" w:eastAsia="zh-CN" w:bidi="ar-SA"/>
    </w:rPr>
  </w:style>
  <w:style w:type="paragraph" w:customStyle="1" w:styleId="14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6">
    <w:name w:val="标题5"/>
    <w:basedOn w:val="5"/>
    <w:link w:val="147"/>
    <w:qFormat/>
    <w:uiPriority w:val="0"/>
    <w:pPr>
      <w:spacing w:line="413" w:lineRule="auto"/>
    </w:pPr>
    <w:rPr>
      <w:rFonts w:ascii="Arial" w:hAnsi="Arial" w:cs="黑体"/>
      <w:sz w:val="24"/>
    </w:rPr>
  </w:style>
  <w:style w:type="character" w:customStyle="1" w:styleId="147">
    <w:name w:val="标题5 Char Char"/>
    <w:link w:val="146"/>
    <w:qFormat/>
    <w:uiPriority w:val="0"/>
    <w:rPr>
      <w:rFonts w:ascii="Arial" w:hAnsi="Arial" w:cs="黑体"/>
      <w:b/>
      <w:bCs/>
      <w:kern w:val="2"/>
      <w:sz w:val="24"/>
      <w:szCs w:val="32"/>
    </w:rPr>
  </w:style>
  <w:style w:type="paragraph" w:customStyle="1" w:styleId="14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9">
    <w:name w:val="TOC 标题1"/>
    <w:basedOn w:val="3"/>
    <w:next w:val="1"/>
    <w:qFormat/>
    <w:uiPriority w:val="0"/>
    <w:pPr>
      <w:outlineLvl w:val="9"/>
    </w:pPr>
    <w:rPr>
      <w:rFonts w:ascii="Calibri" w:hAnsi="Calibri"/>
      <w:color w:val="FF0000"/>
    </w:rPr>
  </w:style>
  <w:style w:type="paragraph" w:customStyle="1" w:styleId="150">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151">
    <w:name w:val="列出段落2"/>
    <w:basedOn w:val="1"/>
    <w:qFormat/>
    <w:uiPriority w:val="99"/>
    <w:pPr>
      <w:ind w:firstLine="420" w:firstLineChars="200"/>
    </w:pPr>
  </w:style>
  <w:style w:type="character" w:customStyle="1" w:styleId="152">
    <w:name w:val="Char Char4"/>
    <w:qFormat/>
    <w:uiPriority w:val="0"/>
    <w:rPr>
      <w:rFonts w:ascii="宋体" w:hAnsi="宋体" w:eastAsia="黑体" w:cs="Arial"/>
      <w:b/>
      <w:kern w:val="2"/>
      <w:sz w:val="28"/>
      <w:szCs w:val="32"/>
      <w:lang w:val="en-US" w:eastAsia="zh-CN" w:bidi="ar-SA"/>
    </w:rPr>
  </w:style>
  <w:style w:type="character" w:customStyle="1" w:styleId="153">
    <w:name w:val="Char Char1"/>
    <w:qFormat/>
    <w:uiPriority w:val="0"/>
    <w:rPr>
      <w:rFonts w:ascii="黑体" w:hAnsi="Arial" w:eastAsia="黑体" w:cs="Arial"/>
      <w:b/>
      <w:bCs/>
      <w:kern w:val="2"/>
      <w:sz w:val="32"/>
      <w:szCs w:val="32"/>
      <w:lang w:val="en-US" w:eastAsia="zh-CN" w:bidi="ar-SA"/>
    </w:rPr>
  </w:style>
  <w:style w:type="character" w:customStyle="1" w:styleId="154">
    <w:name w:val="Char Char3"/>
    <w:qFormat/>
    <w:uiPriority w:val="0"/>
    <w:rPr>
      <w:rFonts w:ascii="黑体" w:hAnsi="宋体" w:eastAsia="黑体" w:cs="Arial"/>
      <w:b/>
      <w:bCs/>
      <w:kern w:val="2"/>
      <w:sz w:val="24"/>
      <w:szCs w:val="24"/>
      <w:lang w:val="en-US" w:eastAsia="zh-CN" w:bidi="ar-SA"/>
    </w:rPr>
  </w:style>
  <w:style w:type="character" w:customStyle="1" w:styleId="155">
    <w:name w:val="Definition"/>
    <w:qFormat/>
    <w:uiPriority w:val="0"/>
    <w:rPr>
      <w:i/>
    </w:rPr>
  </w:style>
  <w:style w:type="character" w:customStyle="1" w:styleId="156">
    <w:name w:val="CITE"/>
    <w:qFormat/>
    <w:uiPriority w:val="0"/>
    <w:rPr>
      <w:i/>
    </w:rPr>
  </w:style>
  <w:style w:type="character" w:customStyle="1" w:styleId="157">
    <w:name w:val="CODE"/>
    <w:qFormat/>
    <w:uiPriority w:val="0"/>
    <w:rPr>
      <w:rFonts w:ascii="Courier New" w:hAnsi="Courier New"/>
      <w:sz w:val="20"/>
    </w:rPr>
  </w:style>
  <w:style w:type="character" w:customStyle="1" w:styleId="158">
    <w:name w:val="Keyboard"/>
    <w:qFormat/>
    <w:uiPriority w:val="0"/>
    <w:rPr>
      <w:rFonts w:ascii="Courier New" w:hAnsi="Courier New"/>
      <w:b/>
      <w:sz w:val="20"/>
    </w:rPr>
  </w:style>
  <w:style w:type="character" w:customStyle="1" w:styleId="159">
    <w:name w:val="Sample"/>
    <w:qFormat/>
    <w:uiPriority w:val="0"/>
    <w:rPr>
      <w:rFonts w:ascii="Courier New" w:hAnsi="Courier New"/>
    </w:rPr>
  </w:style>
  <w:style w:type="character" w:customStyle="1" w:styleId="160">
    <w:name w:val="Typewriter"/>
    <w:qFormat/>
    <w:uiPriority w:val="0"/>
    <w:rPr>
      <w:rFonts w:ascii="Courier New" w:hAnsi="Courier New"/>
      <w:sz w:val="20"/>
    </w:rPr>
  </w:style>
  <w:style w:type="character" w:customStyle="1" w:styleId="161">
    <w:name w:val="Variable"/>
    <w:qFormat/>
    <w:uiPriority w:val="0"/>
    <w:rPr>
      <w:i/>
    </w:rPr>
  </w:style>
  <w:style w:type="character" w:customStyle="1" w:styleId="162">
    <w:name w:val="HTML Markup"/>
    <w:qFormat/>
    <w:uiPriority w:val="0"/>
    <w:rPr>
      <w:vanish/>
      <w:color w:val="FF0000"/>
    </w:rPr>
  </w:style>
  <w:style w:type="character" w:customStyle="1" w:styleId="163">
    <w:name w:val="Comment"/>
    <w:qFormat/>
    <w:uiPriority w:val="0"/>
    <w:rPr>
      <w:vanish/>
    </w:rPr>
  </w:style>
  <w:style w:type="character" w:customStyle="1" w:styleId="164">
    <w:name w:val="Char Char"/>
    <w:qFormat/>
    <w:uiPriority w:val="0"/>
    <w:rPr>
      <w:rFonts w:eastAsia="宋体"/>
      <w:b/>
      <w:bCs/>
      <w:kern w:val="2"/>
      <w:sz w:val="21"/>
      <w:szCs w:val="24"/>
      <w:lang w:val="en-US" w:eastAsia="zh-CN" w:bidi="ar-SA"/>
    </w:rPr>
  </w:style>
  <w:style w:type="character" w:customStyle="1" w:styleId="165">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6">
    <w:name w:val="Char Char41"/>
    <w:qFormat/>
    <w:uiPriority w:val="0"/>
    <w:rPr>
      <w:rFonts w:ascii="宋体" w:hAnsi="宋体" w:eastAsia="黑体" w:cs="Arial"/>
      <w:b/>
      <w:kern w:val="2"/>
      <w:sz w:val="28"/>
      <w:szCs w:val="32"/>
      <w:lang w:val="en-US" w:eastAsia="zh-CN" w:bidi="ar-SA"/>
    </w:rPr>
  </w:style>
  <w:style w:type="character" w:customStyle="1" w:styleId="167">
    <w:name w:val="Char Char11"/>
    <w:qFormat/>
    <w:uiPriority w:val="0"/>
    <w:rPr>
      <w:rFonts w:ascii="黑体" w:hAnsi="Arial" w:eastAsia="黑体" w:cs="Arial"/>
      <w:b/>
      <w:bCs/>
      <w:kern w:val="2"/>
      <w:sz w:val="32"/>
      <w:szCs w:val="32"/>
      <w:lang w:val="en-US" w:eastAsia="zh-CN" w:bidi="ar-SA"/>
    </w:rPr>
  </w:style>
  <w:style w:type="character" w:customStyle="1" w:styleId="168">
    <w:name w:val="Char Char31"/>
    <w:qFormat/>
    <w:uiPriority w:val="0"/>
    <w:rPr>
      <w:rFonts w:ascii="黑体" w:hAnsi="宋体" w:eastAsia="黑体" w:cs="Arial"/>
      <w:b/>
      <w:bCs/>
      <w:kern w:val="2"/>
      <w:sz w:val="24"/>
      <w:szCs w:val="24"/>
      <w:lang w:val="en-US" w:eastAsia="zh-CN" w:bidi="ar-SA"/>
    </w:rPr>
  </w:style>
  <w:style w:type="character" w:customStyle="1" w:styleId="169">
    <w:name w:val="Char Char5"/>
    <w:qFormat/>
    <w:uiPriority w:val="0"/>
    <w:rPr>
      <w:rFonts w:eastAsia="宋体"/>
      <w:b/>
      <w:bCs/>
      <w:kern w:val="2"/>
      <w:sz w:val="21"/>
      <w:szCs w:val="24"/>
      <w:lang w:val="en-US" w:eastAsia="zh-CN" w:bidi="ar-SA"/>
    </w:rPr>
  </w:style>
  <w:style w:type="character" w:customStyle="1" w:styleId="170">
    <w:name w:val="Char Char42"/>
    <w:qFormat/>
    <w:uiPriority w:val="0"/>
    <w:rPr>
      <w:rFonts w:ascii="宋体" w:hAnsi="宋体" w:eastAsia="黑体" w:cs="Arial"/>
      <w:b/>
      <w:kern w:val="2"/>
      <w:sz w:val="28"/>
      <w:szCs w:val="32"/>
      <w:lang w:val="en-US" w:eastAsia="zh-CN" w:bidi="ar-SA"/>
    </w:rPr>
  </w:style>
  <w:style w:type="character" w:customStyle="1" w:styleId="171">
    <w:name w:val="Char Char12"/>
    <w:qFormat/>
    <w:uiPriority w:val="0"/>
    <w:rPr>
      <w:rFonts w:ascii="黑体" w:hAnsi="Arial" w:eastAsia="黑体" w:cs="Arial"/>
      <w:b/>
      <w:bCs/>
      <w:kern w:val="2"/>
      <w:sz w:val="32"/>
      <w:szCs w:val="32"/>
      <w:lang w:val="en-US" w:eastAsia="zh-CN" w:bidi="ar-SA"/>
    </w:rPr>
  </w:style>
  <w:style w:type="character" w:customStyle="1" w:styleId="172">
    <w:name w:val="Char Char32"/>
    <w:qFormat/>
    <w:uiPriority w:val="0"/>
    <w:rPr>
      <w:rFonts w:ascii="黑体" w:hAnsi="宋体" w:eastAsia="黑体" w:cs="Arial"/>
      <w:b/>
      <w:bCs/>
      <w:kern w:val="2"/>
      <w:sz w:val="24"/>
      <w:szCs w:val="24"/>
      <w:lang w:val="en-US" w:eastAsia="zh-CN" w:bidi="ar-SA"/>
    </w:rPr>
  </w:style>
  <w:style w:type="character" w:customStyle="1" w:styleId="173">
    <w:name w:val="Char Char6"/>
    <w:qFormat/>
    <w:uiPriority w:val="0"/>
    <w:rPr>
      <w:rFonts w:eastAsia="宋体"/>
      <w:b/>
      <w:bCs/>
      <w:kern w:val="2"/>
      <w:sz w:val="21"/>
      <w:szCs w:val="24"/>
      <w:lang w:val="en-US" w:eastAsia="zh-CN" w:bidi="ar-SA"/>
    </w:rPr>
  </w:style>
  <w:style w:type="character" w:customStyle="1" w:styleId="174">
    <w:name w:val="书籍标题1"/>
    <w:qFormat/>
    <w:uiPriority w:val="0"/>
    <w:rPr>
      <w:b/>
      <w:bCs/>
      <w:smallCaps/>
      <w:spacing w:val="5"/>
    </w:rPr>
  </w:style>
  <w:style w:type="character" w:customStyle="1" w:styleId="175">
    <w:name w:val="明显强调1"/>
    <w:qFormat/>
    <w:uiPriority w:val="0"/>
    <w:rPr>
      <w:b/>
      <w:bCs/>
      <w:i/>
      <w:iCs/>
      <w:color w:val="4F81BD"/>
    </w:rPr>
  </w:style>
  <w:style w:type="character" w:customStyle="1" w:styleId="176">
    <w:name w:val="textcontents"/>
    <w:qFormat/>
    <w:uiPriority w:val="0"/>
    <w:rPr>
      <w:rFonts w:cs="Times New Roman"/>
    </w:rPr>
  </w:style>
  <w:style w:type="character" w:customStyle="1" w:styleId="177">
    <w:name w:val="不明显强调1"/>
    <w:qFormat/>
    <w:uiPriority w:val="0"/>
    <w:rPr>
      <w:i/>
      <w:iCs/>
      <w:color w:val="808080"/>
    </w:rPr>
  </w:style>
  <w:style w:type="character" w:customStyle="1" w:styleId="178">
    <w:name w:val="不明显参考1"/>
    <w:qFormat/>
    <w:uiPriority w:val="0"/>
    <w:rPr>
      <w:smallCaps/>
      <w:color w:val="C0504D"/>
      <w:u w:val="single"/>
    </w:rPr>
  </w:style>
  <w:style w:type="character" w:customStyle="1" w:styleId="179">
    <w:name w:val="日期 Char1"/>
    <w:qFormat/>
    <w:uiPriority w:val="0"/>
    <w:rPr>
      <w:kern w:val="2"/>
      <w:sz w:val="21"/>
      <w:szCs w:val="22"/>
    </w:rPr>
  </w:style>
  <w:style w:type="character" w:customStyle="1" w:styleId="180">
    <w:name w:val="正文文本 Char1"/>
    <w:qFormat/>
    <w:uiPriority w:val="0"/>
    <w:rPr>
      <w:kern w:val="2"/>
      <w:sz w:val="21"/>
      <w:szCs w:val="22"/>
    </w:rPr>
  </w:style>
  <w:style w:type="character" w:customStyle="1" w:styleId="181">
    <w:name w:val="批注主题 Char1"/>
    <w:qFormat/>
    <w:uiPriority w:val="0"/>
    <w:rPr>
      <w:b/>
      <w:bCs/>
      <w:kern w:val="2"/>
      <w:sz w:val="21"/>
      <w:szCs w:val="22"/>
    </w:rPr>
  </w:style>
  <w:style w:type="character" w:customStyle="1" w:styleId="182">
    <w:name w:val="批注文字 Char Char"/>
    <w:qFormat/>
    <w:uiPriority w:val="0"/>
    <w:rPr>
      <w:rFonts w:ascii="宋体" w:hAnsi="Times New Roman" w:eastAsia="宋体" w:cs="Times New Roman"/>
      <w:sz w:val="28"/>
      <w:szCs w:val="20"/>
    </w:rPr>
  </w:style>
  <w:style w:type="character" w:customStyle="1" w:styleId="183">
    <w:name w:val="明显参考1"/>
    <w:qFormat/>
    <w:uiPriority w:val="0"/>
    <w:rPr>
      <w:b/>
      <w:bCs/>
      <w:smallCaps/>
      <w:color w:val="C0504D"/>
      <w:spacing w:val="5"/>
      <w:u w:val="single"/>
    </w:rPr>
  </w:style>
  <w:style w:type="character" w:customStyle="1" w:styleId="184">
    <w:name w:val="批注框文本 Char1"/>
    <w:qFormat/>
    <w:uiPriority w:val="0"/>
    <w:rPr>
      <w:kern w:val="2"/>
      <w:sz w:val="18"/>
      <w:szCs w:val="18"/>
    </w:rPr>
  </w:style>
  <w:style w:type="character" w:customStyle="1" w:styleId="185">
    <w:name w:val="文档结构图 Char1"/>
    <w:qFormat/>
    <w:uiPriority w:val="0"/>
    <w:rPr>
      <w:rFonts w:ascii="宋体"/>
      <w:kern w:val="2"/>
      <w:sz w:val="18"/>
      <w:szCs w:val="18"/>
    </w:rPr>
  </w:style>
  <w:style w:type="character" w:customStyle="1" w:styleId="186">
    <w:name w:val="副标题 Char1"/>
    <w:qFormat/>
    <w:uiPriority w:val="0"/>
    <w:rPr>
      <w:rFonts w:ascii="Calibri Light" w:hAnsi="Calibri Light" w:eastAsia="宋体" w:cs="黑体"/>
      <w:b/>
      <w:bCs/>
      <w:kern w:val="28"/>
      <w:sz w:val="32"/>
      <w:szCs w:val="32"/>
    </w:rPr>
  </w:style>
  <w:style w:type="character" w:customStyle="1" w:styleId="187">
    <w:name w:val="明显引用 Char1"/>
    <w:qFormat/>
    <w:uiPriority w:val="30"/>
    <w:rPr>
      <w:rFonts w:ascii="Times New Roman" w:hAnsi="Times New Roman" w:eastAsia="宋体" w:cs="Times New Roman"/>
      <w:i/>
      <w:iCs/>
      <w:color w:val="5B9BD5"/>
      <w:szCs w:val="24"/>
    </w:rPr>
  </w:style>
  <w:style w:type="character" w:customStyle="1" w:styleId="188">
    <w:name w:val="引用 Char1"/>
    <w:qFormat/>
    <w:uiPriority w:val="29"/>
    <w:rPr>
      <w:rFonts w:ascii="Times New Roman" w:hAnsi="Times New Roman" w:eastAsia="宋体" w:cs="Times New Roman"/>
      <w:i/>
      <w:iCs/>
      <w:color w:val="3F3F3F"/>
      <w:szCs w:val="24"/>
    </w:rPr>
  </w:style>
  <w:style w:type="character" w:customStyle="1" w:styleId="189">
    <w:name w:val="不明显强调2"/>
    <w:qFormat/>
    <w:uiPriority w:val="0"/>
    <w:rPr>
      <w:i/>
      <w:iCs/>
      <w:color w:val="808080"/>
    </w:rPr>
  </w:style>
  <w:style w:type="character" w:customStyle="1" w:styleId="190">
    <w:name w:val="标题4 Char Char"/>
    <w:link w:val="191"/>
    <w:qFormat/>
    <w:uiPriority w:val="0"/>
    <w:rPr>
      <w:rFonts w:ascii="Arial" w:hAnsi="Arial"/>
      <w:b/>
      <w:bCs/>
      <w:sz w:val="24"/>
      <w:szCs w:val="32"/>
    </w:rPr>
  </w:style>
  <w:style w:type="paragraph" w:customStyle="1" w:styleId="191">
    <w:name w:val="标题4"/>
    <w:basedOn w:val="4"/>
    <w:next w:val="20"/>
    <w:link w:val="190"/>
    <w:qFormat/>
    <w:uiPriority w:val="0"/>
    <w:pPr>
      <w:spacing w:line="413" w:lineRule="auto"/>
    </w:pPr>
    <w:rPr>
      <w:rFonts w:eastAsia="宋体"/>
      <w:kern w:val="0"/>
      <w:sz w:val="24"/>
    </w:rPr>
  </w:style>
  <w:style w:type="character" w:customStyle="1" w:styleId="192">
    <w:name w:val="明显参考2"/>
    <w:qFormat/>
    <w:uiPriority w:val="0"/>
    <w:rPr>
      <w:b/>
      <w:bCs/>
      <w:smallCaps/>
      <w:color w:val="C0504D"/>
      <w:spacing w:val="5"/>
      <w:u w:val="single"/>
    </w:rPr>
  </w:style>
  <w:style w:type="character" w:customStyle="1" w:styleId="193">
    <w:name w:val="书籍标题2"/>
    <w:qFormat/>
    <w:uiPriority w:val="0"/>
    <w:rPr>
      <w:b/>
      <w:bCs/>
      <w:smallCaps/>
      <w:spacing w:val="5"/>
    </w:rPr>
  </w:style>
  <w:style w:type="character" w:customStyle="1" w:styleId="194">
    <w:name w:val="明显强调2"/>
    <w:qFormat/>
    <w:uiPriority w:val="0"/>
    <w:rPr>
      <w:b/>
      <w:bCs/>
      <w:i/>
      <w:iCs/>
      <w:color w:val="4F81BD"/>
    </w:rPr>
  </w:style>
  <w:style w:type="character" w:customStyle="1" w:styleId="195">
    <w:name w:val="不明显参考2"/>
    <w:qFormat/>
    <w:uiPriority w:val="0"/>
    <w:rPr>
      <w:smallCaps/>
      <w:color w:val="C0504D"/>
      <w:u w:val="single"/>
    </w:rPr>
  </w:style>
  <w:style w:type="paragraph" w:customStyle="1" w:styleId="196">
    <w:name w:val="修订2"/>
    <w:qFormat/>
    <w:uiPriority w:val="0"/>
    <w:rPr>
      <w:rFonts w:ascii="Times New Roman" w:hAnsi="Times New Roman" w:eastAsia="宋体" w:cs="Times New Roman"/>
      <w:kern w:val="2"/>
      <w:sz w:val="21"/>
      <w:szCs w:val="24"/>
      <w:lang w:val="en-US" w:eastAsia="zh-CN" w:bidi="ar-SA"/>
    </w:rPr>
  </w:style>
  <w:style w:type="paragraph" w:customStyle="1" w:styleId="197">
    <w:name w:val="TOC 标题2"/>
    <w:basedOn w:val="3"/>
    <w:next w:val="1"/>
    <w:qFormat/>
    <w:uiPriority w:val="0"/>
    <w:pPr>
      <w:outlineLvl w:val="9"/>
    </w:pPr>
    <w:rPr>
      <w:rFonts w:ascii="Calibri" w:hAnsi="Calibri"/>
    </w:rPr>
  </w:style>
  <w:style w:type="paragraph" w:styleId="198">
    <w:name w:val="Intense Quote"/>
    <w:basedOn w:val="1"/>
    <w:next w:val="1"/>
    <w:link w:val="19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99">
    <w:name w:val="明显引用 Char2"/>
    <w:basedOn w:val="48"/>
    <w:link w:val="198"/>
    <w:qFormat/>
    <w:uiPriority w:val="0"/>
    <w:rPr>
      <w:rFonts w:ascii="Calibri" w:hAnsi="Calibri"/>
      <w:b/>
      <w:bCs/>
      <w:i/>
      <w:iCs/>
      <w:color w:val="4F81BD"/>
      <w:kern w:val="2"/>
      <w:sz w:val="21"/>
      <w:szCs w:val="22"/>
    </w:rPr>
  </w:style>
  <w:style w:type="paragraph" w:styleId="2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01">
    <w:name w:val="Quote"/>
    <w:basedOn w:val="1"/>
    <w:next w:val="1"/>
    <w:link w:val="202"/>
    <w:qFormat/>
    <w:uiPriority w:val="0"/>
    <w:rPr>
      <w:rFonts w:ascii="Calibri" w:hAnsi="Calibri"/>
      <w:i/>
      <w:iCs/>
      <w:color w:val="000000"/>
      <w:szCs w:val="22"/>
    </w:rPr>
  </w:style>
  <w:style w:type="character" w:customStyle="1" w:styleId="202">
    <w:name w:val="引用 Char2"/>
    <w:basedOn w:val="48"/>
    <w:link w:val="201"/>
    <w:qFormat/>
    <w:uiPriority w:val="0"/>
    <w:rPr>
      <w:rFonts w:ascii="Calibri" w:hAnsi="Calibri"/>
      <w:i/>
      <w:iCs/>
      <w:color w:val="000000"/>
      <w:kern w:val="2"/>
      <w:sz w:val="21"/>
      <w:szCs w:val="22"/>
    </w:rPr>
  </w:style>
  <w:style w:type="paragraph" w:styleId="203">
    <w:name w:val="List Paragraph"/>
    <w:basedOn w:val="1"/>
    <w:qFormat/>
    <w:uiPriority w:val="0"/>
    <w:pPr>
      <w:ind w:firstLine="420" w:firstLineChars="200"/>
    </w:pPr>
    <w:rPr>
      <w:rFonts w:ascii="Calibri" w:hAnsi="Calibri"/>
      <w:szCs w:val="22"/>
    </w:rPr>
  </w:style>
  <w:style w:type="character" w:customStyle="1" w:styleId="204">
    <w:name w:val="current"/>
    <w:basedOn w:val="48"/>
    <w:qFormat/>
    <w:uiPriority w:val="0"/>
    <w:rPr>
      <w:b/>
      <w:color w:val="FFFFFF"/>
      <w:bdr w:val="single" w:color="B2E05D" w:sz="6" w:space="0"/>
      <w:shd w:val="clear" w:color="auto" w:fill="B2E05D"/>
    </w:rPr>
  </w:style>
  <w:style w:type="character" w:customStyle="1" w:styleId="205">
    <w:name w:val="current1"/>
    <w:basedOn w:val="48"/>
    <w:qFormat/>
    <w:uiPriority w:val="0"/>
    <w:rPr>
      <w:b/>
      <w:color w:val="303030"/>
      <w:shd w:val="clear" w:color="auto" w:fill="FFFFFF"/>
    </w:rPr>
  </w:style>
  <w:style w:type="character" w:customStyle="1" w:styleId="206">
    <w:name w:val="current2"/>
    <w:basedOn w:val="48"/>
    <w:qFormat/>
    <w:uiPriority w:val="0"/>
    <w:rPr>
      <w:b/>
      <w:color w:val="FFFFFF"/>
      <w:bdr w:val="single" w:color="000099" w:sz="6" w:space="0"/>
      <w:shd w:val="clear" w:color="auto" w:fill="6666CC"/>
    </w:rPr>
  </w:style>
  <w:style w:type="character" w:customStyle="1" w:styleId="207">
    <w:name w:val="current3"/>
    <w:basedOn w:val="48"/>
    <w:qFormat/>
    <w:uiPriority w:val="0"/>
    <w:rPr>
      <w:b/>
      <w:color w:val="000000"/>
      <w:bdr w:val="single" w:color="E89954" w:sz="6" w:space="0"/>
      <w:shd w:val="clear" w:color="auto" w:fill="FFCA7D"/>
    </w:rPr>
  </w:style>
  <w:style w:type="character" w:customStyle="1" w:styleId="208">
    <w:name w:val="current4"/>
    <w:basedOn w:val="48"/>
    <w:qFormat/>
    <w:uiPriority w:val="0"/>
    <w:rPr>
      <w:b/>
      <w:color w:val="FFFFFF"/>
      <w:bdr w:val="single" w:color="000099" w:sz="6" w:space="0"/>
      <w:shd w:val="clear" w:color="auto" w:fill="000099"/>
    </w:rPr>
  </w:style>
  <w:style w:type="character" w:customStyle="1" w:styleId="209">
    <w:name w:val="current5"/>
    <w:basedOn w:val="48"/>
    <w:qFormat/>
    <w:uiPriority w:val="0"/>
    <w:rPr>
      <w:b/>
      <w:color w:val="000000"/>
      <w:bdr w:val="single" w:color="FFFFFF" w:sz="6" w:space="0"/>
      <w:shd w:val="clear" w:color="auto" w:fill="FFFFFF"/>
    </w:rPr>
  </w:style>
  <w:style w:type="character" w:customStyle="1" w:styleId="210">
    <w:name w:val="current6"/>
    <w:basedOn w:val="48"/>
    <w:qFormat/>
    <w:uiPriority w:val="0"/>
    <w:rPr>
      <w:b/>
      <w:color w:val="FF6500"/>
      <w:bdr w:val="single" w:color="FF6500" w:sz="6" w:space="0"/>
      <w:shd w:val="clear" w:color="auto" w:fill="FFBE94"/>
    </w:rPr>
  </w:style>
  <w:style w:type="character" w:customStyle="1" w:styleId="211">
    <w:name w:val="current7"/>
    <w:basedOn w:val="48"/>
    <w:qFormat/>
    <w:uiPriority w:val="0"/>
    <w:rPr>
      <w:b/>
      <w:color w:val="FF0084"/>
    </w:rPr>
  </w:style>
  <w:style w:type="character" w:customStyle="1" w:styleId="212">
    <w:name w:val="current8"/>
    <w:basedOn w:val="48"/>
    <w:qFormat/>
    <w:uiPriority w:val="0"/>
    <w:rPr>
      <w:b/>
      <w:color w:val="FFFFFF"/>
      <w:bdr w:val="single" w:color="000080" w:sz="6" w:space="0"/>
      <w:shd w:val="clear" w:color="auto" w:fill="2E6AB1"/>
    </w:rPr>
  </w:style>
  <w:style w:type="character" w:customStyle="1" w:styleId="213">
    <w:name w:val="current9"/>
    <w:basedOn w:val="48"/>
    <w:qFormat/>
    <w:uiPriority w:val="0"/>
    <w:rPr>
      <w:b/>
      <w:color w:val="AAAAAA"/>
      <w:bdr w:val="single" w:color="E0E0E0" w:sz="6" w:space="0"/>
      <w:shd w:val="clear" w:color="auto" w:fill="F0F0F0"/>
    </w:rPr>
  </w:style>
  <w:style w:type="character" w:customStyle="1" w:styleId="214">
    <w:name w:val="current10"/>
    <w:basedOn w:val="48"/>
    <w:qFormat/>
    <w:uiPriority w:val="0"/>
    <w:rPr>
      <w:b/>
      <w:color w:val="FFFFFF"/>
      <w:bdr w:val="single" w:color="FFFFFF" w:sz="6" w:space="0"/>
      <w:shd w:val="clear" w:color="auto" w:fill="606060"/>
    </w:rPr>
  </w:style>
  <w:style w:type="character" w:customStyle="1" w:styleId="215">
    <w:name w:val="current11"/>
    <w:basedOn w:val="48"/>
    <w:qFormat/>
    <w:uiPriority w:val="0"/>
    <w:rPr>
      <w:b/>
      <w:color w:val="FFFFFF"/>
      <w:bdr w:val="single" w:color="000000" w:sz="6" w:space="0"/>
      <w:shd w:val="clear" w:color="auto" w:fill="000000"/>
    </w:rPr>
  </w:style>
  <w:style w:type="character" w:customStyle="1" w:styleId="216">
    <w:name w:val="current12"/>
    <w:basedOn w:val="48"/>
    <w:qFormat/>
    <w:uiPriority w:val="0"/>
    <w:rPr>
      <w:b/>
      <w:color w:val="FFFFFF"/>
      <w:shd w:val="clear" w:color="auto" w:fill="313131"/>
    </w:rPr>
  </w:style>
  <w:style w:type="character" w:customStyle="1" w:styleId="217">
    <w:name w:val="current13"/>
    <w:basedOn w:val="48"/>
    <w:qFormat/>
    <w:uiPriority w:val="0"/>
    <w:rPr>
      <w:b/>
      <w:color w:val="FFFFFF"/>
      <w:bdr w:val="single" w:color="D9D300" w:sz="6" w:space="0"/>
      <w:shd w:val="clear" w:color="auto" w:fill="D9D300"/>
    </w:rPr>
  </w:style>
  <w:style w:type="character" w:customStyle="1" w:styleId="218">
    <w:name w:val="current14"/>
    <w:basedOn w:val="48"/>
    <w:qFormat/>
    <w:uiPriority w:val="0"/>
    <w:rPr>
      <w:color w:val="6D643C"/>
      <w:shd w:val="clear" w:color="auto" w:fill="F6EFCC"/>
    </w:rPr>
  </w:style>
  <w:style w:type="character" w:customStyle="1" w:styleId="219">
    <w:name w:val="current15"/>
    <w:basedOn w:val="48"/>
    <w:qFormat/>
    <w:uiPriority w:val="0"/>
    <w:rPr>
      <w:b/>
      <w:color w:val="FFFFFF"/>
      <w:shd w:val="clear" w:color="auto" w:fill="000000"/>
    </w:rPr>
  </w:style>
  <w:style w:type="character" w:customStyle="1" w:styleId="220">
    <w:name w:val="current16"/>
    <w:basedOn w:val="48"/>
    <w:qFormat/>
    <w:uiPriority w:val="0"/>
    <w:rPr>
      <w:b/>
      <w:color w:val="000000"/>
      <w:bdr w:val="single" w:color="FFFFFF" w:sz="12" w:space="0"/>
    </w:rPr>
  </w:style>
  <w:style w:type="character" w:customStyle="1" w:styleId="221">
    <w:name w:val="current17"/>
    <w:basedOn w:val="48"/>
    <w:qFormat/>
    <w:uiPriority w:val="0"/>
    <w:rPr>
      <w:b/>
      <w:color w:val="99210B"/>
    </w:rPr>
  </w:style>
  <w:style w:type="character" w:customStyle="1" w:styleId="222">
    <w:name w:val="current18"/>
    <w:basedOn w:val="48"/>
    <w:qFormat/>
    <w:uiPriority w:val="0"/>
    <w:rPr>
      <w:b/>
      <w:color w:val="000000"/>
    </w:rPr>
  </w:style>
  <w:style w:type="character" w:customStyle="1" w:styleId="223">
    <w:name w:val="current19"/>
    <w:basedOn w:val="48"/>
    <w:qFormat/>
    <w:uiPriority w:val="0"/>
    <w:rPr>
      <w:color w:val="000000"/>
      <w:shd w:val="clear" w:color="auto" w:fill="FFFFFF"/>
    </w:rPr>
  </w:style>
  <w:style w:type="character" w:customStyle="1" w:styleId="224">
    <w:name w:val="current20"/>
    <w:basedOn w:val="48"/>
    <w:qFormat/>
    <w:uiPriority w:val="0"/>
    <w:rPr>
      <w:b/>
      <w:color w:val="444444"/>
      <w:bdr w:val="single" w:color="B7D8EE" w:sz="6" w:space="0"/>
      <w:shd w:val="clear" w:color="auto" w:fill="D2EAF6"/>
    </w:rPr>
  </w:style>
  <w:style w:type="character" w:customStyle="1" w:styleId="225">
    <w:name w:val="current21"/>
    <w:basedOn w:val="48"/>
    <w:qFormat/>
    <w:uiPriority w:val="0"/>
    <w:rPr>
      <w:b/>
      <w:color w:val="FFFFFF"/>
      <w:bdr w:val="single" w:color="FF5A00" w:sz="12" w:space="0"/>
      <w:shd w:val="clear" w:color="auto" w:fill="FF6C16"/>
    </w:rPr>
  </w:style>
  <w:style w:type="character" w:customStyle="1" w:styleId="226">
    <w:name w:val="current22"/>
    <w:basedOn w:val="48"/>
    <w:qFormat/>
    <w:uiPriority w:val="0"/>
    <w:rPr>
      <w:b/>
      <w:color w:val="FFFFFF"/>
      <w:bdr w:val="single" w:color="AAD83E" w:sz="6" w:space="0"/>
      <w:shd w:val="clear" w:color="auto" w:fill="AAD83E"/>
    </w:rPr>
  </w:style>
  <w:style w:type="character" w:customStyle="1" w:styleId="227">
    <w:name w:val="current23"/>
    <w:basedOn w:val="48"/>
    <w:qFormat/>
    <w:uiPriority w:val="0"/>
    <w:rPr>
      <w:b/>
      <w:color w:val="000000"/>
    </w:rPr>
  </w:style>
  <w:style w:type="character" w:customStyle="1" w:styleId="228">
    <w:name w:val="disabled"/>
    <w:basedOn w:val="48"/>
    <w:qFormat/>
    <w:uiPriority w:val="0"/>
    <w:rPr>
      <w:color w:val="CCCCCC"/>
      <w:bdr w:val="single" w:color="F3F3F3" w:sz="6" w:space="0"/>
    </w:rPr>
  </w:style>
  <w:style w:type="character" w:customStyle="1" w:styleId="229">
    <w:name w:val="disabled1"/>
    <w:basedOn w:val="48"/>
    <w:qFormat/>
    <w:uiPriority w:val="0"/>
    <w:rPr>
      <w:color w:val="797979"/>
      <w:shd w:val="clear" w:color="auto" w:fill="C1C1C1"/>
    </w:rPr>
  </w:style>
  <w:style w:type="character" w:customStyle="1" w:styleId="230">
    <w:name w:val="disabled2"/>
    <w:basedOn w:val="48"/>
    <w:qFormat/>
    <w:uiPriority w:val="0"/>
    <w:rPr>
      <w:color w:val="CCCCCC"/>
      <w:bdr w:val="single" w:color="DDDDDD" w:sz="6" w:space="0"/>
    </w:rPr>
  </w:style>
  <w:style w:type="character" w:customStyle="1" w:styleId="231">
    <w:name w:val="disabled3"/>
    <w:basedOn w:val="48"/>
    <w:qFormat/>
    <w:uiPriority w:val="0"/>
    <w:rPr>
      <w:color w:val="CCCCCC"/>
      <w:bdr w:val="single" w:color="CCCCCC" w:sz="6" w:space="0"/>
    </w:rPr>
  </w:style>
  <w:style w:type="character" w:customStyle="1" w:styleId="232">
    <w:name w:val="disabled4"/>
    <w:basedOn w:val="48"/>
    <w:qFormat/>
    <w:uiPriority w:val="0"/>
    <w:rPr>
      <w:color w:val="DDDDDD"/>
      <w:bdr w:val="single" w:color="EEEEEE" w:sz="6" w:space="0"/>
    </w:rPr>
  </w:style>
  <w:style w:type="character" w:customStyle="1" w:styleId="233">
    <w:name w:val="disabled5"/>
    <w:basedOn w:val="48"/>
    <w:qFormat/>
    <w:uiPriority w:val="0"/>
    <w:rPr>
      <w:color w:val="DDDDDD"/>
      <w:bdr w:val="single" w:color="EEEEEE" w:sz="6" w:space="0"/>
    </w:rPr>
  </w:style>
  <w:style w:type="character" w:customStyle="1" w:styleId="234">
    <w:name w:val="disabled6"/>
    <w:basedOn w:val="48"/>
    <w:qFormat/>
    <w:uiPriority w:val="0"/>
    <w:rPr>
      <w:color w:val="FFE3C6"/>
      <w:bdr w:val="single" w:color="FFE3C6" w:sz="6" w:space="0"/>
    </w:rPr>
  </w:style>
  <w:style w:type="character" w:customStyle="1" w:styleId="235">
    <w:name w:val="disabled7"/>
    <w:basedOn w:val="48"/>
    <w:qFormat/>
    <w:uiPriority w:val="0"/>
    <w:rPr>
      <w:color w:val="8E8E8E"/>
    </w:rPr>
  </w:style>
  <w:style w:type="character" w:customStyle="1" w:styleId="236">
    <w:name w:val="disabled8"/>
    <w:basedOn w:val="48"/>
    <w:qFormat/>
    <w:uiPriority w:val="0"/>
    <w:rPr>
      <w:color w:val="929292"/>
      <w:bdr w:val="single" w:color="929292" w:sz="6" w:space="0"/>
    </w:rPr>
  </w:style>
  <w:style w:type="character" w:customStyle="1" w:styleId="237">
    <w:name w:val="disabled9"/>
    <w:basedOn w:val="48"/>
    <w:qFormat/>
    <w:uiPriority w:val="0"/>
    <w:rPr>
      <w:color w:val="CCCCCC"/>
      <w:bdr w:val="single" w:color="F3F3F3" w:sz="6" w:space="0"/>
    </w:rPr>
  </w:style>
  <w:style w:type="character" w:customStyle="1" w:styleId="238">
    <w:name w:val="disabled10"/>
    <w:basedOn w:val="48"/>
    <w:qFormat/>
    <w:uiPriority w:val="0"/>
    <w:rPr>
      <w:color w:val="808080"/>
      <w:bdr w:val="single" w:color="606060" w:sz="6" w:space="0"/>
    </w:rPr>
  </w:style>
  <w:style w:type="character" w:customStyle="1" w:styleId="239">
    <w:name w:val="disabled11"/>
    <w:basedOn w:val="48"/>
    <w:qFormat/>
    <w:uiPriority w:val="0"/>
    <w:rPr>
      <w:color w:val="DDDDDD"/>
      <w:bdr w:val="single" w:color="EEEEEE" w:sz="6" w:space="0"/>
    </w:rPr>
  </w:style>
  <w:style w:type="character" w:customStyle="1" w:styleId="240">
    <w:name w:val="disabled12"/>
    <w:basedOn w:val="48"/>
    <w:qFormat/>
    <w:uiPriority w:val="0"/>
    <w:rPr>
      <w:color w:val="868686"/>
      <w:shd w:val="clear" w:color="auto" w:fill="3E3E3E"/>
    </w:rPr>
  </w:style>
  <w:style w:type="character" w:customStyle="1" w:styleId="241">
    <w:name w:val="disabled13"/>
    <w:basedOn w:val="48"/>
    <w:qFormat/>
    <w:uiPriority w:val="0"/>
    <w:rPr>
      <w:color w:val="DDDDDD"/>
      <w:bdr w:val="single" w:color="EEEEEE" w:sz="6" w:space="0"/>
    </w:rPr>
  </w:style>
  <w:style w:type="character" w:customStyle="1" w:styleId="242">
    <w:name w:val="disabled14"/>
    <w:basedOn w:val="48"/>
    <w:qFormat/>
    <w:uiPriority w:val="0"/>
    <w:rPr>
      <w:vanish/>
    </w:rPr>
  </w:style>
  <w:style w:type="character" w:customStyle="1" w:styleId="243">
    <w:name w:val="disabled15"/>
    <w:basedOn w:val="48"/>
    <w:qFormat/>
    <w:uiPriority w:val="0"/>
    <w:rPr>
      <w:color w:val="444444"/>
      <w:shd w:val="clear" w:color="auto" w:fill="000000"/>
    </w:rPr>
  </w:style>
  <w:style w:type="character" w:customStyle="1" w:styleId="244">
    <w:name w:val="disabled16"/>
    <w:basedOn w:val="48"/>
    <w:qFormat/>
    <w:uiPriority w:val="0"/>
    <w:rPr>
      <w:vanish/>
    </w:rPr>
  </w:style>
  <w:style w:type="character" w:customStyle="1" w:styleId="245">
    <w:name w:val="disabled17"/>
    <w:basedOn w:val="48"/>
    <w:qFormat/>
    <w:uiPriority w:val="0"/>
    <w:rPr>
      <w:color w:val="ADAAAD"/>
    </w:rPr>
  </w:style>
  <w:style w:type="character" w:customStyle="1" w:styleId="246">
    <w:name w:val="disabled18"/>
    <w:basedOn w:val="48"/>
    <w:qFormat/>
    <w:uiPriority w:val="0"/>
    <w:rPr>
      <w:vanish/>
    </w:rPr>
  </w:style>
  <w:style w:type="character" w:customStyle="1" w:styleId="247">
    <w:name w:val="disabled19"/>
    <w:basedOn w:val="48"/>
    <w:qFormat/>
    <w:uiPriority w:val="0"/>
    <w:rPr>
      <w:vanish/>
    </w:rPr>
  </w:style>
  <w:style w:type="character" w:customStyle="1" w:styleId="248">
    <w:name w:val="disabled20"/>
    <w:basedOn w:val="48"/>
    <w:qFormat/>
    <w:uiPriority w:val="0"/>
    <w:rPr>
      <w:vanish/>
    </w:rPr>
  </w:style>
  <w:style w:type="character" w:customStyle="1" w:styleId="249">
    <w:name w:val="disabled21"/>
    <w:basedOn w:val="48"/>
    <w:qFormat/>
    <w:uiPriority w:val="0"/>
    <w:rPr>
      <w:vanish/>
    </w:rPr>
  </w:style>
  <w:style w:type="character" w:customStyle="1" w:styleId="250">
    <w:name w:val="disabled22"/>
    <w:basedOn w:val="48"/>
    <w:qFormat/>
    <w:uiPriority w:val="0"/>
    <w:rPr>
      <w:color w:val="CCCCCC"/>
      <w:bdr w:val="single" w:color="F3F3F3" w:sz="6" w:space="0"/>
    </w:rPr>
  </w:style>
  <w:style w:type="character" w:customStyle="1" w:styleId="251">
    <w:name w:val="disabled23"/>
    <w:basedOn w:val="48"/>
    <w:qFormat/>
    <w:uiPriority w:val="0"/>
    <w:rPr>
      <w:vanish/>
    </w:rPr>
  </w:style>
  <w:style w:type="character" w:customStyle="1" w:styleId="252">
    <w:name w:val="time"/>
    <w:basedOn w:val="48"/>
    <w:qFormat/>
    <w:uiPriority w:val="0"/>
    <w:rPr>
      <w:color w:val="858585"/>
    </w:rPr>
  </w:style>
  <w:style w:type="character" w:customStyle="1" w:styleId="253">
    <w:name w:val="hover36"/>
    <w:basedOn w:val="48"/>
    <w:qFormat/>
    <w:uiPriority w:val="0"/>
    <w:rPr>
      <w:color w:val="FF0000"/>
    </w:rPr>
  </w:style>
  <w:style w:type="character" w:customStyle="1" w:styleId="254">
    <w:name w:val="hover37"/>
    <w:basedOn w:val="48"/>
    <w:qFormat/>
    <w:uiPriority w:val="0"/>
    <w:rPr>
      <w:color w:val="ECEBEB"/>
    </w:rPr>
  </w:style>
  <w:style w:type="character" w:customStyle="1" w:styleId="255">
    <w:name w:val="on"/>
    <w:basedOn w:val="48"/>
    <w:qFormat/>
    <w:uiPriority w:val="0"/>
  </w:style>
  <w:style w:type="character" w:customStyle="1" w:styleId="256">
    <w:name w:val="pagesinfo"/>
    <w:basedOn w:val="48"/>
    <w:qFormat/>
    <w:uiPriority w:val="0"/>
    <w:rPr>
      <w:sz w:val="18"/>
      <w:szCs w:val="18"/>
    </w:rPr>
  </w:style>
  <w:style w:type="character" w:customStyle="1" w:styleId="257">
    <w:name w:val="nocheck"/>
    <w:basedOn w:val="48"/>
    <w:qFormat/>
    <w:uiPriority w:val="0"/>
    <w:rPr>
      <w:sz w:val="18"/>
      <w:szCs w:val="18"/>
    </w:rPr>
  </w:style>
  <w:style w:type="paragraph" w:customStyle="1" w:styleId="258">
    <w:name w:val="正文1"/>
    <w:qFormat/>
    <w:uiPriority w:val="0"/>
    <w:pPr>
      <w:jc w:val="both"/>
    </w:pPr>
    <w:rPr>
      <w:rFonts w:ascii="Calibri" w:hAnsi="Calibri" w:eastAsia="宋体" w:cs="宋体"/>
      <w:kern w:val="2"/>
      <w:sz w:val="21"/>
      <w:szCs w:val="21"/>
      <w:lang w:val="en-US" w:eastAsia="zh-CN" w:bidi="ar-SA"/>
    </w:rPr>
  </w:style>
  <w:style w:type="paragraph" w:customStyle="1" w:styleId="259">
    <w:name w:val="List Paragraph1"/>
    <w:basedOn w:val="1"/>
    <w:qFormat/>
    <w:uiPriority w:val="0"/>
    <w:pPr>
      <w:ind w:firstLine="420" w:firstLineChars="200"/>
    </w:pPr>
    <w:rPr>
      <w:rFonts w:ascii="Calibri" w:hAnsi="Calibri"/>
      <w:szCs w:val="21"/>
    </w:rPr>
  </w:style>
  <w:style w:type="paragraph" w:customStyle="1" w:styleId="260">
    <w:name w:val="正文文本 31"/>
    <w:basedOn w:val="1"/>
    <w:qFormat/>
    <w:uiPriority w:val="0"/>
    <w:pPr>
      <w:autoSpaceDE w:val="0"/>
      <w:autoSpaceDN w:val="0"/>
      <w:jc w:val="left"/>
    </w:pPr>
    <w:rPr>
      <w:rFonts w:ascii="宋体" w:hAnsi="宋体" w:cs="宋体"/>
      <w:color w:val="FF0000"/>
      <w:kern w:val="0"/>
      <w:sz w:val="24"/>
      <w:szCs w:val="21"/>
      <w:lang w:val="zh-CN" w:bidi="zh-CN"/>
    </w:rPr>
  </w:style>
  <w:style w:type="paragraph" w:customStyle="1" w:styleId="26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62">
    <w:name w:val="样式 Char"/>
    <w:link w:val="263"/>
    <w:qFormat/>
    <w:uiPriority w:val="0"/>
    <w:rPr>
      <w:rFonts w:ascii="宋体" w:hAnsi="宋体" w:cs="宋体"/>
      <w:sz w:val="24"/>
      <w:szCs w:val="24"/>
    </w:rPr>
  </w:style>
  <w:style w:type="paragraph" w:customStyle="1" w:styleId="263">
    <w:name w:val="样式"/>
    <w:link w:val="26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4">
    <w:name w:val="Body text|1_"/>
    <w:link w:val="265"/>
    <w:qFormat/>
    <w:locked/>
    <w:uiPriority w:val="99"/>
    <w:rPr>
      <w:rFonts w:ascii="宋体" w:hAnsi="宋体" w:cs="宋体"/>
      <w:sz w:val="26"/>
      <w:szCs w:val="26"/>
      <w:lang w:val="zh-TW" w:eastAsia="zh-TW"/>
    </w:rPr>
  </w:style>
  <w:style w:type="paragraph" w:customStyle="1" w:styleId="265">
    <w:name w:val="Body text|1"/>
    <w:basedOn w:val="1"/>
    <w:link w:val="264"/>
    <w:qFormat/>
    <w:uiPriority w:val="99"/>
    <w:pPr>
      <w:spacing w:line="466" w:lineRule="exact"/>
      <w:ind w:firstLine="480"/>
      <w:jc w:val="left"/>
    </w:pPr>
    <w:rPr>
      <w:rFonts w:ascii="宋体" w:hAnsi="宋体" w:cs="宋体"/>
      <w:kern w:val="0"/>
      <w:sz w:val="26"/>
      <w:szCs w:val="26"/>
      <w:lang w:val="zh-TW" w:eastAsia="zh-TW"/>
    </w:rPr>
  </w:style>
  <w:style w:type="character" w:customStyle="1" w:styleId="266">
    <w:name w:val="Heading #4|1_"/>
    <w:link w:val="267"/>
    <w:qFormat/>
    <w:locked/>
    <w:uiPriority w:val="99"/>
    <w:rPr>
      <w:rFonts w:ascii="宋体" w:hAnsi="宋体" w:cs="宋体"/>
      <w:b/>
      <w:bCs/>
      <w:sz w:val="32"/>
      <w:szCs w:val="32"/>
      <w:lang w:val="zh-TW" w:eastAsia="zh-TW"/>
    </w:rPr>
  </w:style>
  <w:style w:type="paragraph" w:customStyle="1" w:styleId="267">
    <w:name w:val="Heading #4|1"/>
    <w:basedOn w:val="1"/>
    <w:link w:val="266"/>
    <w:qFormat/>
    <w:uiPriority w:val="99"/>
    <w:pPr>
      <w:spacing w:after="380"/>
      <w:jc w:val="center"/>
      <w:outlineLvl w:val="3"/>
    </w:pPr>
    <w:rPr>
      <w:rFonts w:ascii="宋体" w:hAnsi="宋体" w:cs="宋体"/>
      <w:b/>
      <w:bCs/>
      <w:kern w:val="0"/>
      <w:sz w:val="32"/>
      <w:szCs w:val="32"/>
      <w:lang w:val="zh-TW" w:eastAsia="zh-TW"/>
    </w:rPr>
  </w:style>
  <w:style w:type="paragraph" w:customStyle="1" w:styleId="268">
    <w:name w:val="标题 21"/>
    <w:basedOn w:val="1"/>
    <w:qFormat/>
    <w:uiPriority w:val="1"/>
    <w:pPr>
      <w:ind w:left="100" w:right="113"/>
      <w:jc w:val="left"/>
      <w:outlineLvl w:val="2"/>
    </w:pPr>
    <w:rPr>
      <w:rFonts w:ascii="Microsoft JhengHei" w:hAnsi="Microsoft JhengHei" w:eastAsia="Microsoft JhengHei" w:cs="Microsoft JhengHei"/>
      <w:b/>
      <w:bCs/>
      <w:kern w:val="0"/>
      <w:sz w:val="32"/>
      <w:szCs w:val="32"/>
      <w:lang w:eastAsia="en-US"/>
    </w:rPr>
  </w:style>
  <w:style w:type="paragraph" w:customStyle="1" w:styleId="269">
    <w:name w:val="标题 31"/>
    <w:basedOn w:val="1"/>
    <w:qFormat/>
    <w:uiPriority w:val="1"/>
    <w:pPr>
      <w:ind w:left="237" w:right="113"/>
      <w:jc w:val="left"/>
      <w:outlineLvl w:val="3"/>
    </w:pPr>
    <w:rPr>
      <w:rFonts w:ascii="宋体" w:hAnsi="宋体" w:cs="宋体"/>
      <w:kern w:val="0"/>
      <w:sz w:val="28"/>
      <w:szCs w:val="28"/>
      <w:lang w:eastAsia="en-US"/>
    </w:rPr>
  </w:style>
  <w:style w:type="paragraph" w:customStyle="1" w:styleId="270">
    <w:name w:val="标题 41"/>
    <w:basedOn w:val="1"/>
    <w:qFormat/>
    <w:uiPriority w:val="1"/>
    <w:pPr>
      <w:spacing w:line="331" w:lineRule="exact"/>
      <w:ind w:left="513" w:right="113"/>
      <w:jc w:val="left"/>
      <w:outlineLvl w:val="4"/>
    </w:pPr>
    <w:rPr>
      <w:rFonts w:eastAsia="Times New Roman"/>
      <w:b/>
      <w:bCs/>
      <w:kern w:val="0"/>
      <w:szCs w:val="21"/>
      <w:lang w:eastAsia="en-US"/>
    </w:rPr>
  </w:style>
  <w:style w:type="character" w:customStyle="1" w:styleId="271">
    <w:name w:val="标题 2 Char"/>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5"/>
    <customShpInfo spid="_x0000_s3081"/>
    <customShpInfo spid="_x0000_s3080"/>
    <customShpInfo spid="_x0000_s3082"/>
    <customShpInfo spid="_x0000_s3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F938E-EE7A-40D8-9FC7-CDBE89ABA907}">
  <ds:schemaRefs/>
</ds:datastoreItem>
</file>

<file path=docProps/app.xml><?xml version="1.0" encoding="utf-8"?>
<Properties xmlns="http://schemas.openxmlformats.org/officeDocument/2006/extended-properties" xmlns:vt="http://schemas.openxmlformats.org/officeDocument/2006/docPropsVTypes">
  <Template>Normal</Template>
  <Company>e510</Company>
  <Pages>69</Pages>
  <Words>30798</Words>
  <Characters>33165</Characters>
  <Lines>269</Lines>
  <Paragraphs>75</Paragraphs>
  <TotalTime>1</TotalTime>
  <ScaleCrop>false</ScaleCrop>
  <LinksUpToDate>false</LinksUpToDate>
  <CharactersWithSpaces>34612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2018-07-09T08:50:00Z</dcterms:created>
  <dc:creator>河南金利达工程管理有限公司</dc:creator>
  <cp:lastModifiedBy>咚咚</cp:lastModifiedBy>
  <cp:lastPrinted>2024-09-13T03:50:00Z</cp:lastPrinted>
  <dcterms:modified xsi:type="dcterms:W3CDTF">2024-09-13T13:52:43Z</dcterms:modified>
  <dc:subject>招标文件</dc:subject>
  <dc:title>桐柏县2013年县乡公路改建工程</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04A9A6A339DE4C0E84BFE997CDB2B239_12</vt:lpwstr>
  </property>
</Properties>
</file>